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3791F" w:rsidRDefault="00AE1F83">
      <w:pPr>
        <w:spacing w:after="0" w:line="259" w:lineRule="auto"/>
        <w:ind w:left="-1561" w:right="1124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6998</wp:posOffset>
                </wp:positionV>
                <wp:extent cx="7545070" cy="10684649"/>
                <wp:effectExtent l="0" t="0" r="0" b="0"/>
                <wp:wrapTopAndBottom/>
                <wp:docPr id="99118" name="Group 99118"/>
                <wp:cNvGraphicFramePr/>
                <a:graphic xmlns:a="http://schemas.openxmlformats.org/drawingml/2006/main">
                  <a:graphicData uri="http://schemas.microsoft.com/office/word/2010/wordprocessingGroup">
                    <wpg:wgp>
                      <wpg:cNvGrpSpPr/>
                      <wpg:grpSpPr>
                        <a:xfrm>
                          <a:off x="0" y="0"/>
                          <a:ext cx="7545070" cy="10684649"/>
                          <a:chOff x="0" y="0"/>
                          <a:chExt cx="7545070" cy="10684649"/>
                        </a:xfrm>
                      </wpg:grpSpPr>
                      <wps:wsp>
                        <wps:cNvPr id="130528" name="Shape 130528"/>
                        <wps:cNvSpPr/>
                        <wps:spPr>
                          <a:xfrm>
                            <a:off x="0" y="0"/>
                            <a:ext cx="7545070" cy="10684649"/>
                          </a:xfrm>
                          <a:custGeom>
                            <a:avLst/>
                            <a:gdLst/>
                            <a:ahLst/>
                            <a:cxnLst/>
                            <a:rect l="0" t="0" r="0" b="0"/>
                            <a:pathLst>
                              <a:path w="7545070" h="10684649">
                                <a:moveTo>
                                  <a:pt x="0" y="0"/>
                                </a:moveTo>
                                <a:lnTo>
                                  <a:pt x="7545070" y="0"/>
                                </a:lnTo>
                                <a:lnTo>
                                  <a:pt x="7545070" y="10684649"/>
                                </a:lnTo>
                                <a:lnTo>
                                  <a:pt x="0" y="10684649"/>
                                </a:lnTo>
                                <a:lnTo>
                                  <a:pt x="0" y="0"/>
                                </a:lnTo>
                              </a:path>
                            </a:pathLst>
                          </a:custGeom>
                          <a:ln w="0" cap="flat">
                            <a:miter lim="127000"/>
                          </a:ln>
                        </wps:spPr>
                        <wps:style>
                          <a:lnRef idx="0">
                            <a:srgbClr val="000000">
                              <a:alpha val="0"/>
                            </a:srgbClr>
                          </a:lnRef>
                          <a:fillRef idx="1">
                            <a:srgbClr val="0B595D"/>
                          </a:fillRef>
                          <a:effectRef idx="0">
                            <a:scrgbClr r="0" g="0" b="0"/>
                          </a:effectRef>
                          <a:fontRef idx="none"/>
                        </wps:style>
                        <wps:bodyPr/>
                      </wps:wsp>
                      <wps:wsp>
                        <wps:cNvPr id="7" name="Shape 7"/>
                        <wps:cNvSpPr/>
                        <wps:spPr>
                          <a:xfrm>
                            <a:off x="381000" y="363855"/>
                            <a:ext cx="6781800" cy="9896475"/>
                          </a:xfrm>
                          <a:custGeom>
                            <a:avLst/>
                            <a:gdLst/>
                            <a:ahLst/>
                            <a:cxnLst/>
                            <a:rect l="0" t="0" r="0" b="0"/>
                            <a:pathLst>
                              <a:path w="6781800" h="9896475">
                                <a:moveTo>
                                  <a:pt x="0" y="0"/>
                                </a:moveTo>
                                <a:lnTo>
                                  <a:pt x="6781800" y="0"/>
                                </a:lnTo>
                                <a:lnTo>
                                  <a:pt x="6781800" y="9896475"/>
                                </a:lnTo>
                                <a:lnTo>
                                  <a:pt x="3390900" y="9896475"/>
                                </a:lnTo>
                                <a:lnTo>
                                  <a:pt x="0" y="9896475"/>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 name="Shape 8"/>
                        <wps:cNvSpPr/>
                        <wps:spPr>
                          <a:xfrm>
                            <a:off x="381000" y="364490"/>
                            <a:ext cx="6781800" cy="9982200"/>
                          </a:xfrm>
                          <a:custGeom>
                            <a:avLst/>
                            <a:gdLst/>
                            <a:ahLst/>
                            <a:cxnLst/>
                            <a:rect l="0" t="0" r="0" b="0"/>
                            <a:pathLst>
                              <a:path w="6781800" h="9982200">
                                <a:moveTo>
                                  <a:pt x="0" y="0"/>
                                </a:moveTo>
                                <a:lnTo>
                                  <a:pt x="6781800" y="0"/>
                                </a:lnTo>
                                <a:lnTo>
                                  <a:pt x="6781800" y="9982200"/>
                                </a:lnTo>
                                <a:lnTo>
                                  <a:pt x="3390900" y="9982200"/>
                                </a:lnTo>
                                <a:lnTo>
                                  <a:pt x="0" y="9982200"/>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9" name="Rectangle 9"/>
                        <wps:cNvSpPr/>
                        <wps:spPr>
                          <a:xfrm>
                            <a:off x="4244340" y="9798685"/>
                            <a:ext cx="85468" cy="168910"/>
                          </a:xfrm>
                          <a:prstGeom prst="rect">
                            <a:avLst/>
                          </a:prstGeom>
                          <a:ln>
                            <a:noFill/>
                          </a:ln>
                        </wps:spPr>
                        <wps:txbx>
                          <w:txbxContent>
                            <w:p w:rsidR="00C3791F" w:rsidRDefault="00AE1F83">
                              <w:pPr>
                                <w:spacing w:after="160" w:line="259" w:lineRule="auto"/>
                                <w:ind w:left="0" w:firstLine="0"/>
                                <w:jc w:val="left"/>
                              </w:pPr>
                              <w:r>
                                <w:rPr>
                                  <w:rFonts w:ascii="Calibri" w:eastAsia="Calibri" w:hAnsi="Calibri" w:cs="Calibri"/>
                                  <w:sz w:val="20"/>
                                </w:rPr>
                                <w:t>1</w:t>
                              </w:r>
                            </w:p>
                          </w:txbxContent>
                        </wps:txbx>
                        <wps:bodyPr horzOverflow="overflow" vert="horz" lIns="0" tIns="0" rIns="0" bIns="0" rtlCol="0">
                          <a:noAutofit/>
                        </wps:bodyPr>
                      </wps:wsp>
                      <wps:wsp>
                        <wps:cNvPr id="10" name="Rectangle 10"/>
                        <wps:cNvSpPr/>
                        <wps:spPr>
                          <a:xfrm>
                            <a:off x="472440" y="862823"/>
                            <a:ext cx="42228" cy="187055"/>
                          </a:xfrm>
                          <a:prstGeom prst="rect">
                            <a:avLst/>
                          </a:prstGeom>
                          <a:ln>
                            <a:noFill/>
                          </a:ln>
                        </wps:spPr>
                        <wps:txbx>
                          <w:txbxContent>
                            <w:p w:rsidR="00C3791F" w:rsidRDefault="00AE1F83">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1" name="Rectangle 11"/>
                        <wps:cNvSpPr/>
                        <wps:spPr>
                          <a:xfrm>
                            <a:off x="504190" y="862823"/>
                            <a:ext cx="42228" cy="187055"/>
                          </a:xfrm>
                          <a:prstGeom prst="rect">
                            <a:avLst/>
                          </a:prstGeom>
                          <a:ln>
                            <a:noFill/>
                          </a:ln>
                        </wps:spPr>
                        <wps:txbx>
                          <w:txbxContent>
                            <w:p w:rsidR="00C3791F" w:rsidRDefault="00AE1F83">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12" name="Rectangle 12"/>
                        <wps:cNvSpPr/>
                        <wps:spPr>
                          <a:xfrm>
                            <a:off x="1289050" y="1001663"/>
                            <a:ext cx="789823" cy="149644"/>
                          </a:xfrm>
                          <a:prstGeom prst="rect">
                            <a:avLst/>
                          </a:prstGeom>
                          <a:ln>
                            <a:noFill/>
                          </a:ln>
                        </wps:spPr>
                        <wps:txbx>
                          <w:txbxContent>
                            <w:p w:rsidR="00C3791F" w:rsidRDefault="00AE1F83">
                              <w:pPr>
                                <w:spacing w:after="160" w:line="259" w:lineRule="auto"/>
                                <w:ind w:left="0" w:firstLine="0"/>
                                <w:jc w:val="left"/>
                              </w:pPr>
                              <w:r>
                                <w:rPr>
                                  <w:b/>
                                  <w:sz w:val="16"/>
                                </w:rPr>
                                <w:t>Утверждено:</w:t>
                              </w:r>
                            </w:p>
                          </w:txbxContent>
                        </wps:txbx>
                        <wps:bodyPr horzOverflow="overflow" vert="horz" lIns="0" tIns="0" rIns="0" bIns="0" rtlCol="0">
                          <a:noAutofit/>
                        </wps:bodyPr>
                      </wps:wsp>
                      <wps:wsp>
                        <wps:cNvPr id="13" name="Rectangle 13"/>
                        <wps:cNvSpPr/>
                        <wps:spPr>
                          <a:xfrm>
                            <a:off x="1148080" y="1176923"/>
                            <a:ext cx="976840" cy="149644"/>
                          </a:xfrm>
                          <a:prstGeom prst="rect">
                            <a:avLst/>
                          </a:prstGeom>
                          <a:ln>
                            <a:noFill/>
                          </a:ln>
                        </wps:spPr>
                        <wps:txbx>
                          <w:txbxContent>
                            <w:p w:rsidR="00C3791F" w:rsidRDefault="00AE1F83">
                              <w:pPr>
                                <w:spacing w:after="160" w:line="259" w:lineRule="auto"/>
                                <w:ind w:left="0" w:firstLine="0"/>
                                <w:jc w:val="left"/>
                              </w:pPr>
                              <w:r>
                                <w:rPr>
                                  <w:sz w:val="16"/>
                                </w:rPr>
                                <w:t>Общероссийская</w:t>
                              </w:r>
                            </w:p>
                          </w:txbxContent>
                        </wps:txbx>
                        <wps:bodyPr horzOverflow="overflow" vert="horz" lIns="0" tIns="0" rIns="0" bIns="0" rtlCol="0">
                          <a:noAutofit/>
                        </wps:bodyPr>
                      </wps:wsp>
                      <wps:wsp>
                        <wps:cNvPr id="14" name="Rectangle 14"/>
                        <wps:cNvSpPr/>
                        <wps:spPr>
                          <a:xfrm>
                            <a:off x="1883410" y="1176923"/>
                            <a:ext cx="33782" cy="149644"/>
                          </a:xfrm>
                          <a:prstGeom prst="rect">
                            <a:avLst/>
                          </a:prstGeom>
                          <a:ln>
                            <a:noFill/>
                          </a:ln>
                        </wps:spPr>
                        <wps:txbx>
                          <w:txbxContent>
                            <w:p w:rsidR="00C3791F" w:rsidRDefault="00AE1F83">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5" name="Rectangle 15"/>
                        <wps:cNvSpPr/>
                        <wps:spPr>
                          <a:xfrm>
                            <a:off x="711200" y="1352183"/>
                            <a:ext cx="1557350" cy="149644"/>
                          </a:xfrm>
                          <a:prstGeom prst="rect">
                            <a:avLst/>
                          </a:prstGeom>
                          <a:ln>
                            <a:noFill/>
                          </a:ln>
                        </wps:spPr>
                        <wps:txbx>
                          <w:txbxContent>
                            <w:p w:rsidR="00C3791F" w:rsidRDefault="00AE1F83">
                              <w:pPr>
                                <w:spacing w:after="160" w:line="259" w:lineRule="auto"/>
                                <w:ind w:left="0" w:firstLine="0"/>
                                <w:jc w:val="left"/>
                              </w:pPr>
                              <w:r>
                                <w:rPr>
                                  <w:sz w:val="16"/>
                                </w:rPr>
                                <w:t>общественная организация</w:t>
                              </w:r>
                            </w:p>
                          </w:txbxContent>
                        </wps:txbx>
                        <wps:bodyPr horzOverflow="overflow" vert="horz" lIns="0" tIns="0" rIns="0" bIns="0" rtlCol="0">
                          <a:noAutofit/>
                        </wps:bodyPr>
                      </wps:wsp>
                      <wps:wsp>
                        <wps:cNvPr id="16" name="Rectangle 16"/>
                        <wps:cNvSpPr/>
                        <wps:spPr>
                          <a:xfrm>
                            <a:off x="1883410" y="1352183"/>
                            <a:ext cx="33782" cy="149644"/>
                          </a:xfrm>
                          <a:prstGeom prst="rect">
                            <a:avLst/>
                          </a:prstGeom>
                          <a:ln>
                            <a:noFill/>
                          </a:ln>
                        </wps:spPr>
                        <wps:txbx>
                          <w:txbxContent>
                            <w:p w:rsidR="00C3791F" w:rsidRDefault="00AE1F83">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7" name="Rectangle 17"/>
                        <wps:cNvSpPr/>
                        <wps:spPr>
                          <a:xfrm>
                            <a:off x="896620" y="1527442"/>
                            <a:ext cx="1311553" cy="149644"/>
                          </a:xfrm>
                          <a:prstGeom prst="rect">
                            <a:avLst/>
                          </a:prstGeom>
                          <a:ln>
                            <a:noFill/>
                          </a:ln>
                        </wps:spPr>
                        <wps:txbx>
                          <w:txbxContent>
                            <w:p w:rsidR="00C3791F" w:rsidRDefault="00AE1F83">
                              <w:pPr>
                                <w:spacing w:after="160" w:line="259" w:lineRule="auto"/>
                                <w:ind w:left="0" w:firstLine="0"/>
                                <w:jc w:val="left"/>
                              </w:pPr>
                              <w:r>
                                <w:rPr>
                                  <w:sz w:val="16"/>
                                </w:rPr>
                                <w:t>«Российское общество</w:t>
                              </w:r>
                            </w:p>
                          </w:txbxContent>
                        </wps:txbx>
                        <wps:bodyPr horzOverflow="overflow" vert="horz" lIns="0" tIns="0" rIns="0" bIns="0" rtlCol="0">
                          <a:noAutofit/>
                        </wps:bodyPr>
                      </wps:wsp>
                      <wps:wsp>
                        <wps:cNvPr id="18" name="Rectangle 18"/>
                        <wps:cNvSpPr/>
                        <wps:spPr>
                          <a:xfrm>
                            <a:off x="1883410" y="1527442"/>
                            <a:ext cx="33782" cy="149644"/>
                          </a:xfrm>
                          <a:prstGeom prst="rect">
                            <a:avLst/>
                          </a:prstGeom>
                          <a:ln>
                            <a:noFill/>
                          </a:ln>
                        </wps:spPr>
                        <wps:txbx>
                          <w:txbxContent>
                            <w:p w:rsidR="00C3791F" w:rsidRDefault="00AE1F83">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 name="Rectangle 19"/>
                        <wps:cNvSpPr/>
                        <wps:spPr>
                          <a:xfrm>
                            <a:off x="1438275" y="1702703"/>
                            <a:ext cx="591996" cy="149644"/>
                          </a:xfrm>
                          <a:prstGeom prst="rect">
                            <a:avLst/>
                          </a:prstGeom>
                          <a:ln>
                            <a:noFill/>
                          </a:ln>
                        </wps:spPr>
                        <wps:txbx>
                          <w:txbxContent>
                            <w:p w:rsidR="00C3791F" w:rsidRDefault="00AE1F83">
                              <w:pPr>
                                <w:spacing w:after="160" w:line="259" w:lineRule="auto"/>
                                <w:ind w:left="0" w:firstLine="0"/>
                                <w:jc w:val="left"/>
                              </w:pPr>
                              <w:r>
                                <w:rPr>
                                  <w:sz w:val="16"/>
                                </w:rPr>
                                <w:t>урологов»</w:t>
                              </w:r>
                            </w:p>
                          </w:txbxContent>
                        </wps:txbx>
                        <wps:bodyPr horzOverflow="overflow" vert="horz" lIns="0" tIns="0" rIns="0" bIns="0" rtlCol="0">
                          <a:noAutofit/>
                        </wps:bodyPr>
                      </wps:wsp>
                      <wps:wsp>
                        <wps:cNvPr id="20" name="Rectangle 20"/>
                        <wps:cNvSpPr/>
                        <wps:spPr>
                          <a:xfrm>
                            <a:off x="542290" y="2228483"/>
                            <a:ext cx="1689100" cy="149644"/>
                          </a:xfrm>
                          <a:prstGeom prst="rect">
                            <a:avLst/>
                          </a:prstGeom>
                          <a:ln>
                            <a:noFill/>
                          </a:ln>
                        </wps:spPr>
                        <wps:txbx>
                          <w:txbxContent>
                            <w:p w:rsidR="00C3791F" w:rsidRDefault="00AE1F83">
                              <w:pPr>
                                <w:spacing w:after="160" w:line="259" w:lineRule="auto"/>
                                <w:ind w:left="0" w:firstLine="0"/>
                                <w:jc w:val="left"/>
                              </w:pPr>
                              <w:r>
                                <w:rPr>
                                  <w:sz w:val="16"/>
                                </w:rPr>
                                <w:t>_________________________</w:t>
                              </w:r>
                            </w:p>
                          </w:txbxContent>
                        </wps:txbx>
                        <wps:bodyPr horzOverflow="overflow" vert="horz" lIns="0" tIns="0" rIns="0" bIns="0" rtlCol="0">
                          <a:noAutofit/>
                        </wps:bodyPr>
                      </wps:wsp>
                      <wps:wsp>
                        <wps:cNvPr id="21" name="Rectangle 21"/>
                        <wps:cNvSpPr/>
                        <wps:spPr>
                          <a:xfrm>
                            <a:off x="542290" y="2403743"/>
                            <a:ext cx="946842" cy="149644"/>
                          </a:xfrm>
                          <a:prstGeom prst="rect">
                            <a:avLst/>
                          </a:prstGeom>
                          <a:ln>
                            <a:noFill/>
                          </a:ln>
                        </wps:spPr>
                        <wps:txbx>
                          <w:txbxContent>
                            <w:p w:rsidR="00C3791F" w:rsidRDefault="00AE1F83">
                              <w:pPr>
                                <w:spacing w:after="160" w:line="259" w:lineRule="auto"/>
                                <w:ind w:left="0" w:firstLine="0"/>
                                <w:jc w:val="left"/>
                              </w:pPr>
                              <w:r>
                                <w:rPr>
                                  <w:b/>
                                  <w:sz w:val="16"/>
                                </w:rPr>
                                <w:t xml:space="preserve">                     м.п.</w:t>
                              </w:r>
                            </w:p>
                          </w:txbxContent>
                        </wps:txbx>
                        <wps:bodyPr horzOverflow="overflow" vert="horz" lIns="0" tIns="0" rIns="0" bIns="0" rtlCol="0">
                          <a:noAutofit/>
                        </wps:bodyPr>
                      </wps:wsp>
                      <wps:wsp>
                        <wps:cNvPr id="22" name="Rectangle 22"/>
                        <wps:cNvSpPr/>
                        <wps:spPr>
                          <a:xfrm>
                            <a:off x="2670810" y="1001663"/>
                            <a:ext cx="789823" cy="149644"/>
                          </a:xfrm>
                          <a:prstGeom prst="rect">
                            <a:avLst/>
                          </a:prstGeom>
                          <a:ln>
                            <a:noFill/>
                          </a:ln>
                        </wps:spPr>
                        <wps:txbx>
                          <w:txbxContent>
                            <w:p w:rsidR="00C3791F" w:rsidRDefault="00AE1F83">
                              <w:pPr>
                                <w:spacing w:after="160" w:line="259" w:lineRule="auto"/>
                                <w:ind w:left="0" w:firstLine="0"/>
                                <w:jc w:val="left"/>
                              </w:pPr>
                              <w:r>
                                <w:rPr>
                                  <w:b/>
                                  <w:sz w:val="16"/>
                                </w:rPr>
                                <w:t>Утверждено:</w:t>
                              </w:r>
                            </w:p>
                          </w:txbxContent>
                        </wps:txbx>
                        <wps:bodyPr horzOverflow="overflow" vert="horz" lIns="0" tIns="0" rIns="0" bIns="0" rtlCol="0">
                          <a:noAutofit/>
                        </wps:bodyPr>
                      </wps:wsp>
                      <wps:wsp>
                        <wps:cNvPr id="23" name="Rectangle 23"/>
                        <wps:cNvSpPr/>
                        <wps:spPr>
                          <a:xfrm>
                            <a:off x="2529840" y="1176923"/>
                            <a:ext cx="976840" cy="149644"/>
                          </a:xfrm>
                          <a:prstGeom prst="rect">
                            <a:avLst/>
                          </a:prstGeom>
                          <a:ln>
                            <a:noFill/>
                          </a:ln>
                        </wps:spPr>
                        <wps:txbx>
                          <w:txbxContent>
                            <w:p w:rsidR="00C3791F" w:rsidRDefault="00AE1F83">
                              <w:pPr>
                                <w:spacing w:after="160" w:line="259" w:lineRule="auto"/>
                                <w:ind w:left="0" w:firstLine="0"/>
                                <w:jc w:val="left"/>
                              </w:pPr>
                              <w:r>
                                <w:rPr>
                                  <w:sz w:val="16"/>
                                </w:rPr>
                                <w:t>Общероссийская</w:t>
                              </w:r>
                            </w:p>
                          </w:txbxContent>
                        </wps:txbx>
                        <wps:bodyPr horzOverflow="overflow" vert="horz" lIns="0" tIns="0" rIns="0" bIns="0" rtlCol="0">
                          <a:noAutofit/>
                        </wps:bodyPr>
                      </wps:wsp>
                      <wps:wsp>
                        <wps:cNvPr id="24" name="Rectangle 24"/>
                        <wps:cNvSpPr/>
                        <wps:spPr>
                          <a:xfrm>
                            <a:off x="3265170" y="1176923"/>
                            <a:ext cx="33782" cy="149644"/>
                          </a:xfrm>
                          <a:prstGeom prst="rect">
                            <a:avLst/>
                          </a:prstGeom>
                          <a:ln>
                            <a:noFill/>
                          </a:ln>
                        </wps:spPr>
                        <wps:txbx>
                          <w:txbxContent>
                            <w:p w:rsidR="00C3791F" w:rsidRDefault="00AE1F83">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5" name="Rectangle 25"/>
                        <wps:cNvSpPr/>
                        <wps:spPr>
                          <a:xfrm>
                            <a:off x="2092960" y="1352183"/>
                            <a:ext cx="1557350" cy="149644"/>
                          </a:xfrm>
                          <a:prstGeom prst="rect">
                            <a:avLst/>
                          </a:prstGeom>
                          <a:ln>
                            <a:noFill/>
                          </a:ln>
                        </wps:spPr>
                        <wps:txbx>
                          <w:txbxContent>
                            <w:p w:rsidR="00C3791F" w:rsidRDefault="00AE1F83">
                              <w:pPr>
                                <w:spacing w:after="160" w:line="259" w:lineRule="auto"/>
                                <w:ind w:left="0" w:firstLine="0"/>
                                <w:jc w:val="left"/>
                              </w:pPr>
                              <w:r>
                                <w:rPr>
                                  <w:sz w:val="16"/>
                                </w:rPr>
                                <w:t>общественная организация</w:t>
                              </w:r>
                            </w:p>
                          </w:txbxContent>
                        </wps:txbx>
                        <wps:bodyPr horzOverflow="overflow" vert="horz" lIns="0" tIns="0" rIns="0" bIns="0" rtlCol="0">
                          <a:noAutofit/>
                        </wps:bodyPr>
                      </wps:wsp>
                      <wps:wsp>
                        <wps:cNvPr id="26" name="Rectangle 26"/>
                        <wps:cNvSpPr/>
                        <wps:spPr>
                          <a:xfrm>
                            <a:off x="3265170" y="1352183"/>
                            <a:ext cx="33782" cy="149644"/>
                          </a:xfrm>
                          <a:prstGeom prst="rect">
                            <a:avLst/>
                          </a:prstGeom>
                          <a:ln>
                            <a:noFill/>
                          </a:ln>
                        </wps:spPr>
                        <wps:txbx>
                          <w:txbxContent>
                            <w:p w:rsidR="00C3791F" w:rsidRDefault="00AE1F83">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7" name="Rectangle 27"/>
                        <wps:cNvSpPr/>
                        <wps:spPr>
                          <a:xfrm>
                            <a:off x="2278380" y="1527442"/>
                            <a:ext cx="1311553" cy="149644"/>
                          </a:xfrm>
                          <a:prstGeom prst="rect">
                            <a:avLst/>
                          </a:prstGeom>
                          <a:ln>
                            <a:noFill/>
                          </a:ln>
                        </wps:spPr>
                        <wps:txbx>
                          <w:txbxContent>
                            <w:p w:rsidR="00C3791F" w:rsidRDefault="00AE1F83">
                              <w:pPr>
                                <w:spacing w:after="160" w:line="259" w:lineRule="auto"/>
                                <w:ind w:left="0" w:firstLine="0"/>
                                <w:jc w:val="left"/>
                              </w:pPr>
                              <w:r>
                                <w:rPr>
                                  <w:sz w:val="16"/>
                                </w:rPr>
                                <w:t>«Российское общество</w:t>
                              </w:r>
                            </w:p>
                          </w:txbxContent>
                        </wps:txbx>
                        <wps:bodyPr horzOverflow="overflow" vert="horz" lIns="0" tIns="0" rIns="0" bIns="0" rtlCol="0">
                          <a:noAutofit/>
                        </wps:bodyPr>
                      </wps:wsp>
                      <wps:wsp>
                        <wps:cNvPr id="28" name="Rectangle 28"/>
                        <wps:cNvSpPr/>
                        <wps:spPr>
                          <a:xfrm>
                            <a:off x="3265170" y="1527442"/>
                            <a:ext cx="33782" cy="149644"/>
                          </a:xfrm>
                          <a:prstGeom prst="rect">
                            <a:avLst/>
                          </a:prstGeom>
                          <a:ln>
                            <a:noFill/>
                          </a:ln>
                        </wps:spPr>
                        <wps:txbx>
                          <w:txbxContent>
                            <w:p w:rsidR="00C3791F" w:rsidRDefault="00AE1F83">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9" name="Rectangle 29"/>
                        <wps:cNvSpPr/>
                        <wps:spPr>
                          <a:xfrm>
                            <a:off x="2172970" y="1702703"/>
                            <a:ext cx="1451950" cy="149644"/>
                          </a:xfrm>
                          <a:prstGeom prst="rect">
                            <a:avLst/>
                          </a:prstGeom>
                          <a:ln>
                            <a:noFill/>
                          </a:ln>
                        </wps:spPr>
                        <wps:txbx>
                          <w:txbxContent>
                            <w:p w:rsidR="00C3791F" w:rsidRDefault="00AE1F83">
                              <w:pPr>
                                <w:spacing w:after="160" w:line="259" w:lineRule="auto"/>
                                <w:ind w:left="0" w:firstLine="0"/>
                                <w:jc w:val="left"/>
                              </w:pPr>
                              <w:r>
                                <w:rPr>
                                  <w:sz w:val="16"/>
                                </w:rPr>
                                <w:t>клинической онкологии»</w:t>
                              </w:r>
                            </w:p>
                          </w:txbxContent>
                        </wps:txbx>
                        <wps:bodyPr horzOverflow="overflow" vert="horz" lIns="0" tIns="0" rIns="0" bIns="0" rtlCol="0">
                          <a:noAutofit/>
                        </wps:bodyPr>
                      </wps:wsp>
                      <wps:wsp>
                        <wps:cNvPr id="30" name="Rectangle 30"/>
                        <wps:cNvSpPr/>
                        <wps:spPr>
                          <a:xfrm>
                            <a:off x="2019935" y="2228483"/>
                            <a:ext cx="1621536" cy="149644"/>
                          </a:xfrm>
                          <a:prstGeom prst="rect">
                            <a:avLst/>
                          </a:prstGeom>
                          <a:ln>
                            <a:noFill/>
                          </a:ln>
                        </wps:spPr>
                        <wps:txbx>
                          <w:txbxContent>
                            <w:p w:rsidR="00C3791F" w:rsidRDefault="00AE1F83">
                              <w:pPr>
                                <w:spacing w:after="160" w:line="259" w:lineRule="auto"/>
                                <w:ind w:left="0" w:firstLine="0"/>
                                <w:jc w:val="left"/>
                              </w:pPr>
                              <w:r>
                                <w:rPr>
                                  <w:b/>
                                  <w:sz w:val="16"/>
                                </w:rPr>
                                <w:t>________________________</w:t>
                              </w:r>
                            </w:p>
                          </w:txbxContent>
                        </wps:txbx>
                        <wps:bodyPr horzOverflow="overflow" vert="horz" lIns="0" tIns="0" rIns="0" bIns="0" rtlCol="0">
                          <a:noAutofit/>
                        </wps:bodyPr>
                      </wps:wsp>
                      <wps:wsp>
                        <wps:cNvPr id="31" name="Rectangle 31"/>
                        <wps:cNvSpPr/>
                        <wps:spPr>
                          <a:xfrm>
                            <a:off x="2019935" y="2403743"/>
                            <a:ext cx="913060" cy="149644"/>
                          </a:xfrm>
                          <a:prstGeom prst="rect">
                            <a:avLst/>
                          </a:prstGeom>
                          <a:ln>
                            <a:noFill/>
                          </a:ln>
                        </wps:spPr>
                        <wps:txbx>
                          <w:txbxContent>
                            <w:p w:rsidR="00C3791F" w:rsidRDefault="00AE1F83">
                              <w:pPr>
                                <w:spacing w:after="160" w:line="259" w:lineRule="auto"/>
                                <w:ind w:left="0" w:firstLine="0"/>
                                <w:jc w:val="left"/>
                              </w:pPr>
                              <w:r>
                                <w:rPr>
                                  <w:b/>
                                  <w:sz w:val="16"/>
                                </w:rPr>
                                <w:t xml:space="preserve">                    м.п.</w:t>
                              </w:r>
                            </w:p>
                          </w:txbxContent>
                        </wps:txbx>
                        <wps:bodyPr horzOverflow="overflow" vert="horz" lIns="0" tIns="0" rIns="0" bIns="0" rtlCol="0">
                          <a:noAutofit/>
                        </wps:bodyPr>
                      </wps:wsp>
                      <wps:wsp>
                        <wps:cNvPr id="32" name="Rectangle 32"/>
                        <wps:cNvSpPr/>
                        <wps:spPr>
                          <a:xfrm>
                            <a:off x="4401185" y="1001663"/>
                            <a:ext cx="789823" cy="149644"/>
                          </a:xfrm>
                          <a:prstGeom prst="rect">
                            <a:avLst/>
                          </a:prstGeom>
                          <a:ln>
                            <a:noFill/>
                          </a:ln>
                        </wps:spPr>
                        <wps:txbx>
                          <w:txbxContent>
                            <w:p w:rsidR="00C3791F" w:rsidRDefault="00AE1F83">
                              <w:pPr>
                                <w:spacing w:after="160" w:line="259" w:lineRule="auto"/>
                                <w:ind w:left="0" w:firstLine="0"/>
                                <w:jc w:val="left"/>
                              </w:pPr>
                              <w:r>
                                <w:rPr>
                                  <w:b/>
                                  <w:sz w:val="16"/>
                                </w:rPr>
                                <w:t>Утверждено:</w:t>
                              </w:r>
                            </w:p>
                          </w:txbxContent>
                        </wps:txbx>
                        <wps:bodyPr horzOverflow="overflow" vert="horz" lIns="0" tIns="0" rIns="0" bIns="0" rtlCol="0">
                          <a:noAutofit/>
                        </wps:bodyPr>
                      </wps:wsp>
                      <wps:wsp>
                        <wps:cNvPr id="33" name="Rectangle 33"/>
                        <wps:cNvSpPr/>
                        <wps:spPr>
                          <a:xfrm>
                            <a:off x="4260215" y="1176923"/>
                            <a:ext cx="976840" cy="149644"/>
                          </a:xfrm>
                          <a:prstGeom prst="rect">
                            <a:avLst/>
                          </a:prstGeom>
                          <a:ln>
                            <a:noFill/>
                          </a:ln>
                        </wps:spPr>
                        <wps:txbx>
                          <w:txbxContent>
                            <w:p w:rsidR="00C3791F" w:rsidRDefault="00AE1F83">
                              <w:pPr>
                                <w:spacing w:after="160" w:line="259" w:lineRule="auto"/>
                                <w:ind w:left="0" w:firstLine="0"/>
                                <w:jc w:val="left"/>
                              </w:pPr>
                              <w:r>
                                <w:rPr>
                                  <w:sz w:val="16"/>
                                </w:rPr>
                                <w:t>Общероссийская</w:t>
                              </w:r>
                            </w:p>
                          </w:txbxContent>
                        </wps:txbx>
                        <wps:bodyPr horzOverflow="overflow" vert="horz" lIns="0" tIns="0" rIns="0" bIns="0" rtlCol="0">
                          <a:noAutofit/>
                        </wps:bodyPr>
                      </wps:wsp>
                      <wps:wsp>
                        <wps:cNvPr id="34" name="Rectangle 34"/>
                        <wps:cNvSpPr/>
                        <wps:spPr>
                          <a:xfrm>
                            <a:off x="3823335" y="1352183"/>
                            <a:ext cx="1557351" cy="149644"/>
                          </a:xfrm>
                          <a:prstGeom prst="rect">
                            <a:avLst/>
                          </a:prstGeom>
                          <a:ln>
                            <a:noFill/>
                          </a:ln>
                        </wps:spPr>
                        <wps:txbx>
                          <w:txbxContent>
                            <w:p w:rsidR="00C3791F" w:rsidRDefault="00AE1F83">
                              <w:pPr>
                                <w:spacing w:after="160" w:line="259" w:lineRule="auto"/>
                                <w:ind w:left="0" w:firstLine="0"/>
                                <w:jc w:val="left"/>
                              </w:pPr>
                              <w:r>
                                <w:rPr>
                                  <w:sz w:val="16"/>
                                </w:rPr>
                                <w:t>общественная организация</w:t>
                              </w:r>
                            </w:p>
                          </w:txbxContent>
                        </wps:txbx>
                        <wps:bodyPr horzOverflow="overflow" vert="horz" lIns="0" tIns="0" rIns="0" bIns="0" rtlCol="0">
                          <a:noAutofit/>
                        </wps:bodyPr>
                      </wps:wsp>
                      <wps:wsp>
                        <wps:cNvPr id="35" name="Rectangle 35"/>
                        <wps:cNvSpPr/>
                        <wps:spPr>
                          <a:xfrm>
                            <a:off x="4995545" y="1352183"/>
                            <a:ext cx="33782" cy="149644"/>
                          </a:xfrm>
                          <a:prstGeom prst="rect">
                            <a:avLst/>
                          </a:prstGeom>
                          <a:ln>
                            <a:noFill/>
                          </a:ln>
                        </wps:spPr>
                        <wps:txbx>
                          <w:txbxContent>
                            <w:p w:rsidR="00C3791F" w:rsidRDefault="00AE1F83">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6" name="Rectangle 36"/>
                        <wps:cNvSpPr/>
                        <wps:spPr>
                          <a:xfrm>
                            <a:off x="4008755" y="1527442"/>
                            <a:ext cx="1311553" cy="149644"/>
                          </a:xfrm>
                          <a:prstGeom prst="rect">
                            <a:avLst/>
                          </a:prstGeom>
                          <a:ln>
                            <a:noFill/>
                          </a:ln>
                        </wps:spPr>
                        <wps:txbx>
                          <w:txbxContent>
                            <w:p w:rsidR="00C3791F" w:rsidRDefault="00AE1F83">
                              <w:pPr>
                                <w:spacing w:after="160" w:line="259" w:lineRule="auto"/>
                                <w:ind w:left="0" w:firstLine="0"/>
                                <w:jc w:val="left"/>
                              </w:pPr>
                              <w:r>
                                <w:rPr>
                                  <w:sz w:val="16"/>
                                </w:rPr>
                                <w:t>«Российское общество</w:t>
                              </w:r>
                            </w:p>
                          </w:txbxContent>
                        </wps:txbx>
                        <wps:bodyPr horzOverflow="overflow" vert="horz" lIns="0" tIns="0" rIns="0" bIns="0" rtlCol="0">
                          <a:noAutofit/>
                        </wps:bodyPr>
                      </wps:wsp>
                      <wps:wsp>
                        <wps:cNvPr id="37" name="Rectangle 37"/>
                        <wps:cNvSpPr/>
                        <wps:spPr>
                          <a:xfrm>
                            <a:off x="4995545" y="1527442"/>
                            <a:ext cx="33782" cy="149644"/>
                          </a:xfrm>
                          <a:prstGeom prst="rect">
                            <a:avLst/>
                          </a:prstGeom>
                          <a:ln>
                            <a:noFill/>
                          </a:ln>
                        </wps:spPr>
                        <wps:txbx>
                          <w:txbxContent>
                            <w:p w:rsidR="00C3791F" w:rsidRDefault="00AE1F83">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38" name="Rectangle 38"/>
                        <wps:cNvSpPr/>
                        <wps:spPr>
                          <a:xfrm>
                            <a:off x="4345305" y="1702703"/>
                            <a:ext cx="864955" cy="149644"/>
                          </a:xfrm>
                          <a:prstGeom prst="rect">
                            <a:avLst/>
                          </a:prstGeom>
                          <a:ln>
                            <a:noFill/>
                          </a:ln>
                        </wps:spPr>
                        <wps:txbx>
                          <w:txbxContent>
                            <w:p w:rsidR="00C3791F" w:rsidRDefault="00AE1F83">
                              <w:pPr>
                                <w:spacing w:after="160" w:line="259" w:lineRule="auto"/>
                                <w:ind w:left="0" w:firstLine="0"/>
                                <w:jc w:val="left"/>
                              </w:pPr>
                              <w:r>
                                <w:rPr>
                                  <w:sz w:val="16"/>
                                </w:rPr>
                                <w:t>онкоурологов»</w:t>
                              </w:r>
                            </w:p>
                          </w:txbxContent>
                        </wps:txbx>
                        <wps:bodyPr horzOverflow="overflow" vert="horz" lIns="0" tIns="0" rIns="0" bIns="0" rtlCol="0">
                          <a:noAutofit/>
                        </wps:bodyPr>
                      </wps:wsp>
                      <wps:wsp>
                        <wps:cNvPr id="39" name="Rectangle 39"/>
                        <wps:cNvSpPr/>
                        <wps:spPr>
                          <a:xfrm>
                            <a:off x="3471545" y="2228483"/>
                            <a:ext cx="2026920" cy="149644"/>
                          </a:xfrm>
                          <a:prstGeom prst="rect">
                            <a:avLst/>
                          </a:prstGeom>
                          <a:ln>
                            <a:noFill/>
                          </a:ln>
                        </wps:spPr>
                        <wps:txbx>
                          <w:txbxContent>
                            <w:p w:rsidR="00C3791F" w:rsidRDefault="00AE1F83">
                              <w:pPr>
                                <w:spacing w:after="160" w:line="259" w:lineRule="auto"/>
                                <w:ind w:left="0" w:firstLine="0"/>
                                <w:jc w:val="left"/>
                              </w:pPr>
                              <w:r>
                                <w:rPr>
                                  <w:sz w:val="16"/>
                                </w:rPr>
                                <w:t>______________________________</w:t>
                              </w:r>
                            </w:p>
                          </w:txbxContent>
                        </wps:txbx>
                        <wps:bodyPr horzOverflow="overflow" vert="horz" lIns="0" tIns="0" rIns="0" bIns="0" rtlCol="0">
                          <a:noAutofit/>
                        </wps:bodyPr>
                      </wps:wsp>
                      <wps:wsp>
                        <wps:cNvPr id="40" name="Rectangle 40"/>
                        <wps:cNvSpPr/>
                        <wps:spPr>
                          <a:xfrm>
                            <a:off x="4109085" y="2403743"/>
                            <a:ext cx="237420" cy="149644"/>
                          </a:xfrm>
                          <a:prstGeom prst="rect">
                            <a:avLst/>
                          </a:prstGeom>
                          <a:ln>
                            <a:noFill/>
                          </a:ln>
                        </wps:spPr>
                        <wps:txbx>
                          <w:txbxContent>
                            <w:p w:rsidR="00C3791F" w:rsidRDefault="00AE1F83">
                              <w:pPr>
                                <w:spacing w:after="160" w:line="259" w:lineRule="auto"/>
                                <w:ind w:left="0" w:firstLine="0"/>
                                <w:jc w:val="left"/>
                              </w:pPr>
                              <w:r>
                                <w:rPr>
                                  <w:b/>
                                  <w:sz w:val="16"/>
                                </w:rPr>
                                <w:t>м.п.</w:t>
                              </w:r>
                            </w:p>
                          </w:txbxContent>
                        </wps:txbx>
                        <wps:bodyPr horzOverflow="overflow" vert="horz" lIns="0" tIns="0" rIns="0" bIns="0" rtlCol="0">
                          <a:noAutofit/>
                        </wps:bodyPr>
                      </wps:wsp>
                      <wps:wsp>
                        <wps:cNvPr id="41" name="Rectangle 41"/>
                        <wps:cNvSpPr/>
                        <wps:spPr>
                          <a:xfrm>
                            <a:off x="6365875" y="1001663"/>
                            <a:ext cx="789823" cy="149644"/>
                          </a:xfrm>
                          <a:prstGeom prst="rect">
                            <a:avLst/>
                          </a:prstGeom>
                          <a:ln>
                            <a:noFill/>
                          </a:ln>
                        </wps:spPr>
                        <wps:txbx>
                          <w:txbxContent>
                            <w:p w:rsidR="00C3791F" w:rsidRDefault="00AE1F83">
                              <w:pPr>
                                <w:spacing w:after="160" w:line="259" w:lineRule="auto"/>
                                <w:ind w:left="0" w:firstLine="0"/>
                                <w:jc w:val="left"/>
                              </w:pPr>
                              <w:r>
                                <w:rPr>
                                  <w:b/>
                                  <w:sz w:val="16"/>
                                </w:rPr>
                                <w:t>Утверждено:</w:t>
                              </w:r>
                            </w:p>
                          </w:txbxContent>
                        </wps:txbx>
                        <wps:bodyPr horzOverflow="overflow" vert="horz" lIns="0" tIns="0" rIns="0" bIns="0" rtlCol="0">
                          <a:noAutofit/>
                        </wps:bodyPr>
                      </wps:wsp>
                      <wps:wsp>
                        <wps:cNvPr id="42" name="Rectangle 42"/>
                        <wps:cNvSpPr/>
                        <wps:spPr>
                          <a:xfrm>
                            <a:off x="5313045" y="1176923"/>
                            <a:ext cx="2189344" cy="149644"/>
                          </a:xfrm>
                          <a:prstGeom prst="rect">
                            <a:avLst/>
                          </a:prstGeom>
                          <a:ln>
                            <a:noFill/>
                          </a:ln>
                        </wps:spPr>
                        <wps:txbx>
                          <w:txbxContent>
                            <w:p w:rsidR="00C3791F" w:rsidRDefault="00AE1F83">
                              <w:pPr>
                                <w:spacing w:after="160" w:line="259" w:lineRule="auto"/>
                                <w:ind w:left="0" w:firstLine="0"/>
                                <w:jc w:val="left"/>
                              </w:pPr>
                              <w:r>
                                <w:rPr>
                                  <w:sz w:val="16"/>
                                </w:rPr>
                                <w:t>Общероссийский национальный союз</w:t>
                              </w:r>
                            </w:p>
                          </w:txbxContent>
                        </wps:txbx>
                        <wps:bodyPr horzOverflow="overflow" vert="horz" lIns="0" tIns="0" rIns="0" bIns="0" rtlCol="0">
                          <a:noAutofit/>
                        </wps:bodyPr>
                      </wps:wsp>
                      <wps:wsp>
                        <wps:cNvPr id="43" name="Rectangle 43"/>
                        <wps:cNvSpPr/>
                        <wps:spPr>
                          <a:xfrm>
                            <a:off x="5530850" y="1352183"/>
                            <a:ext cx="1900306" cy="149644"/>
                          </a:xfrm>
                          <a:prstGeom prst="rect">
                            <a:avLst/>
                          </a:prstGeom>
                          <a:ln>
                            <a:noFill/>
                          </a:ln>
                        </wps:spPr>
                        <wps:txbx>
                          <w:txbxContent>
                            <w:p w:rsidR="00C3791F" w:rsidRDefault="00AE1F83">
                              <w:pPr>
                                <w:spacing w:after="160" w:line="259" w:lineRule="auto"/>
                                <w:ind w:left="0" w:firstLine="0"/>
                                <w:jc w:val="left"/>
                              </w:pPr>
                              <w:r>
                                <w:rPr>
                                  <w:sz w:val="16"/>
                                </w:rPr>
                                <w:t>«Ассоциация онкологов России»</w:t>
                              </w:r>
                            </w:p>
                          </w:txbxContent>
                        </wps:txbx>
                        <wps:bodyPr horzOverflow="overflow" vert="horz" lIns="0" tIns="0" rIns="0" bIns="0" rtlCol="0">
                          <a:noAutofit/>
                        </wps:bodyPr>
                      </wps:wsp>
                      <wps:wsp>
                        <wps:cNvPr id="44" name="Rectangle 44"/>
                        <wps:cNvSpPr/>
                        <wps:spPr>
                          <a:xfrm>
                            <a:off x="5537835" y="2228483"/>
                            <a:ext cx="1891792" cy="149644"/>
                          </a:xfrm>
                          <a:prstGeom prst="rect">
                            <a:avLst/>
                          </a:prstGeom>
                          <a:ln>
                            <a:noFill/>
                          </a:ln>
                        </wps:spPr>
                        <wps:txbx>
                          <w:txbxContent>
                            <w:p w:rsidR="00C3791F" w:rsidRDefault="00AE1F83">
                              <w:pPr>
                                <w:spacing w:after="160" w:line="259" w:lineRule="auto"/>
                                <w:ind w:left="0" w:firstLine="0"/>
                                <w:jc w:val="left"/>
                              </w:pPr>
                              <w:r>
                                <w:rPr>
                                  <w:b/>
                                  <w:sz w:val="16"/>
                                </w:rPr>
                                <w:t>____________________________</w:t>
                              </w:r>
                            </w:p>
                          </w:txbxContent>
                        </wps:txbx>
                        <wps:bodyPr horzOverflow="overflow" vert="horz" lIns="0" tIns="0" rIns="0" bIns="0" rtlCol="0">
                          <a:noAutofit/>
                        </wps:bodyPr>
                      </wps:wsp>
                      <wps:wsp>
                        <wps:cNvPr id="45" name="Rectangle 45"/>
                        <wps:cNvSpPr/>
                        <wps:spPr>
                          <a:xfrm>
                            <a:off x="5132070" y="2403743"/>
                            <a:ext cx="1386008" cy="149644"/>
                          </a:xfrm>
                          <a:prstGeom prst="rect">
                            <a:avLst/>
                          </a:prstGeom>
                          <a:ln>
                            <a:noFill/>
                          </a:ln>
                        </wps:spPr>
                        <wps:txbx>
                          <w:txbxContent>
                            <w:p w:rsidR="00C3791F" w:rsidRDefault="00AE1F83">
                              <w:pPr>
                                <w:spacing w:after="160" w:line="259" w:lineRule="auto"/>
                                <w:ind w:left="0" w:firstLine="0"/>
                                <w:jc w:val="left"/>
                              </w:pPr>
                              <w:r>
                                <w:rPr>
                                  <w:b/>
                                  <w:sz w:val="16"/>
                                </w:rPr>
                                <w:t xml:space="preserve">                                  м.п.</w:t>
                              </w:r>
                            </w:p>
                          </w:txbxContent>
                        </wps:txbx>
                        <wps:bodyPr horzOverflow="overflow" vert="horz" lIns="0" tIns="0" rIns="0" bIns="0" rtlCol="0">
                          <a:noAutofit/>
                        </wps:bodyPr>
                      </wps:wsp>
                      <wps:wsp>
                        <wps:cNvPr id="46" name="Rectangle 46"/>
                        <wps:cNvSpPr/>
                        <wps:spPr>
                          <a:xfrm>
                            <a:off x="2944495" y="3795254"/>
                            <a:ext cx="2164751" cy="187055"/>
                          </a:xfrm>
                          <a:prstGeom prst="rect">
                            <a:avLst/>
                          </a:prstGeom>
                          <a:ln>
                            <a:noFill/>
                          </a:ln>
                        </wps:spPr>
                        <wps:txbx>
                          <w:txbxContent>
                            <w:p w:rsidR="00C3791F" w:rsidRDefault="00AE1F83">
                              <w:pPr>
                                <w:spacing w:after="160" w:line="259" w:lineRule="auto"/>
                                <w:ind w:left="0" w:firstLine="0"/>
                                <w:jc w:val="left"/>
                              </w:pPr>
                              <w:r>
                                <w:rPr>
                                  <w:b/>
                                  <w:sz w:val="20"/>
                                </w:rPr>
                                <w:t>Клинические рекомендации</w:t>
                              </w:r>
                            </w:p>
                          </w:txbxContent>
                        </wps:txbx>
                        <wps:bodyPr horzOverflow="overflow" vert="horz" lIns="0" tIns="0" rIns="0" bIns="0" rtlCol="0">
                          <a:noAutofit/>
                        </wps:bodyPr>
                      </wps:wsp>
                      <wps:wsp>
                        <wps:cNvPr id="47" name="Rectangle 47"/>
                        <wps:cNvSpPr/>
                        <wps:spPr>
                          <a:xfrm>
                            <a:off x="2338070" y="4422718"/>
                            <a:ext cx="3777335" cy="411520"/>
                          </a:xfrm>
                          <a:prstGeom prst="rect">
                            <a:avLst/>
                          </a:prstGeom>
                          <a:ln>
                            <a:noFill/>
                          </a:ln>
                        </wps:spPr>
                        <wps:txbx>
                          <w:txbxContent>
                            <w:p w:rsidR="00C3791F" w:rsidRDefault="00AE1F83">
                              <w:pPr>
                                <w:spacing w:after="160" w:line="259" w:lineRule="auto"/>
                                <w:ind w:left="0" w:firstLine="0"/>
                                <w:jc w:val="left"/>
                              </w:pPr>
                              <w:r>
                                <w:rPr>
                                  <w:b/>
                                  <w:sz w:val="44"/>
                                </w:rPr>
                                <w:t>Рак паренхимы почки</w:t>
                              </w:r>
                            </w:p>
                          </w:txbxContent>
                        </wps:txbx>
                        <wps:bodyPr horzOverflow="overflow" vert="horz" lIns="0" tIns="0" rIns="0" bIns="0" rtlCol="0">
                          <a:noAutofit/>
                        </wps:bodyPr>
                      </wps:wsp>
                      <wps:wsp>
                        <wps:cNvPr id="48" name="Rectangle 48"/>
                        <wps:cNvSpPr/>
                        <wps:spPr>
                          <a:xfrm>
                            <a:off x="1500505" y="5066750"/>
                            <a:ext cx="2889983" cy="224466"/>
                          </a:xfrm>
                          <a:prstGeom prst="rect">
                            <a:avLst/>
                          </a:prstGeom>
                          <a:ln>
                            <a:noFill/>
                          </a:ln>
                        </wps:spPr>
                        <wps:txbx>
                          <w:txbxContent>
                            <w:p w:rsidR="00C3791F" w:rsidRDefault="00AE1F83">
                              <w:pPr>
                                <w:spacing w:after="160" w:line="259" w:lineRule="auto"/>
                                <w:ind w:left="0" w:firstLine="0"/>
                                <w:jc w:val="left"/>
                              </w:pPr>
                              <w:r>
                                <w:t>Кодирование по Международной</w:t>
                              </w:r>
                            </w:p>
                          </w:txbxContent>
                        </wps:txbx>
                        <wps:bodyPr horzOverflow="overflow" vert="horz" lIns="0" tIns="0" rIns="0" bIns="0" rtlCol="0">
                          <a:noAutofit/>
                        </wps:bodyPr>
                      </wps:wsp>
                      <wps:wsp>
                        <wps:cNvPr id="49" name="Rectangle 49"/>
                        <wps:cNvSpPr/>
                        <wps:spPr>
                          <a:xfrm>
                            <a:off x="3674745" y="5066750"/>
                            <a:ext cx="50673" cy="224466"/>
                          </a:xfrm>
                          <a:prstGeom prst="rect">
                            <a:avLst/>
                          </a:prstGeom>
                          <a:ln>
                            <a:noFill/>
                          </a:ln>
                        </wps:spPr>
                        <wps:txbx>
                          <w:txbxContent>
                            <w:p w:rsidR="00C3791F" w:rsidRDefault="00AE1F83">
                              <w:pPr>
                                <w:spacing w:after="160" w:line="259" w:lineRule="auto"/>
                                <w:ind w:left="0" w:firstLine="0"/>
                                <w:jc w:val="left"/>
                              </w:pPr>
                              <w:r>
                                <w:t xml:space="preserve"> </w:t>
                              </w:r>
                            </w:p>
                          </w:txbxContent>
                        </wps:txbx>
                        <wps:bodyPr horzOverflow="overflow" vert="horz" lIns="0" tIns="0" rIns="0" bIns="0" rtlCol="0">
                          <a:noAutofit/>
                        </wps:bodyPr>
                      </wps:wsp>
                      <wps:wsp>
                        <wps:cNvPr id="50" name="Rectangle 50"/>
                        <wps:cNvSpPr/>
                        <wps:spPr>
                          <a:xfrm>
                            <a:off x="879475" y="5248995"/>
                            <a:ext cx="3714128" cy="224466"/>
                          </a:xfrm>
                          <a:prstGeom prst="rect">
                            <a:avLst/>
                          </a:prstGeom>
                          <a:ln>
                            <a:noFill/>
                          </a:ln>
                        </wps:spPr>
                        <wps:txbx>
                          <w:txbxContent>
                            <w:p w:rsidR="00C3791F" w:rsidRDefault="00AE1F83">
                              <w:pPr>
                                <w:spacing w:after="160" w:line="259" w:lineRule="auto"/>
                                <w:ind w:left="0" w:firstLine="0"/>
                                <w:jc w:val="left"/>
                              </w:pPr>
                              <w:r>
                                <w:t>статистической классификации болезней и</w:t>
                              </w:r>
                            </w:p>
                          </w:txbxContent>
                        </wps:txbx>
                        <wps:bodyPr horzOverflow="overflow" vert="horz" lIns="0" tIns="0" rIns="0" bIns="0" rtlCol="0">
                          <a:noAutofit/>
                        </wps:bodyPr>
                      </wps:wsp>
                      <wps:wsp>
                        <wps:cNvPr id="51" name="Rectangle 51"/>
                        <wps:cNvSpPr/>
                        <wps:spPr>
                          <a:xfrm>
                            <a:off x="3674745" y="5248995"/>
                            <a:ext cx="50673" cy="224466"/>
                          </a:xfrm>
                          <a:prstGeom prst="rect">
                            <a:avLst/>
                          </a:prstGeom>
                          <a:ln>
                            <a:noFill/>
                          </a:ln>
                        </wps:spPr>
                        <wps:txbx>
                          <w:txbxContent>
                            <w:p w:rsidR="00C3791F" w:rsidRDefault="00AE1F83">
                              <w:pPr>
                                <w:spacing w:after="160" w:line="259" w:lineRule="auto"/>
                                <w:ind w:left="0" w:firstLine="0"/>
                                <w:jc w:val="left"/>
                              </w:pPr>
                              <w:r>
                                <w:t xml:space="preserve"> </w:t>
                              </w:r>
                            </w:p>
                          </w:txbxContent>
                        </wps:txbx>
                        <wps:bodyPr horzOverflow="overflow" vert="horz" lIns="0" tIns="0" rIns="0" bIns="0" rtlCol="0">
                          <a:noAutofit/>
                        </wps:bodyPr>
                      </wps:wsp>
                      <wps:wsp>
                        <wps:cNvPr id="52" name="Rectangle 52"/>
                        <wps:cNvSpPr/>
                        <wps:spPr>
                          <a:xfrm>
                            <a:off x="1433195" y="5577925"/>
                            <a:ext cx="2978559" cy="224466"/>
                          </a:xfrm>
                          <a:prstGeom prst="rect">
                            <a:avLst/>
                          </a:prstGeom>
                          <a:ln>
                            <a:noFill/>
                          </a:ln>
                        </wps:spPr>
                        <wps:txbx>
                          <w:txbxContent>
                            <w:p w:rsidR="00C3791F" w:rsidRDefault="00AE1F83">
                              <w:pPr>
                                <w:spacing w:after="160" w:line="259" w:lineRule="auto"/>
                                <w:ind w:left="0" w:firstLine="0"/>
                                <w:jc w:val="left"/>
                              </w:pPr>
                              <w:r>
                                <w:t>проблем, связанных со здоровьем:</w:t>
                              </w:r>
                            </w:p>
                          </w:txbxContent>
                        </wps:txbx>
                        <wps:bodyPr horzOverflow="overflow" vert="horz" lIns="0" tIns="0" rIns="0" bIns="0" rtlCol="0">
                          <a:noAutofit/>
                        </wps:bodyPr>
                      </wps:wsp>
                      <wps:wsp>
                        <wps:cNvPr id="53" name="Rectangle 53"/>
                        <wps:cNvSpPr/>
                        <wps:spPr>
                          <a:xfrm>
                            <a:off x="3810000" y="5065889"/>
                            <a:ext cx="281404" cy="187055"/>
                          </a:xfrm>
                          <a:prstGeom prst="rect">
                            <a:avLst/>
                          </a:prstGeom>
                          <a:ln>
                            <a:noFill/>
                          </a:ln>
                        </wps:spPr>
                        <wps:txbx>
                          <w:txbxContent>
                            <w:p w:rsidR="00C3791F" w:rsidRDefault="00AE1F83">
                              <w:pPr>
                                <w:spacing w:after="160" w:line="259" w:lineRule="auto"/>
                                <w:ind w:left="0" w:firstLine="0"/>
                                <w:jc w:val="left"/>
                              </w:pPr>
                              <w:r>
                                <w:rPr>
                                  <w:sz w:val="20"/>
                                </w:rPr>
                                <w:t>C64</w:t>
                              </w:r>
                            </w:p>
                          </w:txbxContent>
                        </wps:txbx>
                        <wps:bodyPr horzOverflow="overflow" vert="horz" lIns="0" tIns="0" rIns="0" bIns="0" rtlCol="0">
                          <a:noAutofit/>
                        </wps:bodyPr>
                      </wps:wsp>
                      <wps:wsp>
                        <wps:cNvPr id="54" name="Rectangle 54"/>
                        <wps:cNvSpPr/>
                        <wps:spPr>
                          <a:xfrm>
                            <a:off x="4021455" y="5065889"/>
                            <a:ext cx="84455" cy="187055"/>
                          </a:xfrm>
                          <a:prstGeom prst="rect">
                            <a:avLst/>
                          </a:prstGeom>
                          <a:ln>
                            <a:noFill/>
                          </a:ln>
                        </wps:spPr>
                        <wps:txbx>
                          <w:txbxContent>
                            <w:p w:rsidR="00C3791F" w:rsidRDefault="00AE1F83">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55" name="Rectangle 55"/>
                        <wps:cNvSpPr/>
                        <wps:spPr>
                          <a:xfrm>
                            <a:off x="4084955" y="5065889"/>
                            <a:ext cx="121953" cy="187055"/>
                          </a:xfrm>
                          <a:prstGeom prst="rect">
                            <a:avLst/>
                          </a:prstGeom>
                          <a:ln>
                            <a:noFill/>
                          </a:ln>
                        </wps:spPr>
                        <wps:txbx>
                          <w:txbxContent>
                            <w:p w:rsidR="00C3791F" w:rsidRDefault="00AE1F83">
                              <w:pPr>
                                <w:spacing w:after="160" w:line="259" w:lineRule="auto"/>
                                <w:ind w:left="0" w:firstLine="0"/>
                                <w:jc w:val="left"/>
                              </w:pPr>
                              <w:r>
                                <w:rPr>
                                  <w:sz w:val="20"/>
                                </w:rPr>
                                <w:t>D</w:t>
                              </w:r>
                            </w:p>
                          </w:txbxContent>
                        </wps:txbx>
                        <wps:bodyPr horzOverflow="overflow" vert="horz" lIns="0" tIns="0" rIns="0" bIns="0" rtlCol="0">
                          <a:noAutofit/>
                        </wps:bodyPr>
                      </wps:wsp>
                      <wps:wsp>
                        <wps:cNvPr id="56" name="Rectangle 56"/>
                        <wps:cNvSpPr/>
                        <wps:spPr>
                          <a:xfrm>
                            <a:off x="4176395" y="5065889"/>
                            <a:ext cx="295593" cy="187055"/>
                          </a:xfrm>
                          <a:prstGeom prst="rect">
                            <a:avLst/>
                          </a:prstGeom>
                          <a:ln>
                            <a:noFill/>
                          </a:ln>
                        </wps:spPr>
                        <wps:txbx>
                          <w:txbxContent>
                            <w:p w:rsidR="00C3791F" w:rsidRDefault="00AE1F83">
                              <w:pPr>
                                <w:spacing w:after="160" w:line="259" w:lineRule="auto"/>
                                <w:ind w:left="0" w:firstLine="0"/>
                                <w:jc w:val="left"/>
                              </w:pPr>
                              <w:r>
                                <w:rPr>
                                  <w:sz w:val="20"/>
                                </w:rPr>
                                <w:t>41.0</w:t>
                              </w:r>
                            </w:p>
                          </w:txbxContent>
                        </wps:txbx>
                        <wps:bodyPr horzOverflow="overflow" vert="horz" lIns="0" tIns="0" rIns="0" bIns="0" rtlCol="0">
                          <a:noAutofit/>
                        </wps:bodyPr>
                      </wps:wsp>
                      <wps:wsp>
                        <wps:cNvPr id="57" name="Rectangle 57"/>
                        <wps:cNvSpPr/>
                        <wps:spPr>
                          <a:xfrm>
                            <a:off x="2623185" y="5855829"/>
                            <a:ext cx="1397055" cy="187055"/>
                          </a:xfrm>
                          <a:prstGeom prst="rect">
                            <a:avLst/>
                          </a:prstGeom>
                          <a:ln>
                            <a:noFill/>
                          </a:ln>
                        </wps:spPr>
                        <wps:txbx>
                          <w:txbxContent>
                            <w:p w:rsidR="00C3791F" w:rsidRDefault="00AE1F83">
                              <w:pPr>
                                <w:spacing w:after="160" w:line="259" w:lineRule="auto"/>
                                <w:ind w:left="0" w:firstLine="0"/>
                                <w:jc w:val="left"/>
                              </w:pPr>
                              <w:r>
                                <w:rPr>
                                  <w:sz w:val="20"/>
                                </w:rPr>
                                <w:t>Возрастная группа:</w:t>
                              </w:r>
                            </w:p>
                          </w:txbxContent>
                        </wps:txbx>
                        <wps:bodyPr horzOverflow="overflow" vert="horz" lIns="0" tIns="0" rIns="0" bIns="0" rtlCol="0">
                          <a:noAutofit/>
                        </wps:bodyPr>
                      </wps:wsp>
                      <wps:wsp>
                        <wps:cNvPr id="58" name="Rectangle 58"/>
                        <wps:cNvSpPr/>
                        <wps:spPr>
                          <a:xfrm>
                            <a:off x="3810000" y="5855829"/>
                            <a:ext cx="587807" cy="187055"/>
                          </a:xfrm>
                          <a:prstGeom prst="rect">
                            <a:avLst/>
                          </a:prstGeom>
                          <a:ln>
                            <a:noFill/>
                          </a:ln>
                        </wps:spPr>
                        <wps:txbx>
                          <w:txbxContent>
                            <w:p w:rsidR="00C3791F" w:rsidRDefault="00AE1F83">
                              <w:pPr>
                                <w:spacing w:after="160" w:line="259" w:lineRule="auto"/>
                                <w:ind w:left="0" w:firstLine="0"/>
                                <w:jc w:val="left"/>
                              </w:pPr>
                              <w:r>
                                <w:rPr>
                                  <w:sz w:val="20"/>
                                </w:rPr>
                                <w:t>взрослы</w:t>
                              </w:r>
                            </w:p>
                          </w:txbxContent>
                        </wps:txbx>
                        <wps:bodyPr horzOverflow="overflow" vert="horz" lIns="0" tIns="0" rIns="0" bIns="0" rtlCol="0">
                          <a:noAutofit/>
                        </wps:bodyPr>
                      </wps:wsp>
                      <wps:wsp>
                        <wps:cNvPr id="59" name="Rectangle 59"/>
                        <wps:cNvSpPr/>
                        <wps:spPr>
                          <a:xfrm>
                            <a:off x="4251960" y="5855829"/>
                            <a:ext cx="74827" cy="187055"/>
                          </a:xfrm>
                          <a:prstGeom prst="rect">
                            <a:avLst/>
                          </a:prstGeom>
                          <a:ln>
                            <a:noFill/>
                          </a:ln>
                        </wps:spPr>
                        <wps:txbx>
                          <w:txbxContent>
                            <w:p w:rsidR="00C3791F" w:rsidRDefault="00AE1F83">
                              <w:pPr>
                                <w:spacing w:after="160" w:line="259" w:lineRule="auto"/>
                                <w:ind w:left="0" w:firstLine="0"/>
                                <w:jc w:val="left"/>
                              </w:pPr>
                              <w:r>
                                <w:rPr>
                                  <w:sz w:val="20"/>
                                </w:rPr>
                                <w:t>е</w:t>
                              </w:r>
                            </w:p>
                          </w:txbxContent>
                        </wps:txbx>
                        <wps:bodyPr horzOverflow="overflow" vert="horz" lIns="0" tIns="0" rIns="0" bIns="0" rtlCol="0">
                          <a:noAutofit/>
                        </wps:bodyPr>
                      </wps:wsp>
                      <wps:wsp>
                        <wps:cNvPr id="60" name="Rectangle 60"/>
                        <wps:cNvSpPr/>
                        <wps:spPr>
                          <a:xfrm>
                            <a:off x="2704465" y="6130784"/>
                            <a:ext cx="1289628" cy="187055"/>
                          </a:xfrm>
                          <a:prstGeom prst="rect">
                            <a:avLst/>
                          </a:prstGeom>
                          <a:ln>
                            <a:noFill/>
                          </a:ln>
                        </wps:spPr>
                        <wps:txbx>
                          <w:txbxContent>
                            <w:p w:rsidR="00C3791F" w:rsidRDefault="00AE1F83">
                              <w:pPr>
                                <w:spacing w:after="160" w:line="259" w:lineRule="auto"/>
                                <w:ind w:left="0" w:firstLine="0"/>
                                <w:jc w:val="left"/>
                              </w:pPr>
                              <w:r>
                                <w:rPr>
                                  <w:sz w:val="20"/>
                                </w:rPr>
                                <w:t>Год утверждения:</w:t>
                              </w:r>
                            </w:p>
                          </w:txbxContent>
                        </wps:txbx>
                        <wps:bodyPr horzOverflow="overflow" vert="horz" lIns="0" tIns="0" rIns="0" bIns="0" rtlCol="0">
                          <a:noAutofit/>
                        </wps:bodyPr>
                      </wps:wsp>
                      <wps:wsp>
                        <wps:cNvPr id="61" name="Rectangle 61"/>
                        <wps:cNvSpPr/>
                        <wps:spPr>
                          <a:xfrm>
                            <a:off x="3810000" y="6130784"/>
                            <a:ext cx="253365" cy="187055"/>
                          </a:xfrm>
                          <a:prstGeom prst="rect">
                            <a:avLst/>
                          </a:prstGeom>
                          <a:ln>
                            <a:noFill/>
                          </a:ln>
                        </wps:spPr>
                        <wps:txbx>
                          <w:txbxContent>
                            <w:p w:rsidR="00C3791F" w:rsidRDefault="00AE1F83">
                              <w:pPr>
                                <w:spacing w:after="160" w:line="259" w:lineRule="auto"/>
                                <w:ind w:left="0" w:firstLine="0"/>
                                <w:jc w:val="left"/>
                              </w:pPr>
                              <w:r>
                                <w:rPr>
                                  <w:sz w:val="20"/>
                                </w:rPr>
                                <w:t>202</w:t>
                              </w:r>
                            </w:p>
                          </w:txbxContent>
                        </wps:txbx>
                        <wps:bodyPr horzOverflow="overflow" vert="horz" lIns="0" tIns="0" rIns="0" bIns="0" rtlCol="0">
                          <a:noAutofit/>
                        </wps:bodyPr>
                      </wps:wsp>
                      <wps:wsp>
                        <wps:cNvPr id="62" name="Rectangle 62"/>
                        <wps:cNvSpPr/>
                        <wps:spPr>
                          <a:xfrm>
                            <a:off x="541020" y="6464384"/>
                            <a:ext cx="3690414" cy="224465"/>
                          </a:xfrm>
                          <a:prstGeom prst="rect">
                            <a:avLst/>
                          </a:prstGeom>
                          <a:ln>
                            <a:noFill/>
                          </a:ln>
                        </wps:spPr>
                        <wps:txbx>
                          <w:txbxContent>
                            <w:p w:rsidR="00C3791F" w:rsidRDefault="00AE1F83">
                              <w:pPr>
                                <w:spacing w:after="160" w:line="259" w:lineRule="auto"/>
                                <w:ind w:left="0" w:firstLine="0"/>
                                <w:jc w:val="left"/>
                              </w:pPr>
                              <w:r>
                                <w:t>Разработчики клинических рекомендаций:</w:t>
                              </w:r>
                            </w:p>
                          </w:txbxContent>
                        </wps:txbx>
                        <wps:bodyPr horzOverflow="overflow" vert="horz" lIns="0" tIns="0" rIns="0" bIns="0" rtlCol="0">
                          <a:noAutofit/>
                        </wps:bodyPr>
                      </wps:wsp>
                      <wps:wsp>
                        <wps:cNvPr id="63" name="Rectangle 63"/>
                        <wps:cNvSpPr/>
                        <wps:spPr>
                          <a:xfrm>
                            <a:off x="541020" y="6814904"/>
                            <a:ext cx="70942" cy="224466"/>
                          </a:xfrm>
                          <a:prstGeom prst="rect">
                            <a:avLst/>
                          </a:prstGeom>
                          <a:ln>
                            <a:noFill/>
                          </a:ln>
                        </wps:spPr>
                        <wps:txbx>
                          <w:txbxContent>
                            <w:p w:rsidR="00C3791F" w:rsidRDefault="00AE1F83">
                              <w:pPr>
                                <w:spacing w:after="160" w:line="259" w:lineRule="auto"/>
                                <w:ind w:left="0" w:firstLine="0"/>
                                <w:jc w:val="left"/>
                              </w:pPr>
                              <w:r>
                                <w:t>•</w:t>
                              </w:r>
                            </w:p>
                          </w:txbxContent>
                        </wps:txbx>
                        <wps:bodyPr horzOverflow="overflow" vert="horz" lIns="0" tIns="0" rIns="0" bIns="0" rtlCol="0">
                          <a:noAutofit/>
                        </wps:bodyPr>
                      </wps:wsp>
                      <wps:wsp>
                        <wps:cNvPr id="64" name="Rectangle 64"/>
                        <wps:cNvSpPr/>
                        <wps:spPr>
                          <a:xfrm>
                            <a:off x="746125" y="6821889"/>
                            <a:ext cx="7218470" cy="224466"/>
                          </a:xfrm>
                          <a:prstGeom prst="rect">
                            <a:avLst/>
                          </a:prstGeom>
                          <a:ln>
                            <a:noFill/>
                          </a:ln>
                        </wps:spPr>
                        <wps:txbx>
                          <w:txbxContent>
                            <w:p w:rsidR="00C3791F" w:rsidRDefault="00AE1F83">
                              <w:pPr>
                                <w:spacing w:after="160" w:line="259" w:lineRule="auto"/>
                                <w:ind w:left="0" w:firstLine="0"/>
                                <w:jc w:val="left"/>
                              </w:pPr>
                              <w:r>
                                <w:t>Общероссийская общественная организация «Российское общество онкоурологов»</w:t>
                              </w:r>
                            </w:p>
                          </w:txbxContent>
                        </wps:txbx>
                        <wps:bodyPr horzOverflow="overflow" vert="horz" lIns="0" tIns="0" rIns="0" bIns="0" rtlCol="0">
                          <a:noAutofit/>
                        </wps:bodyPr>
                      </wps:wsp>
                      <wps:wsp>
                        <wps:cNvPr id="65" name="Rectangle 65"/>
                        <wps:cNvSpPr/>
                        <wps:spPr>
                          <a:xfrm>
                            <a:off x="6177280" y="6821889"/>
                            <a:ext cx="50673" cy="224466"/>
                          </a:xfrm>
                          <a:prstGeom prst="rect">
                            <a:avLst/>
                          </a:prstGeom>
                          <a:ln>
                            <a:noFill/>
                          </a:ln>
                        </wps:spPr>
                        <wps:txbx>
                          <w:txbxContent>
                            <w:p w:rsidR="00C3791F" w:rsidRDefault="00AE1F83">
                              <w:pPr>
                                <w:spacing w:after="160" w:line="259" w:lineRule="auto"/>
                                <w:ind w:left="0" w:firstLine="0"/>
                                <w:jc w:val="left"/>
                              </w:pPr>
                              <w:r>
                                <w:t xml:space="preserve"> </w:t>
                              </w:r>
                            </w:p>
                          </w:txbxContent>
                        </wps:txbx>
                        <wps:bodyPr horzOverflow="overflow" vert="horz" lIns="0" tIns="0" rIns="0" bIns="0" rtlCol="0">
                          <a:noAutofit/>
                        </wps:bodyPr>
                      </wps:wsp>
                      <wps:wsp>
                        <wps:cNvPr id="66" name="Rectangle 66"/>
                        <wps:cNvSpPr/>
                        <wps:spPr>
                          <a:xfrm>
                            <a:off x="541020" y="7143834"/>
                            <a:ext cx="70942" cy="224466"/>
                          </a:xfrm>
                          <a:prstGeom prst="rect">
                            <a:avLst/>
                          </a:prstGeom>
                          <a:ln>
                            <a:noFill/>
                          </a:ln>
                        </wps:spPr>
                        <wps:txbx>
                          <w:txbxContent>
                            <w:p w:rsidR="00C3791F" w:rsidRDefault="00AE1F83">
                              <w:pPr>
                                <w:spacing w:after="160" w:line="259" w:lineRule="auto"/>
                                <w:ind w:left="0" w:firstLine="0"/>
                                <w:jc w:val="left"/>
                              </w:pPr>
                              <w:r>
                                <w:t>•</w:t>
                              </w:r>
                            </w:p>
                          </w:txbxContent>
                        </wps:txbx>
                        <wps:bodyPr horzOverflow="overflow" vert="horz" lIns="0" tIns="0" rIns="0" bIns="0" rtlCol="0">
                          <a:noAutofit/>
                        </wps:bodyPr>
                      </wps:wsp>
                      <wps:wsp>
                        <wps:cNvPr id="67" name="Rectangle 67"/>
                        <wps:cNvSpPr/>
                        <wps:spPr>
                          <a:xfrm>
                            <a:off x="746125" y="7150820"/>
                            <a:ext cx="6185350" cy="224466"/>
                          </a:xfrm>
                          <a:prstGeom prst="rect">
                            <a:avLst/>
                          </a:prstGeom>
                          <a:ln>
                            <a:noFill/>
                          </a:ln>
                        </wps:spPr>
                        <wps:txbx>
                          <w:txbxContent>
                            <w:p w:rsidR="00C3791F" w:rsidRDefault="00AE1F83">
                              <w:pPr>
                                <w:spacing w:after="160" w:line="259" w:lineRule="auto"/>
                                <w:ind w:left="0" w:firstLine="0"/>
                                <w:jc w:val="left"/>
                              </w:pPr>
                              <w:r>
                                <w:t>Общероссийский национальный союз «Ассоциация онкологов России»</w:t>
                              </w:r>
                            </w:p>
                          </w:txbxContent>
                        </wps:txbx>
                        <wps:bodyPr horzOverflow="overflow" vert="horz" lIns="0" tIns="0" rIns="0" bIns="0" rtlCol="0">
                          <a:noAutofit/>
                        </wps:bodyPr>
                      </wps:wsp>
                      <wps:wsp>
                        <wps:cNvPr id="68" name="Rectangle 68"/>
                        <wps:cNvSpPr/>
                        <wps:spPr>
                          <a:xfrm>
                            <a:off x="541020" y="7472764"/>
                            <a:ext cx="70942" cy="224466"/>
                          </a:xfrm>
                          <a:prstGeom prst="rect">
                            <a:avLst/>
                          </a:prstGeom>
                          <a:ln>
                            <a:noFill/>
                          </a:ln>
                        </wps:spPr>
                        <wps:txbx>
                          <w:txbxContent>
                            <w:p w:rsidR="00C3791F" w:rsidRDefault="00AE1F83">
                              <w:pPr>
                                <w:spacing w:after="160" w:line="259" w:lineRule="auto"/>
                                <w:ind w:left="0" w:firstLine="0"/>
                                <w:jc w:val="left"/>
                              </w:pPr>
                              <w:r>
                                <w:t>•</w:t>
                              </w:r>
                            </w:p>
                          </w:txbxContent>
                        </wps:txbx>
                        <wps:bodyPr horzOverflow="overflow" vert="horz" lIns="0" tIns="0" rIns="0" bIns="0" rtlCol="0">
                          <a:noAutofit/>
                        </wps:bodyPr>
                      </wps:wsp>
                      <wps:wsp>
                        <wps:cNvPr id="69" name="Rectangle 69"/>
                        <wps:cNvSpPr/>
                        <wps:spPr>
                          <a:xfrm>
                            <a:off x="746125" y="7479750"/>
                            <a:ext cx="8099167" cy="224466"/>
                          </a:xfrm>
                          <a:prstGeom prst="rect">
                            <a:avLst/>
                          </a:prstGeom>
                          <a:ln>
                            <a:noFill/>
                          </a:ln>
                        </wps:spPr>
                        <wps:txbx>
                          <w:txbxContent>
                            <w:p w:rsidR="00C3791F" w:rsidRDefault="00AE1F83">
                              <w:pPr>
                                <w:spacing w:after="160" w:line="259" w:lineRule="auto"/>
                                <w:ind w:left="0" w:firstLine="0"/>
                                <w:jc w:val="left"/>
                              </w:pPr>
                              <w:r>
                                <w:t>Общероссийская общественная организация «Российское общество клинической онкологии»</w:t>
                              </w:r>
                            </w:p>
                          </w:txbxContent>
                        </wps:txbx>
                        <wps:bodyPr horzOverflow="overflow" vert="horz" lIns="0" tIns="0" rIns="0" bIns="0" rtlCol="0">
                          <a:noAutofit/>
                        </wps:bodyPr>
                      </wps:wsp>
                      <wps:wsp>
                        <wps:cNvPr id="70" name="Rectangle 70"/>
                        <wps:cNvSpPr/>
                        <wps:spPr>
                          <a:xfrm>
                            <a:off x="541020" y="7801695"/>
                            <a:ext cx="70942" cy="224466"/>
                          </a:xfrm>
                          <a:prstGeom prst="rect">
                            <a:avLst/>
                          </a:prstGeom>
                          <a:ln>
                            <a:noFill/>
                          </a:ln>
                        </wps:spPr>
                        <wps:txbx>
                          <w:txbxContent>
                            <w:p w:rsidR="00C3791F" w:rsidRDefault="00AE1F83">
                              <w:pPr>
                                <w:spacing w:after="160" w:line="259" w:lineRule="auto"/>
                                <w:ind w:left="0" w:firstLine="0"/>
                                <w:jc w:val="left"/>
                              </w:pPr>
                              <w:r>
                                <w:t>•</w:t>
                              </w:r>
                            </w:p>
                          </w:txbxContent>
                        </wps:txbx>
                        <wps:bodyPr horzOverflow="overflow" vert="horz" lIns="0" tIns="0" rIns="0" bIns="0" rtlCol="0">
                          <a:noAutofit/>
                        </wps:bodyPr>
                      </wps:wsp>
                      <wps:wsp>
                        <wps:cNvPr id="71" name="Rectangle 71"/>
                        <wps:cNvSpPr/>
                        <wps:spPr>
                          <a:xfrm>
                            <a:off x="746125" y="7808679"/>
                            <a:ext cx="6809032" cy="224466"/>
                          </a:xfrm>
                          <a:prstGeom prst="rect">
                            <a:avLst/>
                          </a:prstGeom>
                          <a:ln>
                            <a:noFill/>
                          </a:ln>
                        </wps:spPr>
                        <wps:txbx>
                          <w:txbxContent>
                            <w:p w:rsidR="00C3791F" w:rsidRDefault="00AE1F83">
                              <w:pPr>
                                <w:spacing w:after="160" w:line="259" w:lineRule="auto"/>
                                <w:ind w:left="0" w:firstLine="0"/>
                                <w:jc w:val="left"/>
                              </w:pPr>
                              <w:r>
                                <w:t>Общероссийская общественная организация «Российское общество урологов»</w:t>
                              </w:r>
                            </w:p>
                          </w:txbxContent>
                        </wps:txbx>
                        <wps:bodyPr horzOverflow="overflow" vert="horz" lIns="0" tIns="0" rIns="0" bIns="0" rtlCol="0">
                          <a:noAutofit/>
                        </wps:bodyPr>
                      </wps:wsp>
                      <wps:wsp>
                        <wps:cNvPr id="72" name="Rectangle 72"/>
                        <wps:cNvSpPr/>
                        <wps:spPr>
                          <a:xfrm>
                            <a:off x="731520" y="9515969"/>
                            <a:ext cx="3931887" cy="187055"/>
                          </a:xfrm>
                          <a:prstGeom prst="rect">
                            <a:avLst/>
                          </a:prstGeom>
                          <a:ln>
                            <a:noFill/>
                          </a:ln>
                        </wps:spPr>
                        <wps:txbx>
                          <w:txbxContent>
                            <w:p w:rsidR="00C3791F" w:rsidRDefault="00AE1F83">
                              <w:pPr>
                                <w:spacing w:after="160" w:line="259" w:lineRule="auto"/>
                                <w:ind w:left="0" w:firstLine="0"/>
                                <w:jc w:val="left"/>
                              </w:pPr>
                              <w:r>
                                <w:rPr>
                                  <w:sz w:val="20"/>
                                </w:rPr>
                                <w:t>«Одобрено на заседании научно-практического совета</w:t>
                              </w:r>
                            </w:p>
                          </w:txbxContent>
                        </wps:txbx>
                        <wps:bodyPr horzOverflow="overflow" vert="horz" lIns="0" tIns="0" rIns="0" bIns="0" rtlCol="0">
                          <a:noAutofit/>
                        </wps:bodyPr>
                      </wps:wsp>
                      <wps:wsp>
                        <wps:cNvPr id="73" name="Rectangle 73"/>
                        <wps:cNvSpPr/>
                        <wps:spPr>
                          <a:xfrm>
                            <a:off x="3689985" y="9515969"/>
                            <a:ext cx="42228" cy="187055"/>
                          </a:xfrm>
                          <a:prstGeom prst="rect">
                            <a:avLst/>
                          </a:prstGeom>
                          <a:ln>
                            <a:noFill/>
                          </a:ln>
                        </wps:spPr>
                        <wps:txbx>
                          <w:txbxContent>
                            <w:p w:rsidR="00C3791F" w:rsidRDefault="00AE1F83">
                              <w:pPr>
                                <w:spacing w:after="160" w:line="259" w:lineRule="auto"/>
                                <w:ind w:left="0" w:firstLine="0"/>
                                <w:jc w:val="left"/>
                              </w:pPr>
                              <w:r>
                                <w:rPr>
                                  <w:b/>
                                  <w:sz w:val="20"/>
                                </w:rPr>
                                <w:t xml:space="preserve"> </w:t>
                              </w:r>
                            </w:p>
                          </w:txbxContent>
                        </wps:txbx>
                        <wps:bodyPr horzOverflow="overflow" vert="horz" lIns="0" tIns="0" rIns="0" bIns="0" rtlCol="0">
                          <a:noAutofit/>
                        </wps:bodyPr>
                      </wps:wsp>
                      <wps:wsp>
                        <wps:cNvPr id="74" name="Rectangle 74"/>
                        <wps:cNvSpPr/>
                        <wps:spPr>
                          <a:xfrm>
                            <a:off x="3721735" y="9515969"/>
                            <a:ext cx="4110763" cy="187055"/>
                          </a:xfrm>
                          <a:prstGeom prst="rect">
                            <a:avLst/>
                          </a:prstGeom>
                          <a:ln>
                            <a:noFill/>
                          </a:ln>
                        </wps:spPr>
                        <wps:txbx>
                          <w:txbxContent>
                            <w:p w:rsidR="00C3791F" w:rsidRDefault="00AE1F83">
                              <w:pPr>
                                <w:spacing w:after="160" w:line="259" w:lineRule="auto"/>
                                <w:ind w:left="0" w:firstLine="0"/>
                                <w:jc w:val="left"/>
                              </w:pPr>
                              <w:r>
                                <w:rPr>
                                  <w:sz w:val="20"/>
                                </w:rPr>
                                <w:t>Министерства здравоохранения Российской Федерации»</w:t>
                              </w:r>
                            </w:p>
                          </w:txbxContent>
                        </wps:txbx>
                        <wps:bodyPr horzOverflow="overflow" vert="horz" lIns="0" tIns="0" rIns="0" bIns="0" rtlCol="0">
                          <a:noAutofit/>
                        </wps:bodyPr>
                      </wps:wsp>
                      <wps:wsp>
                        <wps:cNvPr id="75" name="Rectangle 75"/>
                        <wps:cNvSpPr/>
                        <wps:spPr>
                          <a:xfrm>
                            <a:off x="716280" y="10306317"/>
                            <a:ext cx="789823" cy="149644"/>
                          </a:xfrm>
                          <a:prstGeom prst="rect">
                            <a:avLst/>
                          </a:prstGeom>
                          <a:ln>
                            <a:noFill/>
                          </a:ln>
                        </wps:spPr>
                        <wps:txbx>
                          <w:txbxContent>
                            <w:p w:rsidR="00C3791F" w:rsidRDefault="00AE1F83">
                              <w:pPr>
                                <w:spacing w:after="160" w:line="259" w:lineRule="auto"/>
                                <w:ind w:left="0" w:firstLine="0"/>
                                <w:jc w:val="left"/>
                              </w:pPr>
                              <w:r>
                                <w:rPr>
                                  <w:b/>
                                  <w:sz w:val="16"/>
                                </w:rPr>
                                <w:t>Утверждено:</w:t>
                              </w:r>
                            </w:p>
                          </w:txbxContent>
                        </wps:txbx>
                        <wps:bodyPr horzOverflow="overflow" vert="horz" lIns="0" tIns="0" rIns="0" bIns="0" rtlCol="0">
                          <a:noAutofit/>
                        </wps:bodyPr>
                      </wps:wsp>
                      <wps:wsp>
                        <wps:cNvPr id="76" name="Rectangle 76"/>
                        <wps:cNvSpPr/>
                        <wps:spPr>
                          <a:xfrm>
                            <a:off x="2098040" y="10306317"/>
                            <a:ext cx="789823" cy="149644"/>
                          </a:xfrm>
                          <a:prstGeom prst="rect">
                            <a:avLst/>
                          </a:prstGeom>
                          <a:ln>
                            <a:noFill/>
                          </a:ln>
                        </wps:spPr>
                        <wps:txbx>
                          <w:txbxContent>
                            <w:p w:rsidR="00C3791F" w:rsidRDefault="00AE1F83">
                              <w:pPr>
                                <w:spacing w:after="160" w:line="259" w:lineRule="auto"/>
                                <w:ind w:left="0" w:firstLine="0"/>
                                <w:jc w:val="left"/>
                              </w:pPr>
                              <w:r>
                                <w:rPr>
                                  <w:b/>
                                  <w:sz w:val="16"/>
                                </w:rPr>
                                <w:t>Утверждено:</w:t>
                              </w:r>
                            </w:p>
                          </w:txbxContent>
                        </wps:txbx>
                        <wps:bodyPr horzOverflow="overflow" vert="horz" lIns="0" tIns="0" rIns="0" bIns="0" rtlCol="0">
                          <a:noAutofit/>
                        </wps:bodyPr>
                      </wps:wsp>
                      <wps:wsp>
                        <wps:cNvPr id="77" name="Rectangle 77"/>
                        <wps:cNvSpPr/>
                        <wps:spPr>
                          <a:xfrm>
                            <a:off x="3828415" y="10306317"/>
                            <a:ext cx="789823" cy="149644"/>
                          </a:xfrm>
                          <a:prstGeom prst="rect">
                            <a:avLst/>
                          </a:prstGeom>
                          <a:ln>
                            <a:noFill/>
                          </a:ln>
                        </wps:spPr>
                        <wps:txbx>
                          <w:txbxContent>
                            <w:p w:rsidR="00C3791F" w:rsidRDefault="00AE1F83">
                              <w:pPr>
                                <w:spacing w:after="160" w:line="259" w:lineRule="auto"/>
                                <w:ind w:left="0" w:firstLine="0"/>
                                <w:jc w:val="left"/>
                              </w:pPr>
                              <w:r>
                                <w:rPr>
                                  <w:b/>
                                  <w:sz w:val="16"/>
                                </w:rPr>
                                <w:t>Утверждено:</w:t>
                              </w:r>
                            </w:p>
                          </w:txbxContent>
                        </wps:txbx>
                        <wps:bodyPr horzOverflow="overflow" vert="horz" lIns="0" tIns="0" rIns="0" bIns="0" rtlCol="0">
                          <a:noAutofit/>
                        </wps:bodyPr>
                      </wps:wsp>
                      <wps:wsp>
                        <wps:cNvPr id="78" name="Rectangle 78"/>
                        <wps:cNvSpPr/>
                        <wps:spPr>
                          <a:xfrm>
                            <a:off x="5793105" y="10306317"/>
                            <a:ext cx="789823" cy="149644"/>
                          </a:xfrm>
                          <a:prstGeom prst="rect">
                            <a:avLst/>
                          </a:prstGeom>
                          <a:ln>
                            <a:noFill/>
                          </a:ln>
                        </wps:spPr>
                        <wps:txbx>
                          <w:txbxContent>
                            <w:p w:rsidR="00C3791F" w:rsidRDefault="00AE1F83">
                              <w:pPr>
                                <w:spacing w:after="160" w:line="259" w:lineRule="auto"/>
                                <w:ind w:left="0" w:firstLine="0"/>
                                <w:jc w:val="left"/>
                              </w:pPr>
                              <w:r>
                                <w:rPr>
                                  <w:b/>
                                  <w:sz w:val="16"/>
                                </w:rPr>
                                <w:t>Утверждено:</w:t>
                              </w:r>
                            </w:p>
                          </w:txbxContent>
                        </wps:txbx>
                        <wps:bodyPr horzOverflow="overflow" vert="horz" lIns="0" tIns="0" rIns="0" bIns="0" rtlCol="0">
                          <a:noAutofit/>
                        </wps:bodyPr>
                      </wps:wsp>
                    </wpg:wgp>
                  </a:graphicData>
                </a:graphic>
              </wp:anchor>
            </w:drawing>
          </mc:Choice>
          <mc:Fallback xmlns:a="http://schemas.openxmlformats.org/drawingml/2006/main">
            <w:pict>
              <v:group id="Group 99118" style="width:594.1pt;height:841.311pt;position:absolute;mso-position-horizontal-relative:page;mso-position-horizontal:absolute;margin-left:0pt;mso-position-vertical-relative:page;margin-top:0.551025pt;" coordsize="75450,106846">
                <v:shape id="Shape 130529" style="position:absolute;width:75450;height:106846;left:0;top:0;" coordsize="7545070,10684649" path="m0,0l7545070,0l7545070,10684649l0,10684649l0,0">
                  <v:stroke weight="0pt" endcap="flat" joinstyle="miter" miterlimit="10" on="false" color="#000000" opacity="0"/>
                  <v:fill on="true" color="#0b595d"/>
                </v:shape>
                <v:shape id="Shape 7" style="position:absolute;width:67818;height:98964;left:3810;top:3638;" coordsize="6781800,9896475" path="m0,0l6781800,0l6781800,9896475l3390900,9896475l0,9896475l0,0x">
                  <v:stroke weight="0pt" endcap="flat" joinstyle="miter" miterlimit="10" on="false" color="#000000" opacity="0"/>
                  <v:fill on="true" color="#ffffff"/>
                </v:shape>
                <v:shape id="Shape 8" style="position:absolute;width:67818;height:99822;left:3810;top:3644;" coordsize="6781800,9982200" path="m0,0l6781800,0l6781800,9982200l3390900,9982200l0,9982200l0,0x">
                  <v:stroke weight="0pt" endcap="flat" joinstyle="miter" miterlimit="10" on="false" color="#000000" opacity="0"/>
                  <v:fill on="true" color="#ffffff"/>
                </v:shape>
                <v:rect id="Rectangle 9" style="position:absolute;width:854;height:1689;left:42443;top:97986;" filled="f" stroked="f">
                  <v:textbox inset="0,0,0,0">
                    <w:txbxContent>
                      <w:p>
                        <w:pPr>
                          <w:spacing w:before="0" w:after="160" w:line="259" w:lineRule="auto"/>
                          <w:ind w:left="0" w:firstLine="0"/>
                          <w:jc w:val="left"/>
                        </w:pPr>
                        <w:r>
                          <w:rPr>
                            <w:rFonts w:cs="Calibri" w:hAnsi="Calibri" w:eastAsia="Calibri" w:ascii="Calibri"/>
                            <w:sz w:val="20"/>
                          </w:rPr>
                          <w:t xml:space="preserve">1</w:t>
                        </w:r>
                      </w:p>
                    </w:txbxContent>
                  </v:textbox>
                </v:rect>
                <v:rect id="Rectangle 10" style="position:absolute;width:422;height:1870;left:4724;top:8628;" filled="f" stroked="f">
                  <v:textbox inset="0,0,0,0">
                    <w:txbxContent>
                      <w:p>
                        <w:pPr>
                          <w:spacing w:before="0" w:after="160" w:line="259" w:lineRule="auto"/>
                          <w:ind w:left="0" w:firstLine="0"/>
                          <w:jc w:val="left"/>
                        </w:pPr>
                        <w:r>
                          <w:rPr>
                            <w:sz w:val="20"/>
                          </w:rPr>
                          <w:t xml:space="preserve"> </w:t>
                        </w:r>
                      </w:p>
                    </w:txbxContent>
                  </v:textbox>
                </v:rect>
                <v:rect id="Rectangle 11" style="position:absolute;width:422;height:1870;left:5041;top:8628;" filled="f" stroked="f">
                  <v:textbox inset="0,0,0,0">
                    <w:txbxContent>
                      <w:p>
                        <w:pPr>
                          <w:spacing w:before="0" w:after="160" w:line="259" w:lineRule="auto"/>
                          <w:ind w:left="0" w:firstLine="0"/>
                          <w:jc w:val="left"/>
                        </w:pPr>
                        <w:r>
                          <w:rPr>
                            <w:sz w:val="20"/>
                          </w:rPr>
                          <w:t xml:space="preserve"> </w:t>
                        </w:r>
                      </w:p>
                    </w:txbxContent>
                  </v:textbox>
                </v:rect>
                <v:rect id="Rectangle 12" style="position:absolute;width:7898;height:1496;left:12890;top:10016;"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Утверждено:</w:t>
                        </w:r>
                      </w:p>
                    </w:txbxContent>
                  </v:textbox>
                </v:rect>
                <v:rect id="Rectangle 13" style="position:absolute;width:9768;height:1496;left:11480;top:11769;" filled="f" stroked="f">
                  <v:textbox inset="0,0,0,0">
                    <w:txbxContent>
                      <w:p>
                        <w:pPr>
                          <w:spacing w:before="0" w:after="160" w:line="259" w:lineRule="auto"/>
                          <w:ind w:left="0" w:firstLine="0"/>
                          <w:jc w:val="left"/>
                        </w:pPr>
                        <w:r>
                          <w:rPr>
                            <w:sz w:val="16"/>
                          </w:rPr>
                          <w:t xml:space="preserve">Общероссийская</w:t>
                        </w:r>
                      </w:p>
                    </w:txbxContent>
                  </v:textbox>
                </v:rect>
                <v:rect id="Rectangle 14" style="position:absolute;width:337;height:1496;left:18834;top:11769;" filled="f" stroked="f">
                  <v:textbox inset="0,0,0,0">
                    <w:txbxContent>
                      <w:p>
                        <w:pPr>
                          <w:spacing w:before="0" w:after="160" w:line="259" w:lineRule="auto"/>
                          <w:ind w:left="0" w:firstLine="0"/>
                          <w:jc w:val="left"/>
                        </w:pPr>
                        <w:r>
                          <w:rPr>
                            <w:sz w:val="16"/>
                          </w:rPr>
                          <w:t xml:space="preserve"> </w:t>
                        </w:r>
                      </w:p>
                    </w:txbxContent>
                  </v:textbox>
                </v:rect>
                <v:rect id="Rectangle 15" style="position:absolute;width:15573;height:1496;left:7112;top:13521;" filled="f" stroked="f">
                  <v:textbox inset="0,0,0,0">
                    <w:txbxContent>
                      <w:p>
                        <w:pPr>
                          <w:spacing w:before="0" w:after="160" w:line="259" w:lineRule="auto"/>
                          <w:ind w:left="0" w:firstLine="0"/>
                          <w:jc w:val="left"/>
                        </w:pPr>
                        <w:r>
                          <w:rPr>
                            <w:sz w:val="16"/>
                          </w:rPr>
                          <w:t xml:space="preserve">общественная организация</w:t>
                        </w:r>
                      </w:p>
                    </w:txbxContent>
                  </v:textbox>
                </v:rect>
                <v:rect id="Rectangle 16" style="position:absolute;width:337;height:1496;left:18834;top:13521;" filled="f" stroked="f">
                  <v:textbox inset="0,0,0,0">
                    <w:txbxContent>
                      <w:p>
                        <w:pPr>
                          <w:spacing w:before="0" w:after="160" w:line="259" w:lineRule="auto"/>
                          <w:ind w:left="0" w:firstLine="0"/>
                          <w:jc w:val="left"/>
                        </w:pPr>
                        <w:r>
                          <w:rPr>
                            <w:sz w:val="16"/>
                          </w:rPr>
                          <w:t xml:space="preserve"> </w:t>
                        </w:r>
                      </w:p>
                    </w:txbxContent>
                  </v:textbox>
                </v:rect>
                <v:rect id="Rectangle 17" style="position:absolute;width:13115;height:1496;left:8966;top:15274;" filled="f" stroked="f">
                  <v:textbox inset="0,0,0,0">
                    <w:txbxContent>
                      <w:p>
                        <w:pPr>
                          <w:spacing w:before="0" w:after="160" w:line="259" w:lineRule="auto"/>
                          <w:ind w:left="0" w:firstLine="0"/>
                          <w:jc w:val="left"/>
                        </w:pPr>
                        <w:r>
                          <w:rPr>
                            <w:sz w:val="16"/>
                          </w:rPr>
                          <w:t xml:space="preserve">«Российское общество</w:t>
                        </w:r>
                      </w:p>
                    </w:txbxContent>
                  </v:textbox>
                </v:rect>
                <v:rect id="Rectangle 18" style="position:absolute;width:337;height:1496;left:18834;top:15274;" filled="f" stroked="f">
                  <v:textbox inset="0,0,0,0">
                    <w:txbxContent>
                      <w:p>
                        <w:pPr>
                          <w:spacing w:before="0" w:after="160" w:line="259" w:lineRule="auto"/>
                          <w:ind w:left="0" w:firstLine="0"/>
                          <w:jc w:val="left"/>
                        </w:pPr>
                        <w:r>
                          <w:rPr>
                            <w:sz w:val="16"/>
                          </w:rPr>
                          <w:t xml:space="preserve"> </w:t>
                        </w:r>
                      </w:p>
                    </w:txbxContent>
                  </v:textbox>
                </v:rect>
                <v:rect id="Rectangle 19" style="position:absolute;width:5919;height:1496;left:14382;top:17027;" filled="f" stroked="f">
                  <v:textbox inset="0,0,0,0">
                    <w:txbxContent>
                      <w:p>
                        <w:pPr>
                          <w:spacing w:before="0" w:after="160" w:line="259" w:lineRule="auto"/>
                          <w:ind w:left="0" w:firstLine="0"/>
                          <w:jc w:val="left"/>
                        </w:pPr>
                        <w:r>
                          <w:rPr>
                            <w:sz w:val="16"/>
                          </w:rPr>
                          <w:t xml:space="preserve">урологов»</w:t>
                        </w:r>
                      </w:p>
                    </w:txbxContent>
                  </v:textbox>
                </v:rect>
                <v:rect id="Rectangle 20" style="position:absolute;width:16891;height:1496;left:5422;top:22284;" filled="f" stroked="f">
                  <v:textbox inset="0,0,0,0">
                    <w:txbxContent>
                      <w:p>
                        <w:pPr>
                          <w:spacing w:before="0" w:after="160" w:line="259" w:lineRule="auto"/>
                          <w:ind w:left="0" w:firstLine="0"/>
                          <w:jc w:val="left"/>
                        </w:pPr>
                        <w:r>
                          <w:rPr>
                            <w:sz w:val="16"/>
                          </w:rPr>
                          <w:t xml:space="preserve">_________________________</w:t>
                        </w:r>
                      </w:p>
                    </w:txbxContent>
                  </v:textbox>
                </v:rect>
                <v:rect id="Rectangle 21" style="position:absolute;width:9468;height:1496;left:5422;top:24037;"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                     м.п.</w:t>
                        </w:r>
                      </w:p>
                    </w:txbxContent>
                  </v:textbox>
                </v:rect>
                <v:rect id="Rectangle 22" style="position:absolute;width:7898;height:1496;left:26708;top:10016;"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Утверждено:</w:t>
                        </w:r>
                      </w:p>
                    </w:txbxContent>
                  </v:textbox>
                </v:rect>
                <v:rect id="Rectangle 23" style="position:absolute;width:9768;height:1496;left:25298;top:11769;" filled="f" stroked="f">
                  <v:textbox inset="0,0,0,0">
                    <w:txbxContent>
                      <w:p>
                        <w:pPr>
                          <w:spacing w:before="0" w:after="160" w:line="259" w:lineRule="auto"/>
                          <w:ind w:left="0" w:firstLine="0"/>
                          <w:jc w:val="left"/>
                        </w:pPr>
                        <w:r>
                          <w:rPr>
                            <w:sz w:val="16"/>
                          </w:rPr>
                          <w:t xml:space="preserve">Общероссийская</w:t>
                        </w:r>
                      </w:p>
                    </w:txbxContent>
                  </v:textbox>
                </v:rect>
                <v:rect id="Rectangle 24" style="position:absolute;width:337;height:1496;left:32651;top:11769;" filled="f" stroked="f">
                  <v:textbox inset="0,0,0,0">
                    <w:txbxContent>
                      <w:p>
                        <w:pPr>
                          <w:spacing w:before="0" w:after="160" w:line="259" w:lineRule="auto"/>
                          <w:ind w:left="0" w:firstLine="0"/>
                          <w:jc w:val="left"/>
                        </w:pPr>
                        <w:r>
                          <w:rPr>
                            <w:sz w:val="16"/>
                          </w:rPr>
                          <w:t xml:space="preserve"> </w:t>
                        </w:r>
                      </w:p>
                    </w:txbxContent>
                  </v:textbox>
                </v:rect>
                <v:rect id="Rectangle 25" style="position:absolute;width:15573;height:1496;left:20929;top:13521;" filled="f" stroked="f">
                  <v:textbox inset="0,0,0,0">
                    <w:txbxContent>
                      <w:p>
                        <w:pPr>
                          <w:spacing w:before="0" w:after="160" w:line="259" w:lineRule="auto"/>
                          <w:ind w:left="0" w:firstLine="0"/>
                          <w:jc w:val="left"/>
                        </w:pPr>
                        <w:r>
                          <w:rPr>
                            <w:sz w:val="16"/>
                          </w:rPr>
                          <w:t xml:space="preserve">общественная организация</w:t>
                        </w:r>
                      </w:p>
                    </w:txbxContent>
                  </v:textbox>
                </v:rect>
                <v:rect id="Rectangle 26" style="position:absolute;width:337;height:1496;left:32651;top:13521;" filled="f" stroked="f">
                  <v:textbox inset="0,0,0,0">
                    <w:txbxContent>
                      <w:p>
                        <w:pPr>
                          <w:spacing w:before="0" w:after="160" w:line="259" w:lineRule="auto"/>
                          <w:ind w:left="0" w:firstLine="0"/>
                          <w:jc w:val="left"/>
                        </w:pPr>
                        <w:r>
                          <w:rPr>
                            <w:sz w:val="16"/>
                          </w:rPr>
                          <w:t xml:space="preserve"> </w:t>
                        </w:r>
                      </w:p>
                    </w:txbxContent>
                  </v:textbox>
                </v:rect>
                <v:rect id="Rectangle 27" style="position:absolute;width:13115;height:1496;left:22783;top:15274;" filled="f" stroked="f">
                  <v:textbox inset="0,0,0,0">
                    <w:txbxContent>
                      <w:p>
                        <w:pPr>
                          <w:spacing w:before="0" w:after="160" w:line="259" w:lineRule="auto"/>
                          <w:ind w:left="0" w:firstLine="0"/>
                          <w:jc w:val="left"/>
                        </w:pPr>
                        <w:r>
                          <w:rPr>
                            <w:sz w:val="16"/>
                          </w:rPr>
                          <w:t xml:space="preserve">«Российское общество</w:t>
                        </w:r>
                      </w:p>
                    </w:txbxContent>
                  </v:textbox>
                </v:rect>
                <v:rect id="Rectangle 28" style="position:absolute;width:337;height:1496;left:32651;top:15274;" filled="f" stroked="f">
                  <v:textbox inset="0,0,0,0">
                    <w:txbxContent>
                      <w:p>
                        <w:pPr>
                          <w:spacing w:before="0" w:after="160" w:line="259" w:lineRule="auto"/>
                          <w:ind w:left="0" w:firstLine="0"/>
                          <w:jc w:val="left"/>
                        </w:pPr>
                        <w:r>
                          <w:rPr>
                            <w:sz w:val="16"/>
                          </w:rPr>
                          <w:t xml:space="preserve"> </w:t>
                        </w:r>
                      </w:p>
                    </w:txbxContent>
                  </v:textbox>
                </v:rect>
                <v:rect id="Rectangle 29" style="position:absolute;width:14519;height:1496;left:21729;top:17027;" filled="f" stroked="f">
                  <v:textbox inset="0,0,0,0">
                    <w:txbxContent>
                      <w:p>
                        <w:pPr>
                          <w:spacing w:before="0" w:after="160" w:line="259" w:lineRule="auto"/>
                          <w:ind w:left="0" w:firstLine="0"/>
                          <w:jc w:val="left"/>
                        </w:pPr>
                        <w:r>
                          <w:rPr>
                            <w:sz w:val="16"/>
                          </w:rPr>
                          <w:t xml:space="preserve">клинической онкологии»</w:t>
                        </w:r>
                      </w:p>
                    </w:txbxContent>
                  </v:textbox>
                </v:rect>
                <v:rect id="Rectangle 30" style="position:absolute;width:16215;height:1496;left:20199;top:22284;"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________________________</w:t>
                        </w:r>
                      </w:p>
                    </w:txbxContent>
                  </v:textbox>
                </v:rect>
                <v:rect id="Rectangle 31" style="position:absolute;width:9130;height:1496;left:20199;top:24037;"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                    м.п.</w:t>
                        </w:r>
                      </w:p>
                    </w:txbxContent>
                  </v:textbox>
                </v:rect>
                <v:rect id="Rectangle 32" style="position:absolute;width:7898;height:1496;left:44011;top:10016;"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Утверждено:</w:t>
                        </w:r>
                      </w:p>
                    </w:txbxContent>
                  </v:textbox>
                </v:rect>
                <v:rect id="Rectangle 33" style="position:absolute;width:9768;height:1496;left:42602;top:11769;" filled="f" stroked="f">
                  <v:textbox inset="0,0,0,0">
                    <w:txbxContent>
                      <w:p>
                        <w:pPr>
                          <w:spacing w:before="0" w:after="160" w:line="259" w:lineRule="auto"/>
                          <w:ind w:left="0" w:firstLine="0"/>
                          <w:jc w:val="left"/>
                        </w:pPr>
                        <w:r>
                          <w:rPr>
                            <w:sz w:val="16"/>
                          </w:rPr>
                          <w:t xml:space="preserve">Общероссийская</w:t>
                        </w:r>
                      </w:p>
                    </w:txbxContent>
                  </v:textbox>
                </v:rect>
                <v:rect id="Rectangle 34" style="position:absolute;width:15573;height:1496;left:38233;top:13521;" filled="f" stroked="f">
                  <v:textbox inset="0,0,0,0">
                    <w:txbxContent>
                      <w:p>
                        <w:pPr>
                          <w:spacing w:before="0" w:after="160" w:line="259" w:lineRule="auto"/>
                          <w:ind w:left="0" w:firstLine="0"/>
                          <w:jc w:val="left"/>
                        </w:pPr>
                        <w:r>
                          <w:rPr>
                            <w:sz w:val="16"/>
                          </w:rPr>
                          <w:t xml:space="preserve">общественная организация</w:t>
                        </w:r>
                      </w:p>
                    </w:txbxContent>
                  </v:textbox>
                </v:rect>
                <v:rect id="Rectangle 35" style="position:absolute;width:337;height:1496;left:49955;top:13521;" filled="f" stroked="f">
                  <v:textbox inset="0,0,0,0">
                    <w:txbxContent>
                      <w:p>
                        <w:pPr>
                          <w:spacing w:before="0" w:after="160" w:line="259" w:lineRule="auto"/>
                          <w:ind w:left="0" w:firstLine="0"/>
                          <w:jc w:val="left"/>
                        </w:pPr>
                        <w:r>
                          <w:rPr>
                            <w:sz w:val="16"/>
                          </w:rPr>
                          <w:t xml:space="preserve"> </w:t>
                        </w:r>
                      </w:p>
                    </w:txbxContent>
                  </v:textbox>
                </v:rect>
                <v:rect id="Rectangle 36" style="position:absolute;width:13115;height:1496;left:40087;top:15274;" filled="f" stroked="f">
                  <v:textbox inset="0,0,0,0">
                    <w:txbxContent>
                      <w:p>
                        <w:pPr>
                          <w:spacing w:before="0" w:after="160" w:line="259" w:lineRule="auto"/>
                          <w:ind w:left="0" w:firstLine="0"/>
                          <w:jc w:val="left"/>
                        </w:pPr>
                        <w:r>
                          <w:rPr>
                            <w:sz w:val="16"/>
                          </w:rPr>
                          <w:t xml:space="preserve">«Российское общество</w:t>
                        </w:r>
                      </w:p>
                    </w:txbxContent>
                  </v:textbox>
                </v:rect>
                <v:rect id="Rectangle 37" style="position:absolute;width:337;height:1496;left:49955;top:15274;" filled="f" stroked="f">
                  <v:textbox inset="0,0,0,0">
                    <w:txbxContent>
                      <w:p>
                        <w:pPr>
                          <w:spacing w:before="0" w:after="160" w:line="259" w:lineRule="auto"/>
                          <w:ind w:left="0" w:firstLine="0"/>
                          <w:jc w:val="left"/>
                        </w:pPr>
                        <w:r>
                          <w:rPr>
                            <w:sz w:val="16"/>
                          </w:rPr>
                          <w:t xml:space="preserve"> </w:t>
                        </w:r>
                      </w:p>
                    </w:txbxContent>
                  </v:textbox>
                </v:rect>
                <v:rect id="Rectangle 38" style="position:absolute;width:8649;height:1496;left:43453;top:17027;" filled="f" stroked="f">
                  <v:textbox inset="0,0,0,0">
                    <w:txbxContent>
                      <w:p>
                        <w:pPr>
                          <w:spacing w:before="0" w:after="160" w:line="259" w:lineRule="auto"/>
                          <w:ind w:left="0" w:firstLine="0"/>
                          <w:jc w:val="left"/>
                        </w:pPr>
                        <w:r>
                          <w:rPr>
                            <w:sz w:val="16"/>
                          </w:rPr>
                          <w:t xml:space="preserve">онкоурологов»</w:t>
                        </w:r>
                      </w:p>
                    </w:txbxContent>
                  </v:textbox>
                </v:rect>
                <v:rect id="Rectangle 39" style="position:absolute;width:20269;height:1496;left:34715;top:22284;" filled="f" stroked="f">
                  <v:textbox inset="0,0,0,0">
                    <w:txbxContent>
                      <w:p>
                        <w:pPr>
                          <w:spacing w:before="0" w:after="160" w:line="259" w:lineRule="auto"/>
                          <w:ind w:left="0" w:firstLine="0"/>
                          <w:jc w:val="left"/>
                        </w:pPr>
                        <w:r>
                          <w:rPr>
                            <w:sz w:val="16"/>
                          </w:rPr>
                          <w:t xml:space="preserve">______________________________</w:t>
                        </w:r>
                      </w:p>
                    </w:txbxContent>
                  </v:textbox>
                </v:rect>
                <v:rect id="Rectangle 40" style="position:absolute;width:2374;height:1496;left:41090;top:24037;"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м.п.</w:t>
                        </w:r>
                      </w:p>
                    </w:txbxContent>
                  </v:textbox>
                </v:rect>
                <v:rect id="Rectangle 41" style="position:absolute;width:7898;height:1496;left:63658;top:10016;"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Утверждено:</w:t>
                        </w:r>
                      </w:p>
                    </w:txbxContent>
                  </v:textbox>
                </v:rect>
                <v:rect id="Rectangle 42" style="position:absolute;width:21893;height:1496;left:53130;top:11769;" filled="f" stroked="f">
                  <v:textbox inset="0,0,0,0">
                    <w:txbxContent>
                      <w:p>
                        <w:pPr>
                          <w:spacing w:before="0" w:after="160" w:line="259" w:lineRule="auto"/>
                          <w:ind w:left="0" w:firstLine="0"/>
                          <w:jc w:val="left"/>
                        </w:pPr>
                        <w:r>
                          <w:rPr>
                            <w:sz w:val="16"/>
                          </w:rPr>
                          <w:t xml:space="preserve">Общероссийский национальный союз</w:t>
                        </w:r>
                      </w:p>
                    </w:txbxContent>
                  </v:textbox>
                </v:rect>
                <v:rect id="Rectangle 43" style="position:absolute;width:19003;height:1496;left:55308;top:13521;" filled="f" stroked="f">
                  <v:textbox inset="0,0,0,0">
                    <w:txbxContent>
                      <w:p>
                        <w:pPr>
                          <w:spacing w:before="0" w:after="160" w:line="259" w:lineRule="auto"/>
                          <w:ind w:left="0" w:firstLine="0"/>
                          <w:jc w:val="left"/>
                        </w:pPr>
                        <w:r>
                          <w:rPr>
                            <w:sz w:val="16"/>
                          </w:rPr>
                          <w:t xml:space="preserve">«Ассоциация онкологов России»</w:t>
                        </w:r>
                      </w:p>
                    </w:txbxContent>
                  </v:textbox>
                </v:rect>
                <v:rect id="Rectangle 44" style="position:absolute;width:18917;height:1496;left:55378;top:22284;"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____________________________</w:t>
                        </w:r>
                      </w:p>
                    </w:txbxContent>
                  </v:textbox>
                </v:rect>
                <v:rect id="Rectangle 45" style="position:absolute;width:13860;height:1496;left:51320;top:24037;"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                                  м.п.</w:t>
                        </w:r>
                      </w:p>
                    </w:txbxContent>
                  </v:textbox>
                </v:rect>
                <v:rect id="Rectangle 46" style="position:absolute;width:21647;height:1870;left:29444;top:37952;" filled="f" stroked="f">
                  <v:textbox inset="0,0,0,0">
                    <w:txbxContent>
                      <w:p>
                        <w:pPr>
                          <w:spacing w:before="0" w:after="160" w:line="259" w:lineRule="auto"/>
                          <w:ind w:left="0" w:firstLine="0"/>
                          <w:jc w:val="left"/>
                        </w:pPr>
                        <w:r>
                          <w:rPr>
                            <w:rFonts w:cs="Times New Roman" w:hAnsi="Times New Roman" w:eastAsia="Times New Roman" w:ascii="Times New Roman"/>
                            <w:b w:val="1"/>
                            <w:sz w:val="20"/>
                          </w:rPr>
                          <w:t xml:space="preserve">Клинические рекомендации</w:t>
                        </w:r>
                      </w:p>
                    </w:txbxContent>
                  </v:textbox>
                </v:rect>
                <v:rect id="Rectangle 47" style="position:absolute;width:37773;height:4115;left:23380;top:44227;"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Рак паренхимы почки</w:t>
                        </w:r>
                      </w:p>
                    </w:txbxContent>
                  </v:textbox>
                </v:rect>
                <v:rect id="Rectangle 48" style="position:absolute;width:28899;height:2244;left:15005;top:50667;" filled="f" stroked="f">
                  <v:textbox inset="0,0,0,0">
                    <w:txbxContent>
                      <w:p>
                        <w:pPr>
                          <w:spacing w:before="0" w:after="160" w:line="259" w:lineRule="auto"/>
                          <w:ind w:left="0" w:firstLine="0"/>
                          <w:jc w:val="left"/>
                        </w:pPr>
                        <w:r>
                          <w:rPr/>
                          <w:t xml:space="preserve">Кодирование по Международной</w:t>
                        </w:r>
                      </w:p>
                    </w:txbxContent>
                  </v:textbox>
                </v:rect>
                <v:rect id="Rectangle 49" style="position:absolute;width:506;height:2244;left:36747;top:50667;" filled="f" stroked="f">
                  <v:textbox inset="0,0,0,0">
                    <w:txbxContent>
                      <w:p>
                        <w:pPr>
                          <w:spacing w:before="0" w:after="160" w:line="259" w:lineRule="auto"/>
                          <w:ind w:left="0" w:firstLine="0"/>
                          <w:jc w:val="left"/>
                        </w:pPr>
                        <w:r>
                          <w:rPr/>
                          <w:t xml:space="preserve"> </w:t>
                        </w:r>
                      </w:p>
                    </w:txbxContent>
                  </v:textbox>
                </v:rect>
                <v:rect id="Rectangle 50" style="position:absolute;width:37141;height:2244;left:8794;top:52489;" filled="f" stroked="f">
                  <v:textbox inset="0,0,0,0">
                    <w:txbxContent>
                      <w:p>
                        <w:pPr>
                          <w:spacing w:before="0" w:after="160" w:line="259" w:lineRule="auto"/>
                          <w:ind w:left="0" w:firstLine="0"/>
                          <w:jc w:val="left"/>
                        </w:pPr>
                        <w:r>
                          <w:rPr/>
                          <w:t xml:space="preserve">статистической классификации болезней и</w:t>
                        </w:r>
                      </w:p>
                    </w:txbxContent>
                  </v:textbox>
                </v:rect>
                <v:rect id="Rectangle 51" style="position:absolute;width:506;height:2244;left:36747;top:52489;" filled="f" stroked="f">
                  <v:textbox inset="0,0,0,0">
                    <w:txbxContent>
                      <w:p>
                        <w:pPr>
                          <w:spacing w:before="0" w:after="160" w:line="259" w:lineRule="auto"/>
                          <w:ind w:left="0" w:firstLine="0"/>
                          <w:jc w:val="left"/>
                        </w:pPr>
                        <w:r>
                          <w:rPr/>
                          <w:t xml:space="preserve"> </w:t>
                        </w:r>
                      </w:p>
                    </w:txbxContent>
                  </v:textbox>
                </v:rect>
                <v:rect id="Rectangle 52" style="position:absolute;width:29785;height:2244;left:14331;top:55779;" filled="f" stroked="f">
                  <v:textbox inset="0,0,0,0">
                    <w:txbxContent>
                      <w:p>
                        <w:pPr>
                          <w:spacing w:before="0" w:after="160" w:line="259" w:lineRule="auto"/>
                          <w:ind w:left="0" w:firstLine="0"/>
                          <w:jc w:val="left"/>
                        </w:pPr>
                        <w:r>
                          <w:rPr/>
                          <w:t xml:space="preserve">проблем, связанных со здоровьем:</w:t>
                        </w:r>
                      </w:p>
                    </w:txbxContent>
                  </v:textbox>
                </v:rect>
                <v:rect id="Rectangle 53" style="position:absolute;width:2814;height:1870;left:38100;top:50658;" filled="f" stroked="f">
                  <v:textbox inset="0,0,0,0">
                    <w:txbxContent>
                      <w:p>
                        <w:pPr>
                          <w:spacing w:before="0" w:after="160" w:line="259" w:lineRule="auto"/>
                          <w:ind w:left="0" w:firstLine="0"/>
                          <w:jc w:val="left"/>
                        </w:pPr>
                        <w:r>
                          <w:rPr>
                            <w:sz w:val="20"/>
                          </w:rPr>
                          <w:t xml:space="preserve">C64</w:t>
                        </w:r>
                      </w:p>
                    </w:txbxContent>
                  </v:textbox>
                </v:rect>
                <v:rect id="Rectangle 54" style="position:absolute;width:844;height:1870;left:40214;top:50658;" filled="f" stroked="f">
                  <v:textbox inset="0,0,0,0">
                    <w:txbxContent>
                      <w:p>
                        <w:pPr>
                          <w:spacing w:before="0" w:after="160" w:line="259" w:lineRule="auto"/>
                          <w:ind w:left="0" w:firstLine="0"/>
                          <w:jc w:val="left"/>
                        </w:pPr>
                        <w:r>
                          <w:rPr>
                            <w:sz w:val="20"/>
                          </w:rPr>
                          <w:t xml:space="preserve">, </w:t>
                        </w:r>
                      </w:p>
                    </w:txbxContent>
                  </v:textbox>
                </v:rect>
                <v:rect id="Rectangle 55" style="position:absolute;width:1219;height:1870;left:40849;top:50658;" filled="f" stroked="f">
                  <v:textbox inset="0,0,0,0">
                    <w:txbxContent>
                      <w:p>
                        <w:pPr>
                          <w:spacing w:before="0" w:after="160" w:line="259" w:lineRule="auto"/>
                          <w:ind w:left="0" w:firstLine="0"/>
                          <w:jc w:val="left"/>
                        </w:pPr>
                        <w:r>
                          <w:rPr>
                            <w:sz w:val="20"/>
                          </w:rPr>
                          <w:t xml:space="preserve">D</w:t>
                        </w:r>
                      </w:p>
                    </w:txbxContent>
                  </v:textbox>
                </v:rect>
                <v:rect id="Rectangle 56" style="position:absolute;width:2955;height:1870;left:41763;top:50658;" filled="f" stroked="f">
                  <v:textbox inset="0,0,0,0">
                    <w:txbxContent>
                      <w:p>
                        <w:pPr>
                          <w:spacing w:before="0" w:after="160" w:line="259" w:lineRule="auto"/>
                          <w:ind w:left="0" w:firstLine="0"/>
                          <w:jc w:val="left"/>
                        </w:pPr>
                        <w:r>
                          <w:rPr>
                            <w:sz w:val="20"/>
                          </w:rPr>
                          <w:t xml:space="preserve">41.0</w:t>
                        </w:r>
                      </w:p>
                    </w:txbxContent>
                  </v:textbox>
                </v:rect>
                <v:rect id="Rectangle 57" style="position:absolute;width:13970;height:1870;left:26231;top:58558;" filled="f" stroked="f">
                  <v:textbox inset="0,0,0,0">
                    <w:txbxContent>
                      <w:p>
                        <w:pPr>
                          <w:spacing w:before="0" w:after="160" w:line="259" w:lineRule="auto"/>
                          <w:ind w:left="0" w:firstLine="0"/>
                          <w:jc w:val="left"/>
                        </w:pPr>
                        <w:r>
                          <w:rPr>
                            <w:sz w:val="20"/>
                          </w:rPr>
                          <w:t xml:space="preserve">Возрастная группа:</w:t>
                        </w:r>
                      </w:p>
                    </w:txbxContent>
                  </v:textbox>
                </v:rect>
                <v:rect id="Rectangle 58" style="position:absolute;width:5878;height:1870;left:38100;top:58558;" filled="f" stroked="f">
                  <v:textbox inset="0,0,0,0">
                    <w:txbxContent>
                      <w:p>
                        <w:pPr>
                          <w:spacing w:before="0" w:after="160" w:line="259" w:lineRule="auto"/>
                          <w:ind w:left="0" w:firstLine="0"/>
                          <w:jc w:val="left"/>
                        </w:pPr>
                        <w:r>
                          <w:rPr>
                            <w:sz w:val="20"/>
                          </w:rPr>
                          <w:t xml:space="preserve">взрослы</w:t>
                        </w:r>
                      </w:p>
                    </w:txbxContent>
                  </v:textbox>
                </v:rect>
                <v:rect id="Rectangle 59" style="position:absolute;width:748;height:1870;left:42519;top:58558;" filled="f" stroked="f">
                  <v:textbox inset="0,0,0,0">
                    <w:txbxContent>
                      <w:p>
                        <w:pPr>
                          <w:spacing w:before="0" w:after="160" w:line="259" w:lineRule="auto"/>
                          <w:ind w:left="0" w:firstLine="0"/>
                          <w:jc w:val="left"/>
                        </w:pPr>
                        <w:r>
                          <w:rPr>
                            <w:sz w:val="20"/>
                          </w:rPr>
                          <w:t xml:space="preserve">е</w:t>
                        </w:r>
                      </w:p>
                    </w:txbxContent>
                  </v:textbox>
                </v:rect>
                <v:rect id="Rectangle 60" style="position:absolute;width:12896;height:1870;left:27044;top:61307;" filled="f" stroked="f">
                  <v:textbox inset="0,0,0,0">
                    <w:txbxContent>
                      <w:p>
                        <w:pPr>
                          <w:spacing w:before="0" w:after="160" w:line="259" w:lineRule="auto"/>
                          <w:ind w:left="0" w:firstLine="0"/>
                          <w:jc w:val="left"/>
                        </w:pPr>
                        <w:r>
                          <w:rPr>
                            <w:sz w:val="20"/>
                          </w:rPr>
                          <w:t xml:space="preserve">Год утверждения:</w:t>
                        </w:r>
                      </w:p>
                    </w:txbxContent>
                  </v:textbox>
                </v:rect>
                <v:rect id="Rectangle 61" style="position:absolute;width:2533;height:1870;left:38100;top:61307;" filled="f" stroked="f">
                  <v:textbox inset="0,0,0,0">
                    <w:txbxContent>
                      <w:p>
                        <w:pPr>
                          <w:spacing w:before="0" w:after="160" w:line="259" w:lineRule="auto"/>
                          <w:ind w:left="0" w:firstLine="0"/>
                          <w:jc w:val="left"/>
                        </w:pPr>
                        <w:r>
                          <w:rPr>
                            <w:sz w:val="20"/>
                          </w:rPr>
                          <w:t xml:space="preserve">202</w:t>
                        </w:r>
                      </w:p>
                    </w:txbxContent>
                  </v:textbox>
                </v:rect>
                <v:rect id="Rectangle 62" style="position:absolute;width:36904;height:2244;left:5410;top:64643;" filled="f" stroked="f">
                  <v:textbox inset="0,0,0,0">
                    <w:txbxContent>
                      <w:p>
                        <w:pPr>
                          <w:spacing w:before="0" w:after="160" w:line="259" w:lineRule="auto"/>
                          <w:ind w:left="0" w:firstLine="0"/>
                          <w:jc w:val="left"/>
                        </w:pPr>
                        <w:r>
                          <w:rPr/>
                          <w:t xml:space="preserve">Разработчики клинических рекомендаций:</w:t>
                        </w:r>
                      </w:p>
                    </w:txbxContent>
                  </v:textbox>
                </v:rect>
                <v:rect id="Rectangle 63" style="position:absolute;width:709;height:2244;left:5410;top:68149;" filled="f" stroked="f">
                  <v:textbox inset="0,0,0,0">
                    <w:txbxContent>
                      <w:p>
                        <w:pPr>
                          <w:spacing w:before="0" w:after="160" w:line="259" w:lineRule="auto"/>
                          <w:ind w:left="0" w:firstLine="0"/>
                          <w:jc w:val="left"/>
                        </w:pPr>
                        <w:r>
                          <w:rPr/>
                          <w:t xml:space="preserve">•</w:t>
                        </w:r>
                      </w:p>
                    </w:txbxContent>
                  </v:textbox>
                </v:rect>
                <v:rect id="Rectangle 64" style="position:absolute;width:72184;height:2244;left:7461;top:68218;" filled="f" stroked="f">
                  <v:textbox inset="0,0,0,0">
                    <w:txbxContent>
                      <w:p>
                        <w:pPr>
                          <w:spacing w:before="0" w:after="160" w:line="259" w:lineRule="auto"/>
                          <w:ind w:left="0" w:firstLine="0"/>
                          <w:jc w:val="left"/>
                        </w:pPr>
                        <w:r>
                          <w:rPr/>
                          <w:t xml:space="preserve">Общероссийская общественная организация «Российское общество онкоурологов»</w:t>
                        </w:r>
                      </w:p>
                    </w:txbxContent>
                  </v:textbox>
                </v:rect>
                <v:rect id="Rectangle 65" style="position:absolute;width:506;height:2244;left:61772;top:68218;" filled="f" stroked="f">
                  <v:textbox inset="0,0,0,0">
                    <w:txbxContent>
                      <w:p>
                        <w:pPr>
                          <w:spacing w:before="0" w:after="160" w:line="259" w:lineRule="auto"/>
                          <w:ind w:left="0" w:firstLine="0"/>
                          <w:jc w:val="left"/>
                        </w:pPr>
                        <w:r>
                          <w:rPr/>
                          <w:t xml:space="preserve"> </w:t>
                        </w:r>
                      </w:p>
                    </w:txbxContent>
                  </v:textbox>
                </v:rect>
                <v:rect id="Rectangle 66" style="position:absolute;width:709;height:2244;left:5410;top:71438;" filled="f" stroked="f">
                  <v:textbox inset="0,0,0,0">
                    <w:txbxContent>
                      <w:p>
                        <w:pPr>
                          <w:spacing w:before="0" w:after="160" w:line="259" w:lineRule="auto"/>
                          <w:ind w:left="0" w:firstLine="0"/>
                          <w:jc w:val="left"/>
                        </w:pPr>
                        <w:r>
                          <w:rPr/>
                          <w:t xml:space="preserve">•</w:t>
                        </w:r>
                      </w:p>
                    </w:txbxContent>
                  </v:textbox>
                </v:rect>
                <v:rect id="Rectangle 67" style="position:absolute;width:61853;height:2244;left:7461;top:71508;" filled="f" stroked="f">
                  <v:textbox inset="0,0,0,0">
                    <w:txbxContent>
                      <w:p>
                        <w:pPr>
                          <w:spacing w:before="0" w:after="160" w:line="259" w:lineRule="auto"/>
                          <w:ind w:left="0" w:firstLine="0"/>
                          <w:jc w:val="left"/>
                        </w:pPr>
                        <w:r>
                          <w:rPr/>
                          <w:t xml:space="preserve">Общероссийский национальный союз «Ассоциация онкологов России»</w:t>
                        </w:r>
                      </w:p>
                    </w:txbxContent>
                  </v:textbox>
                </v:rect>
                <v:rect id="Rectangle 68" style="position:absolute;width:709;height:2244;left:5410;top:74727;" filled="f" stroked="f">
                  <v:textbox inset="0,0,0,0">
                    <w:txbxContent>
                      <w:p>
                        <w:pPr>
                          <w:spacing w:before="0" w:after="160" w:line="259" w:lineRule="auto"/>
                          <w:ind w:left="0" w:firstLine="0"/>
                          <w:jc w:val="left"/>
                        </w:pPr>
                        <w:r>
                          <w:rPr/>
                          <w:t xml:space="preserve">•</w:t>
                        </w:r>
                      </w:p>
                    </w:txbxContent>
                  </v:textbox>
                </v:rect>
                <v:rect id="Rectangle 69" style="position:absolute;width:80991;height:2244;left:7461;top:74797;" filled="f" stroked="f">
                  <v:textbox inset="0,0,0,0">
                    <w:txbxContent>
                      <w:p>
                        <w:pPr>
                          <w:spacing w:before="0" w:after="160" w:line="259" w:lineRule="auto"/>
                          <w:ind w:left="0" w:firstLine="0"/>
                          <w:jc w:val="left"/>
                        </w:pPr>
                        <w:r>
                          <w:rPr/>
                          <w:t xml:space="preserve">Общероссийская общественная организация «Российское общество клинической онкологии»</w:t>
                        </w:r>
                      </w:p>
                    </w:txbxContent>
                  </v:textbox>
                </v:rect>
                <v:rect id="Rectangle 70" style="position:absolute;width:709;height:2244;left:5410;top:78016;" filled="f" stroked="f">
                  <v:textbox inset="0,0,0,0">
                    <w:txbxContent>
                      <w:p>
                        <w:pPr>
                          <w:spacing w:before="0" w:after="160" w:line="259" w:lineRule="auto"/>
                          <w:ind w:left="0" w:firstLine="0"/>
                          <w:jc w:val="left"/>
                        </w:pPr>
                        <w:r>
                          <w:rPr/>
                          <w:t xml:space="preserve">•</w:t>
                        </w:r>
                      </w:p>
                    </w:txbxContent>
                  </v:textbox>
                </v:rect>
                <v:rect id="Rectangle 71" style="position:absolute;width:68090;height:2244;left:7461;top:78086;" filled="f" stroked="f">
                  <v:textbox inset="0,0,0,0">
                    <w:txbxContent>
                      <w:p>
                        <w:pPr>
                          <w:spacing w:before="0" w:after="160" w:line="259" w:lineRule="auto"/>
                          <w:ind w:left="0" w:firstLine="0"/>
                          <w:jc w:val="left"/>
                        </w:pPr>
                        <w:r>
                          <w:rPr/>
                          <w:t xml:space="preserve">Общероссийская общественная организация «Российское общество урологов»</w:t>
                        </w:r>
                      </w:p>
                    </w:txbxContent>
                  </v:textbox>
                </v:rect>
                <v:rect id="Rectangle 72" style="position:absolute;width:39318;height:1870;left:7315;top:95159;" filled="f" stroked="f">
                  <v:textbox inset="0,0,0,0">
                    <w:txbxContent>
                      <w:p>
                        <w:pPr>
                          <w:spacing w:before="0" w:after="160" w:line="259" w:lineRule="auto"/>
                          <w:ind w:left="0" w:firstLine="0"/>
                          <w:jc w:val="left"/>
                        </w:pPr>
                        <w:r>
                          <w:rPr>
                            <w:sz w:val="20"/>
                          </w:rPr>
                          <w:t xml:space="preserve">«Одобрено на заседании научно-практического совета</w:t>
                        </w:r>
                      </w:p>
                    </w:txbxContent>
                  </v:textbox>
                </v:rect>
                <v:rect id="Rectangle 73" style="position:absolute;width:422;height:1870;left:36899;top:95159;" filled="f" stroked="f">
                  <v:textbox inset="0,0,0,0">
                    <w:txbxContent>
                      <w:p>
                        <w:pPr>
                          <w:spacing w:before="0" w:after="160" w:line="259" w:lineRule="auto"/>
                          <w:ind w:left="0" w:firstLine="0"/>
                          <w:jc w:val="left"/>
                        </w:pPr>
                        <w:r>
                          <w:rPr>
                            <w:rFonts w:cs="Times New Roman" w:hAnsi="Times New Roman" w:eastAsia="Times New Roman" w:ascii="Times New Roman"/>
                            <w:b w:val="1"/>
                            <w:sz w:val="20"/>
                          </w:rPr>
                          <w:t xml:space="preserve"> </w:t>
                        </w:r>
                      </w:p>
                    </w:txbxContent>
                  </v:textbox>
                </v:rect>
                <v:rect id="Rectangle 74" style="position:absolute;width:41107;height:1870;left:37217;top:95159;" filled="f" stroked="f">
                  <v:textbox inset="0,0,0,0">
                    <w:txbxContent>
                      <w:p>
                        <w:pPr>
                          <w:spacing w:before="0" w:after="160" w:line="259" w:lineRule="auto"/>
                          <w:ind w:left="0" w:firstLine="0"/>
                          <w:jc w:val="left"/>
                        </w:pPr>
                        <w:r>
                          <w:rPr>
                            <w:sz w:val="20"/>
                          </w:rPr>
                          <w:t xml:space="preserve">Министерства здравоохранения Российской Федерации»</w:t>
                        </w:r>
                      </w:p>
                    </w:txbxContent>
                  </v:textbox>
                </v:rect>
                <v:rect id="Rectangle 75" style="position:absolute;width:7898;height:1496;left:7162;top:103063;"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Утверждено:</w:t>
                        </w:r>
                      </w:p>
                    </w:txbxContent>
                  </v:textbox>
                </v:rect>
                <v:rect id="Rectangle 76" style="position:absolute;width:7898;height:1496;left:20980;top:103063;"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Утверждено:</w:t>
                        </w:r>
                      </w:p>
                    </w:txbxContent>
                  </v:textbox>
                </v:rect>
                <v:rect id="Rectangle 77" style="position:absolute;width:7898;height:1496;left:38284;top:103063;"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Утверждено:</w:t>
                        </w:r>
                      </w:p>
                    </w:txbxContent>
                  </v:textbox>
                </v:rect>
                <v:rect id="Rectangle 78" style="position:absolute;width:7898;height:1496;left:57931;top:103063;" filled="f" stroked="f">
                  <v:textbox inset="0,0,0,0">
                    <w:txbxContent>
                      <w:p>
                        <w:pPr>
                          <w:spacing w:before="0" w:after="160" w:line="259" w:lineRule="auto"/>
                          <w:ind w:left="0" w:firstLine="0"/>
                          <w:jc w:val="left"/>
                        </w:pPr>
                        <w:r>
                          <w:rPr>
                            <w:rFonts w:cs="Times New Roman" w:hAnsi="Times New Roman" w:eastAsia="Times New Roman" w:ascii="Times New Roman"/>
                            <w:b w:val="1"/>
                            <w:sz w:val="16"/>
                          </w:rPr>
                          <w:t xml:space="preserve">Утверждено:</w:t>
                        </w:r>
                      </w:p>
                    </w:txbxContent>
                  </v:textbox>
                </v:rect>
                <w10:wrap type="topAndBottom"/>
              </v:group>
            </w:pict>
          </mc:Fallback>
        </mc:AlternateContent>
      </w:r>
      <w:r>
        <w:br w:type="page"/>
      </w:r>
    </w:p>
    <w:p w:rsidR="00C3791F" w:rsidRDefault="00AE1F83">
      <w:pPr>
        <w:pStyle w:val="Heading1"/>
        <w:spacing w:after="88"/>
        <w:ind w:left="160" w:right="198"/>
      </w:pPr>
      <w:r>
        <w:lastRenderedPageBreak/>
        <w:t>Оглавление</w:t>
      </w:r>
    </w:p>
    <w:p w:rsidR="00C3791F" w:rsidRDefault="00AE1F83">
      <w:pPr>
        <w:spacing w:after="114" w:line="259" w:lineRule="auto"/>
        <w:ind w:left="137" w:right="189"/>
      </w:pPr>
      <w:r>
        <w:rPr>
          <w:u w:val="single" w:color="000000"/>
        </w:rPr>
        <w:t>Список сокращений</w:t>
      </w:r>
      <w:r>
        <w:t>……………………………………………………………………………...5</w:t>
      </w:r>
    </w:p>
    <w:p w:rsidR="00C3791F" w:rsidRDefault="00AE1F83">
      <w:pPr>
        <w:spacing w:after="114" w:line="259" w:lineRule="auto"/>
        <w:ind w:left="137" w:right="189"/>
      </w:pPr>
      <w:r>
        <w:rPr>
          <w:u w:val="single" w:color="000000"/>
        </w:rPr>
        <w:t>Термины и определения</w:t>
      </w:r>
      <w:r>
        <w:t>………………………………………………………………………....7</w:t>
      </w:r>
    </w:p>
    <w:p w:rsidR="00C3791F" w:rsidRDefault="00AE1F83">
      <w:pPr>
        <w:numPr>
          <w:ilvl w:val="0"/>
          <w:numId w:val="1"/>
        </w:numPr>
        <w:spacing w:after="114" w:line="259" w:lineRule="auto"/>
        <w:ind w:right="152" w:hanging="240"/>
        <w:jc w:val="left"/>
      </w:pPr>
      <w:r>
        <w:rPr>
          <w:b/>
          <w:u w:val="single" w:color="000000"/>
        </w:rPr>
        <w:t xml:space="preserve">Краткая информация по заболеванию или состоянию (группе заболеваний   или </w:t>
      </w:r>
    </w:p>
    <w:p w:rsidR="00C3791F" w:rsidRDefault="00AE1F83">
      <w:pPr>
        <w:spacing w:after="114" w:line="259" w:lineRule="auto"/>
        <w:ind w:left="137" w:right="189"/>
      </w:pPr>
      <w:r>
        <w:rPr>
          <w:b/>
          <w:u w:val="single" w:color="000000"/>
        </w:rPr>
        <w:t>состояний)</w:t>
      </w:r>
      <w:r>
        <w:t>…………………………………………………………………...…………………..9</w:t>
      </w:r>
    </w:p>
    <w:p w:rsidR="00C3791F" w:rsidRDefault="00AE1F83">
      <w:pPr>
        <w:numPr>
          <w:ilvl w:val="1"/>
          <w:numId w:val="1"/>
        </w:numPr>
        <w:spacing w:after="111" w:line="259" w:lineRule="auto"/>
        <w:ind w:right="152" w:hanging="420"/>
        <w:jc w:val="left"/>
      </w:pPr>
      <w:r>
        <w:rPr>
          <w:u w:val="single" w:color="000000"/>
        </w:rPr>
        <w:t>Определение заболевания или</w:t>
      </w:r>
      <w:r>
        <w:rPr>
          <w:u w:val="single" w:color="000000"/>
        </w:rPr>
        <w:t xml:space="preserve"> состояния (группы заболеваний или состояний)</w:t>
      </w:r>
      <w:r>
        <w:t>………9</w:t>
      </w:r>
    </w:p>
    <w:p w:rsidR="00C3791F" w:rsidRDefault="00AE1F83">
      <w:pPr>
        <w:numPr>
          <w:ilvl w:val="1"/>
          <w:numId w:val="1"/>
        </w:numPr>
        <w:spacing w:after="111" w:line="259" w:lineRule="auto"/>
        <w:ind w:right="152" w:hanging="420"/>
        <w:jc w:val="left"/>
      </w:pPr>
      <w:r>
        <w:rPr>
          <w:u w:val="single" w:color="000000"/>
        </w:rPr>
        <w:t xml:space="preserve">Этиология и патогенез заболевания или состояния (группы заболеваний или </w:t>
      </w:r>
    </w:p>
    <w:p w:rsidR="00C3791F" w:rsidRDefault="00AE1F83">
      <w:pPr>
        <w:spacing w:after="114" w:line="259" w:lineRule="auto"/>
        <w:ind w:left="137" w:right="189"/>
      </w:pPr>
      <w:r>
        <w:rPr>
          <w:u w:val="single" w:color="000000"/>
        </w:rPr>
        <w:t>состояний)</w:t>
      </w:r>
      <w:r>
        <w:t>…………………………………………………………………………………..……9</w:t>
      </w:r>
    </w:p>
    <w:p w:rsidR="00C3791F" w:rsidRDefault="00AE1F83">
      <w:pPr>
        <w:numPr>
          <w:ilvl w:val="1"/>
          <w:numId w:val="1"/>
        </w:numPr>
        <w:spacing w:after="111" w:line="259" w:lineRule="auto"/>
        <w:ind w:right="152" w:hanging="420"/>
        <w:jc w:val="left"/>
      </w:pPr>
      <w:r>
        <w:rPr>
          <w:u w:val="single" w:color="000000"/>
        </w:rPr>
        <w:t xml:space="preserve">Эпидемиология заболевания или состояния (группы заболеваний или </w:t>
      </w:r>
    </w:p>
    <w:p w:rsidR="00C3791F" w:rsidRDefault="00AE1F83">
      <w:pPr>
        <w:spacing w:after="114" w:line="259" w:lineRule="auto"/>
        <w:ind w:left="137" w:right="189"/>
      </w:pPr>
      <w:r>
        <w:rPr>
          <w:u w:val="single" w:color="000000"/>
        </w:rPr>
        <w:t>состояний)</w:t>
      </w:r>
      <w:r>
        <w:t>……………………………</w:t>
      </w:r>
      <w:r>
        <w:t>…………………………………………………………..9</w:t>
      </w:r>
    </w:p>
    <w:p w:rsidR="00C3791F" w:rsidRDefault="00AE1F83">
      <w:pPr>
        <w:numPr>
          <w:ilvl w:val="1"/>
          <w:numId w:val="1"/>
        </w:numPr>
        <w:spacing w:after="0" w:line="357" w:lineRule="auto"/>
        <w:ind w:right="152" w:hanging="420"/>
        <w:jc w:val="left"/>
      </w:pPr>
      <w:r>
        <w:rPr>
          <w:u w:val="single" w:color="000000"/>
        </w:rPr>
        <w:t xml:space="preserve">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w:t>
      </w:r>
    </w:p>
    <w:p w:rsidR="00C3791F" w:rsidRDefault="00AE1F83">
      <w:pPr>
        <w:spacing w:after="114" w:line="259" w:lineRule="auto"/>
        <w:ind w:left="137" w:right="189"/>
      </w:pPr>
      <w:r>
        <w:rPr>
          <w:u w:val="single" w:color="000000"/>
        </w:rPr>
        <w:t>связанных со здоровьем</w:t>
      </w:r>
      <w:r>
        <w:t>………………………………………………………………………..10</w:t>
      </w:r>
    </w:p>
    <w:p w:rsidR="00C3791F" w:rsidRDefault="00AE1F83">
      <w:pPr>
        <w:numPr>
          <w:ilvl w:val="1"/>
          <w:numId w:val="1"/>
        </w:numPr>
        <w:spacing w:after="111" w:line="259" w:lineRule="auto"/>
        <w:ind w:right="152" w:hanging="420"/>
        <w:jc w:val="left"/>
      </w:pPr>
      <w:r>
        <w:rPr>
          <w:u w:val="single" w:color="000000"/>
        </w:rPr>
        <w:t>Классификация заболевани</w:t>
      </w:r>
      <w:r>
        <w:rPr>
          <w:u w:val="single" w:color="000000"/>
        </w:rPr>
        <w:t>я или состояния (группы заболеваний или состояний)</w:t>
      </w:r>
      <w:r>
        <w:t>…..10</w:t>
      </w:r>
    </w:p>
    <w:p w:rsidR="00C3791F" w:rsidRDefault="00AE1F83">
      <w:pPr>
        <w:numPr>
          <w:ilvl w:val="1"/>
          <w:numId w:val="1"/>
        </w:numPr>
        <w:spacing w:after="111" w:line="259" w:lineRule="auto"/>
        <w:ind w:right="152" w:hanging="420"/>
        <w:jc w:val="left"/>
      </w:pPr>
      <w:r>
        <w:rPr>
          <w:u w:val="single" w:color="000000"/>
        </w:rPr>
        <w:t xml:space="preserve">Клиническая картина заболевания или состояния (группы заболеваний   или </w:t>
      </w:r>
    </w:p>
    <w:p w:rsidR="00C3791F" w:rsidRDefault="00AE1F83">
      <w:pPr>
        <w:spacing w:after="114" w:line="259" w:lineRule="auto"/>
        <w:ind w:left="137" w:right="189"/>
      </w:pPr>
      <w:r>
        <w:rPr>
          <w:u w:val="single" w:color="000000"/>
        </w:rPr>
        <w:t>состояний)</w:t>
      </w:r>
      <w:r>
        <w:t>………………………………………………………………………………………16</w:t>
      </w:r>
    </w:p>
    <w:p w:rsidR="00C3791F" w:rsidRDefault="00AE1F83">
      <w:pPr>
        <w:numPr>
          <w:ilvl w:val="0"/>
          <w:numId w:val="1"/>
        </w:numPr>
        <w:spacing w:after="0" w:line="357" w:lineRule="auto"/>
        <w:ind w:right="152" w:hanging="240"/>
        <w:jc w:val="left"/>
      </w:pPr>
      <w:r>
        <w:rPr>
          <w:b/>
          <w:u w:val="single" w:color="000000"/>
        </w:rPr>
        <w:t>Диагностика заболевания или состояния (группы заболеваний или состояний), медицин</w:t>
      </w:r>
      <w:r>
        <w:rPr>
          <w:b/>
          <w:u w:val="single" w:color="000000"/>
        </w:rPr>
        <w:t xml:space="preserve">ские показания и противопоказания к применению методов </w:t>
      </w:r>
    </w:p>
    <w:p w:rsidR="00C3791F" w:rsidRDefault="00AE1F83">
      <w:pPr>
        <w:spacing w:after="114" w:line="259" w:lineRule="auto"/>
        <w:ind w:left="137" w:right="189"/>
      </w:pPr>
      <w:r>
        <w:rPr>
          <w:b/>
          <w:u w:val="single" w:color="000000"/>
        </w:rPr>
        <w:t>диагностики</w:t>
      </w:r>
      <w:r>
        <w:t>................................................................................................................................18</w:t>
      </w:r>
    </w:p>
    <w:p w:rsidR="00C3791F" w:rsidRDefault="00AE1F83">
      <w:pPr>
        <w:numPr>
          <w:ilvl w:val="1"/>
          <w:numId w:val="1"/>
        </w:numPr>
        <w:spacing w:after="114" w:line="259" w:lineRule="auto"/>
        <w:ind w:right="152" w:hanging="420"/>
        <w:jc w:val="left"/>
      </w:pPr>
      <w:r>
        <w:rPr>
          <w:u w:val="single" w:color="000000"/>
        </w:rPr>
        <w:t>Жалобы и анамнез</w:t>
      </w:r>
      <w:r>
        <w:t>…………………………………………………………………………18</w:t>
      </w:r>
    </w:p>
    <w:p w:rsidR="00C3791F" w:rsidRDefault="00AE1F83">
      <w:pPr>
        <w:numPr>
          <w:ilvl w:val="1"/>
          <w:numId w:val="1"/>
        </w:numPr>
        <w:spacing w:after="111" w:line="259" w:lineRule="auto"/>
        <w:ind w:right="152" w:hanging="420"/>
        <w:jc w:val="left"/>
      </w:pPr>
      <w:r>
        <w:rPr>
          <w:u w:val="single" w:color="000000"/>
        </w:rPr>
        <w:t>Физикальное обследование</w:t>
      </w:r>
      <w:r>
        <w:t>………………………………………………………………..19</w:t>
      </w:r>
    </w:p>
    <w:p w:rsidR="00C3791F" w:rsidRDefault="00AE1F83">
      <w:pPr>
        <w:numPr>
          <w:ilvl w:val="1"/>
          <w:numId w:val="1"/>
        </w:numPr>
        <w:spacing w:after="111" w:line="259" w:lineRule="auto"/>
        <w:ind w:right="152" w:hanging="420"/>
        <w:jc w:val="left"/>
      </w:pPr>
      <w:r>
        <w:rPr>
          <w:u w:val="single" w:color="000000"/>
        </w:rPr>
        <w:t>Лабораторные диагностические исследования</w:t>
      </w:r>
      <w:r>
        <w:t>…………………………………………..19</w:t>
      </w:r>
    </w:p>
    <w:p w:rsidR="00C3791F" w:rsidRDefault="00AE1F83">
      <w:pPr>
        <w:numPr>
          <w:ilvl w:val="1"/>
          <w:numId w:val="1"/>
        </w:numPr>
        <w:spacing w:after="111" w:line="259" w:lineRule="auto"/>
        <w:ind w:right="152" w:hanging="420"/>
        <w:jc w:val="left"/>
      </w:pPr>
      <w:r>
        <w:rPr>
          <w:u w:val="single" w:color="000000"/>
        </w:rPr>
        <w:t>Инструментальные диагностические исследования</w:t>
      </w:r>
      <w:r>
        <w:t>…………………………………….21</w:t>
      </w:r>
    </w:p>
    <w:p w:rsidR="00C3791F" w:rsidRDefault="00AE1F83">
      <w:pPr>
        <w:numPr>
          <w:ilvl w:val="1"/>
          <w:numId w:val="1"/>
        </w:numPr>
        <w:spacing w:after="111" w:line="259" w:lineRule="auto"/>
        <w:ind w:right="152" w:hanging="420"/>
        <w:jc w:val="left"/>
      </w:pPr>
      <w:r>
        <w:rPr>
          <w:u w:val="single" w:color="000000"/>
        </w:rPr>
        <w:t>Иные диагностические исследования</w:t>
      </w:r>
      <w:r>
        <w:t>…………………………………………………….28</w:t>
      </w:r>
    </w:p>
    <w:p w:rsidR="00C3791F" w:rsidRDefault="00AE1F83">
      <w:pPr>
        <w:numPr>
          <w:ilvl w:val="0"/>
          <w:numId w:val="1"/>
        </w:numPr>
        <w:spacing w:after="0" w:line="357" w:lineRule="auto"/>
        <w:ind w:right="152" w:hanging="240"/>
        <w:jc w:val="left"/>
      </w:pPr>
      <w:r>
        <w:rPr>
          <w:b/>
          <w:u w:val="single" w:color="000000"/>
        </w:rPr>
        <w:t>Лечение, включая меди</w:t>
      </w:r>
      <w:r>
        <w:rPr>
          <w:b/>
          <w:u w:val="single" w:color="000000"/>
        </w:rPr>
        <w:t>каментозную и немедикаментозную терапию, диетотерапию, обезболивание, медицинские показания и противопоказания</w:t>
      </w:r>
      <w:r>
        <w:rPr>
          <w:b/>
        </w:rPr>
        <w:t xml:space="preserve"> </w:t>
      </w:r>
    </w:p>
    <w:p w:rsidR="00C3791F" w:rsidRDefault="00AE1F83">
      <w:pPr>
        <w:spacing w:after="114" w:line="259" w:lineRule="auto"/>
        <w:ind w:left="137" w:right="79"/>
        <w:jc w:val="left"/>
      </w:pPr>
      <w:r>
        <w:rPr>
          <w:b/>
          <w:u w:val="single" w:color="000000"/>
        </w:rPr>
        <w:t>к применению методов лечения</w:t>
      </w:r>
      <w:r>
        <w:t>……………………………………………………………..35</w:t>
      </w:r>
    </w:p>
    <w:p w:rsidR="00C3791F" w:rsidRDefault="00AE1F83">
      <w:pPr>
        <w:numPr>
          <w:ilvl w:val="1"/>
          <w:numId w:val="1"/>
        </w:numPr>
        <w:spacing w:after="114" w:line="259" w:lineRule="auto"/>
        <w:ind w:right="152" w:hanging="420"/>
        <w:jc w:val="left"/>
      </w:pPr>
      <w:r>
        <w:rPr>
          <w:u w:val="single" w:color="000000"/>
        </w:rPr>
        <w:t>Хирургическое лечение</w:t>
      </w:r>
      <w:r>
        <w:t>……………………………………………………………………36</w:t>
      </w:r>
    </w:p>
    <w:p w:rsidR="00C3791F" w:rsidRDefault="00AE1F83">
      <w:pPr>
        <w:numPr>
          <w:ilvl w:val="2"/>
          <w:numId w:val="1"/>
        </w:numPr>
        <w:spacing w:after="114" w:line="259" w:lineRule="auto"/>
        <w:ind w:right="152" w:hanging="600"/>
        <w:jc w:val="left"/>
      </w:pPr>
      <w:r>
        <w:rPr>
          <w:u w:val="single" w:color="000000"/>
        </w:rPr>
        <w:t>Резекция почки</w:t>
      </w:r>
      <w:r>
        <w:t>………………………………………………………………</w:t>
      </w:r>
      <w:r>
        <w:t>…………...36</w:t>
      </w:r>
    </w:p>
    <w:p w:rsidR="00C3791F" w:rsidRDefault="00AE1F83">
      <w:pPr>
        <w:numPr>
          <w:ilvl w:val="2"/>
          <w:numId w:val="1"/>
        </w:numPr>
        <w:spacing w:after="111" w:line="259" w:lineRule="auto"/>
        <w:ind w:right="152" w:hanging="600"/>
        <w:jc w:val="left"/>
      </w:pPr>
      <w:r>
        <w:rPr>
          <w:u w:val="single" w:color="000000"/>
        </w:rPr>
        <w:t>Радикальная нефрэктомия</w:t>
      </w:r>
      <w:r>
        <w:t>………………………………………………………………38</w:t>
      </w:r>
    </w:p>
    <w:p w:rsidR="00C3791F" w:rsidRDefault="00AE1F83">
      <w:pPr>
        <w:numPr>
          <w:ilvl w:val="2"/>
          <w:numId w:val="1"/>
        </w:numPr>
        <w:spacing w:after="111" w:line="259" w:lineRule="auto"/>
        <w:ind w:right="152" w:hanging="600"/>
        <w:jc w:val="left"/>
      </w:pPr>
      <w:r>
        <w:rPr>
          <w:u w:val="single" w:color="000000"/>
        </w:rPr>
        <w:t>Радикальная нефрэктомия, тромбэктомия</w:t>
      </w:r>
      <w:r>
        <w:t>……………………………………………..40</w:t>
      </w:r>
    </w:p>
    <w:p w:rsidR="00C3791F" w:rsidRDefault="00AE1F83">
      <w:pPr>
        <w:numPr>
          <w:ilvl w:val="2"/>
          <w:numId w:val="1"/>
        </w:numPr>
        <w:spacing w:after="111" w:line="259" w:lineRule="auto"/>
        <w:ind w:right="152" w:hanging="600"/>
        <w:jc w:val="left"/>
      </w:pPr>
      <w:r>
        <w:rPr>
          <w:u w:val="single" w:color="000000"/>
        </w:rPr>
        <w:t>Циторедуктивная нефрэктомия</w:t>
      </w:r>
      <w:r>
        <w:t>…………………………………………………………41</w:t>
      </w:r>
    </w:p>
    <w:p w:rsidR="00C3791F" w:rsidRDefault="00AE1F83">
      <w:pPr>
        <w:numPr>
          <w:ilvl w:val="2"/>
          <w:numId w:val="1"/>
        </w:numPr>
        <w:spacing w:after="111" w:line="259" w:lineRule="auto"/>
        <w:ind w:right="152" w:hanging="600"/>
        <w:jc w:val="left"/>
      </w:pPr>
      <w:r>
        <w:rPr>
          <w:u w:val="single" w:color="000000"/>
        </w:rPr>
        <w:t>Удаление местных рецидивов и метастазов рака почки</w:t>
      </w:r>
      <w:r>
        <w:t>………………………………43</w:t>
      </w:r>
    </w:p>
    <w:p w:rsidR="00C3791F" w:rsidRDefault="00AE1F83">
      <w:pPr>
        <w:numPr>
          <w:ilvl w:val="1"/>
          <w:numId w:val="1"/>
        </w:numPr>
        <w:spacing w:after="114" w:line="259" w:lineRule="auto"/>
        <w:ind w:right="152" w:hanging="420"/>
        <w:jc w:val="left"/>
      </w:pPr>
      <w:r>
        <w:rPr>
          <w:b/>
          <w:u w:val="single" w:color="000000"/>
        </w:rPr>
        <w:t>Альтернативы хирурги</w:t>
      </w:r>
      <w:r>
        <w:rPr>
          <w:b/>
          <w:u w:val="single" w:color="000000"/>
        </w:rPr>
        <w:t xml:space="preserve">ческому лечению первичной опухоли у пациентов  с </w:t>
      </w:r>
    </w:p>
    <w:p w:rsidR="00C3791F" w:rsidRDefault="00AE1F83">
      <w:pPr>
        <w:ind w:left="137" w:right="189"/>
      </w:pPr>
      <w:r>
        <w:rPr>
          <w:b/>
          <w:u w:val="single" w:color="000000"/>
        </w:rPr>
        <w:t>почечно-клеточным раком</w:t>
      </w:r>
      <w:r>
        <w:t xml:space="preserve">…………………………………………………………………..45 </w:t>
      </w:r>
      <w:r>
        <w:rPr>
          <w:u w:val="single" w:color="000000"/>
        </w:rPr>
        <w:t>3.2.1. Динамическое (активное) наблюдение</w:t>
      </w:r>
      <w:r>
        <w:t>…………………………………………………45</w:t>
      </w:r>
    </w:p>
    <w:p w:rsidR="00C3791F" w:rsidRDefault="00AE1F83">
      <w:pPr>
        <w:numPr>
          <w:ilvl w:val="2"/>
          <w:numId w:val="2"/>
        </w:numPr>
        <w:spacing w:after="111" w:line="259" w:lineRule="auto"/>
        <w:ind w:right="171" w:hanging="600"/>
        <w:jc w:val="left"/>
      </w:pPr>
      <w:r>
        <w:rPr>
          <w:u w:val="single" w:color="000000"/>
        </w:rPr>
        <w:t>Выжидательная тактика</w:t>
      </w:r>
      <w:r>
        <w:t>…………………………………………………………………46</w:t>
      </w:r>
    </w:p>
    <w:p w:rsidR="00C3791F" w:rsidRDefault="00AE1F83">
      <w:pPr>
        <w:numPr>
          <w:ilvl w:val="2"/>
          <w:numId w:val="2"/>
        </w:numPr>
        <w:spacing w:after="114" w:line="259" w:lineRule="auto"/>
        <w:ind w:right="171" w:hanging="600"/>
        <w:jc w:val="left"/>
      </w:pPr>
      <w:r>
        <w:rPr>
          <w:u w:val="single" w:color="000000"/>
        </w:rPr>
        <w:t xml:space="preserve">Аблация </w:t>
      </w:r>
      <w:r>
        <w:t>…………………………………………………………………………………...47</w:t>
      </w:r>
    </w:p>
    <w:p w:rsidR="00C3791F" w:rsidRDefault="00AE1F83">
      <w:pPr>
        <w:numPr>
          <w:ilvl w:val="1"/>
          <w:numId w:val="1"/>
        </w:numPr>
        <w:spacing w:after="114" w:line="259" w:lineRule="auto"/>
        <w:ind w:right="152" w:hanging="420"/>
        <w:jc w:val="left"/>
      </w:pPr>
      <w:r>
        <w:rPr>
          <w:u w:val="single" w:color="000000"/>
        </w:rPr>
        <w:t>Лучевая терапия</w:t>
      </w:r>
      <w:r>
        <w:t>……………………………………………………………………………49</w:t>
      </w:r>
    </w:p>
    <w:p w:rsidR="00C3791F" w:rsidRDefault="00AE1F83">
      <w:pPr>
        <w:numPr>
          <w:ilvl w:val="2"/>
          <w:numId w:val="1"/>
        </w:numPr>
        <w:spacing w:after="111" w:line="259" w:lineRule="auto"/>
        <w:ind w:right="152" w:hanging="600"/>
        <w:jc w:val="left"/>
      </w:pPr>
      <w:r>
        <w:rPr>
          <w:u w:val="single" w:color="000000"/>
        </w:rPr>
        <w:t xml:space="preserve">Стереотаксическая лучевая терапия у больных почечно-клеточным раком с </w:t>
      </w:r>
    </w:p>
    <w:p w:rsidR="00C3791F" w:rsidRDefault="00AE1F83">
      <w:pPr>
        <w:spacing w:after="114" w:line="259" w:lineRule="auto"/>
        <w:ind w:left="137" w:right="189"/>
      </w:pPr>
      <w:r>
        <w:rPr>
          <w:u w:val="single" w:color="000000"/>
        </w:rPr>
        <w:t>метастазами в головной мозг</w:t>
      </w:r>
      <w:r>
        <w:t>…………………………………………………………………..49</w:t>
      </w:r>
    </w:p>
    <w:p w:rsidR="00C3791F" w:rsidRDefault="00AE1F83">
      <w:pPr>
        <w:numPr>
          <w:ilvl w:val="2"/>
          <w:numId w:val="1"/>
        </w:numPr>
        <w:spacing w:after="111" w:line="259" w:lineRule="auto"/>
        <w:ind w:right="152" w:hanging="600"/>
        <w:jc w:val="left"/>
      </w:pPr>
      <w:r>
        <w:rPr>
          <w:u w:val="single" w:color="000000"/>
        </w:rPr>
        <w:t>Лучевая терапия у пациентов с почечно-клеточ</w:t>
      </w:r>
      <w:r>
        <w:rPr>
          <w:u w:val="single" w:color="000000"/>
        </w:rPr>
        <w:t xml:space="preserve">ным раком с метастазами в </w:t>
      </w:r>
    </w:p>
    <w:p w:rsidR="00C3791F" w:rsidRDefault="00AE1F83">
      <w:pPr>
        <w:spacing w:after="114" w:line="259" w:lineRule="auto"/>
        <w:ind w:left="137" w:right="189"/>
      </w:pPr>
      <w:r>
        <w:rPr>
          <w:u w:val="single" w:color="000000"/>
        </w:rPr>
        <w:t>кости</w:t>
      </w:r>
      <w:r>
        <w:t>……………………………………………………………………………………………..50</w:t>
      </w:r>
    </w:p>
    <w:p w:rsidR="00C3791F" w:rsidRDefault="00AE1F83">
      <w:pPr>
        <w:numPr>
          <w:ilvl w:val="1"/>
          <w:numId w:val="1"/>
        </w:numPr>
        <w:spacing w:after="114" w:line="259" w:lineRule="auto"/>
        <w:ind w:right="152" w:hanging="420"/>
        <w:jc w:val="left"/>
      </w:pPr>
      <w:r>
        <w:rPr>
          <w:u w:val="single" w:color="000000"/>
        </w:rPr>
        <w:t>Лекарственная терапия</w:t>
      </w:r>
      <w:r>
        <w:t>…………………………………………………………………….50</w:t>
      </w:r>
    </w:p>
    <w:p w:rsidR="00C3791F" w:rsidRDefault="00AE1F83">
      <w:pPr>
        <w:numPr>
          <w:ilvl w:val="2"/>
          <w:numId w:val="1"/>
        </w:numPr>
        <w:spacing w:after="0" w:line="357" w:lineRule="auto"/>
        <w:ind w:right="152" w:hanging="600"/>
        <w:jc w:val="left"/>
      </w:pPr>
      <w:r>
        <w:rPr>
          <w:u w:val="single" w:color="000000"/>
        </w:rPr>
        <w:t>Лекарственные препараты с доказанной эффективностью у пациентов с почечноклеточным раком, зарегистрированные на территории Российской</w:t>
      </w:r>
      <w:r>
        <w:rPr>
          <w:u w:val="single" w:color="000000"/>
        </w:rPr>
        <w:t xml:space="preserve"> Федерации, и режимы </w:t>
      </w:r>
    </w:p>
    <w:p w:rsidR="00C3791F" w:rsidRDefault="00AE1F83">
      <w:pPr>
        <w:spacing w:after="114" w:line="259" w:lineRule="auto"/>
        <w:ind w:left="137" w:right="189"/>
      </w:pPr>
      <w:r>
        <w:rPr>
          <w:u w:val="single" w:color="000000"/>
        </w:rPr>
        <w:t>их дозирования</w:t>
      </w:r>
      <w:r>
        <w:t>………………………………………………………………………………….52</w:t>
      </w:r>
    </w:p>
    <w:p w:rsidR="00C3791F" w:rsidRDefault="00AE1F83">
      <w:pPr>
        <w:numPr>
          <w:ilvl w:val="2"/>
          <w:numId w:val="1"/>
        </w:numPr>
        <w:spacing w:after="111" w:line="259" w:lineRule="auto"/>
        <w:ind w:right="152" w:hanging="600"/>
        <w:jc w:val="left"/>
      </w:pPr>
      <w:r>
        <w:rPr>
          <w:u w:val="single" w:color="000000"/>
        </w:rPr>
        <w:t xml:space="preserve">Принципы назначения лекарственной терапии у пациентов с почечно-клеточным </w:t>
      </w:r>
    </w:p>
    <w:p w:rsidR="00C3791F" w:rsidRDefault="00AE1F83">
      <w:pPr>
        <w:spacing w:after="114" w:line="259" w:lineRule="auto"/>
        <w:ind w:left="137" w:right="189"/>
      </w:pPr>
      <w:r>
        <w:rPr>
          <w:u w:val="single" w:color="000000"/>
        </w:rPr>
        <w:t>раком</w:t>
      </w:r>
      <w:r>
        <w:t>…………………………………………………………………………………………….56</w:t>
      </w:r>
    </w:p>
    <w:p w:rsidR="00C3791F" w:rsidRDefault="00AE1F83">
      <w:pPr>
        <w:numPr>
          <w:ilvl w:val="3"/>
          <w:numId w:val="1"/>
        </w:numPr>
        <w:spacing w:after="111" w:line="259" w:lineRule="auto"/>
        <w:ind w:right="152" w:hanging="780"/>
        <w:jc w:val="left"/>
      </w:pPr>
      <w:r>
        <w:rPr>
          <w:u w:val="single" w:color="000000"/>
        </w:rPr>
        <w:t>Неоадъювантная системная терапия</w:t>
      </w:r>
      <w:r>
        <w:t>………………………………………………….56</w:t>
      </w:r>
    </w:p>
    <w:p w:rsidR="00C3791F" w:rsidRDefault="00AE1F83">
      <w:pPr>
        <w:numPr>
          <w:ilvl w:val="3"/>
          <w:numId w:val="1"/>
        </w:numPr>
        <w:spacing w:after="111" w:line="259" w:lineRule="auto"/>
        <w:ind w:right="152" w:hanging="780"/>
        <w:jc w:val="left"/>
      </w:pPr>
      <w:r>
        <w:rPr>
          <w:u w:val="single" w:color="000000"/>
        </w:rPr>
        <w:t>Адъювантная системная терапия</w:t>
      </w:r>
      <w:r>
        <w:t>……………………………………………………..57</w:t>
      </w:r>
    </w:p>
    <w:p w:rsidR="00C3791F" w:rsidRDefault="00AE1F83">
      <w:pPr>
        <w:numPr>
          <w:ilvl w:val="3"/>
          <w:numId w:val="1"/>
        </w:numPr>
        <w:spacing w:after="111" w:line="259" w:lineRule="auto"/>
        <w:ind w:right="152" w:hanging="780"/>
        <w:jc w:val="left"/>
      </w:pPr>
      <w:r>
        <w:rPr>
          <w:u w:val="single" w:color="000000"/>
        </w:rPr>
        <w:t xml:space="preserve">Системная терапия местно-распространенного неоперабельного и </w:t>
      </w:r>
    </w:p>
    <w:p w:rsidR="00C3791F" w:rsidRDefault="00AE1F83">
      <w:pPr>
        <w:spacing w:after="111" w:line="259" w:lineRule="auto"/>
        <w:ind w:left="137" w:right="152"/>
        <w:jc w:val="left"/>
      </w:pPr>
      <w:r>
        <w:rPr>
          <w:u w:val="single" w:color="000000"/>
        </w:rPr>
        <w:t>генерализованного почечно-клеточного рака</w:t>
      </w:r>
      <w:r>
        <w:t>………………………………………………..59</w:t>
      </w:r>
    </w:p>
    <w:p w:rsidR="00C3791F" w:rsidRDefault="00AE1F83">
      <w:pPr>
        <w:spacing w:after="0" w:line="357" w:lineRule="auto"/>
        <w:ind w:left="137" w:right="152"/>
        <w:jc w:val="left"/>
      </w:pPr>
      <w:r>
        <w:rPr>
          <w:u w:val="single" w:color="000000"/>
        </w:rPr>
        <w:t>3.4.2.3.1. Результаты исследований системной противоопухолевой терапии, обосновывающие выбор лечебного режима у пациентов с почечно-клеточным раком</w:t>
      </w:r>
      <w:r>
        <w:t xml:space="preserve">….59 </w:t>
      </w:r>
      <w:r>
        <w:rPr>
          <w:u w:val="single" w:color="000000"/>
        </w:rPr>
        <w:t>3.4.2.3.2. Алгоритм выбора режима лекарственной терапии у пациентов с местнораспространенным неоперабель</w:t>
      </w:r>
      <w:r>
        <w:rPr>
          <w:u w:val="single" w:color="000000"/>
        </w:rPr>
        <w:t>ным и генерализованным почечно-клеточным раком</w:t>
      </w:r>
      <w:r>
        <w:t>…..67</w:t>
      </w:r>
    </w:p>
    <w:p w:rsidR="00C3791F" w:rsidRDefault="00AE1F83">
      <w:pPr>
        <w:numPr>
          <w:ilvl w:val="1"/>
          <w:numId w:val="1"/>
        </w:numPr>
        <w:spacing w:after="114" w:line="259" w:lineRule="auto"/>
        <w:ind w:right="152" w:hanging="420"/>
        <w:jc w:val="left"/>
      </w:pPr>
      <w:r>
        <w:rPr>
          <w:u w:val="single" w:color="000000"/>
        </w:rPr>
        <w:t>Обезболивание</w:t>
      </w:r>
      <w:r>
        <w:t>……………………………………………………………………………..74</w:t>
      </w:r>
    </w:p>
    <w:p w:rsidR="00C3791F" w:rsidRDefault="00AE1F83">
      <w:pPr>
        <w:numPr>
          <w:ilvl w:val="1"/>
          <w:numId w:val="1"/>
        </w:numPr>
        <w:spacing w:after="111" w:line="259" w:lineRule="auto"/>
        <w:ind w:right="152" w:hanging="420"/>
        <w:jc w:val="left"/>
      </w:pPr>
      <w:r>
        <w:rPr>
          <w:u w:val="single" w:color="000000"/>
        </w:rPr>
        <w:t>Сопроводительная терапия у пациентов с почечно-клеточным раком</w:t>
      </w:r>
      <w:r>
        <w:t>………………...75</w:t>
      </w:r>
    </w:p>
    <w:p w:rsidR="00C3791F" w:rsidRDefault="00AE1F83">
      <w:pPr>
        <w:numPr>
          <w:ilvl w:val="1"/>
          <w:numId w:val="1"/>
        </w:numPr>
        <w:spacing w:after="114" w:line="259" w:lineRule="auto"/>
        <w:ind w:right="152" w:hanging="420"/>
        <w:jc w:val="left"/>
      </w:pPr>
      <w:r>
        <w:rPr>
          <w:u w:val="single" w:color="000000"/>
        </w:rPr>
        <w:t>Диетотерапия</w:t>
      </w:r>
      <w:r>
        <w:t>……………………………………………………………………………….77</w:t>
      </w:r>
    </w:p>
    <w:p w:rsidR="00C3791F" w:rsidRDefault="00AE1F83">
      <w:pPr>
        <w:numPr>
          <w:ilvl w:val="0"/>
          <w:numId w:val="1"/>
        </w:numPr>
        <w:spacing w:after="111" w:line="259" w:lineRule="auto"/>
        <w:ind w:right="152" w:hanging="240"/>
        <w:jc w:val="left"/>
      </w:pPr>
      <w:r>
        <w:rPr>
          <w:u w:val="single" w:color="000000"/>
        </w:rPr>
        <w:t>Медицинская реабилитация, медицинские</w:t>
      </w:r>
      <w:r>
        <w:rPr>
          <w:u w:val="single" w:color="000000"/>
        </w:rPr>
        <w:t xml:space="preserve"> показания и противопоказания к применению</w:t>
      </w:r>
      <w:r>
        <w:t xml:space="preserve"> </w:t>
      </w:r>
    </w:p>
    <w:p w:rsidR="00C3791F" w:rsidRDefault="00AE1F83">
      <w:pPr>
        <w:ind w:left="137" w:right="189"/>
      </w:pPr>
      <w:r>
        <w:rPr>
          <w:u w:val="single" w:color="000000"/>
        </w:rPr>
        <w:t>методов реабилитации</w:t>
      </w:r>
      <w:r>
        <w:t xml:space="preserve">………………………………………………………………………….78 </w:t>
      </w:r>
      <w:r>
        <w:rPr>
          <w:u w:val="single" w:color="000000"/>
        </w:rPr>
        <w:t>4.1. Предреабилитация</w:t>
      </w:r>
      <w:r>
        <w:t>…………………………………………………………………………78</w:t>
      </w:r>
    </w:p>
    <w:p w:rsidR="00C3791F" w:rsidRDefault="00AE1F83">
      <w:pPr>
        <w:spacing w:after="111" w:line="259" w:lineRule="auto"/>
        <w:ind w:left="137" w:right="152"/>
        <w:jc w:val="left"/>
      </w:pPr>
      <w:r>
        <w:rPr>
          <w:u w:val="single" w:color="000000"/>
        </w:rPr>
        <w:t>4.2. Реабилитация после хирургического лечения</w:t>
      </w:r>
      <w:r>
        <w:t>…………………………………………...78</w:t>
      </w:r>
    </w:p>
    <w:p w:rsidR="00C3791F" w:rsidRDefault="00AE1F83">
      <w:pPr>
        <w:numPr>
          <w:ilvl w:val="2"/>
          <w:numId w:val="1"/>
        </w:numPr>
        <w:spacing w:after="111" w:line="259" w:lineRule="auto"/>
        <w:ind w:right="152" w:hanging="600"/>
        <w:jc w:val="left"/>
      </w:pPr>
      <w:r>
        <w:rPr>
          <w:u w:val="single" w:color="000000"/>
        </w:rPr>
        <w:t>Первый этап реабилитации</w:t>
      </w:r>
      <w:r>
        <w:t>…………………………………………</w:t>
      </w:r>
      <w:r>
        <w:t>…………………...78</w:t>
      </w:r>
    </w:p>
    <w:p w:rsidR="00C3791F" w:rsidRDefault="00AE1F83">
      <w:pPr>
        <w:numPr>
          <w:ilvl w:val="2"/>
          <w:numId w:val="1"/>
        </w:numPr>
        <w:spacing w:after="111" w:line="259" w:lineRule="auto"/>
        <w:ind w:right="152" w:hanging="600"/>
        <w:jc w:val="left"/>
      </w:pPr>
      <w:r>
        <w:rPr>
          <w:u w:val="single" w:color="000000"/>
        </w:rPr>
        <w:t>Второй и третий этапы реабилитации</w:t>
      </w:r>
      <w:r>
        <w:t>………………………………………………….80</w:t>
      </w:r>
    </w:p>
    <w:p w:rsidR="00C3791F" w:rsidRDefault="00AE1F83">
      <w:pPr>
        <w:numPr>
          <w:ilvl w:val="2"/>
          <w:numId w:val="1"/>
        </w:numPr>
        <w:spacing w:after="111" w:line="259" w:lineRule="auto"/>
        <w:ind w:right="152" w:hanging="600"/>
        <w:jc w:val="left"/>
      </w:pPr>
      <w:r>
        <w:rPr>
          <w:u w:val="single" w:color="000000"/>
        </w:rPr>
        <w:t>Третий этап реабилитации</w:t>
      </w:r>
      <w:r>
        <w:t>………………………………………………………………80</w:t>
      </w:r>
    </w:p>
    <w:p w:rsidR="00C3791F" w:rsidRDefault="00AE1F83">
      <w:pPr>
        <w:spacing w:after="111" w:line="259" w:lineRule="auto"/>
        <w:ind w:left="137" w:right="152"/>
        <w:jc w:val="left"/>
      </w:pPr>
      <w:r>
        <w:rPr>
          <w:u w:val="single" w:color="000000"/>
        </w:rPr>
        <w:t>4.3. Реабилитация при лучевой терапии</w:t>
      </w:r>
      <w:r>
        <w:t>………………………………………………………81</w:t>
      </w:r>
    </w:p>
    <w:p w:rsidR="00C3791F" w:rsidRDefault="00AE1F83">
      <w:pPr>
        <w:numPr>
          <w:ilvl w:val="0"/>
          <w:numId w:val="1"/>
        </w:numPr>
        <w:spacing w:after="0" w:line="357" w:lineRule="auto"/>
        <w:ind w:right="152" w:hanging="240"/>
        <w:jc w:val="left"/>
      </w:pPr>
      <w:r>
        <w:rPr>
          <w:u w:val="single" w:color="000000"/>
        </w:rPr>
        <w:t>Профилактика и диспансерное наблюдение, медицинские показания и противопоказания к применению методов профилактики</w:t>
      </w:r>
      <w:r>
        <w:t xml:space="preserve">…………………………………..81 </w:t>
      </w:r>
      <w:r>
        <w:rPr>
          <w:u w:val="single" w:color="000000"/>
        </w:rPr>
        <w:t>5.1. Диспансерное наблюдение после радикального хирургического лечения</w:t>
      </w:r>
      <w:r>
        <w:t>…………….82</w:t>
      </w:r>
    </w:p>
    <w:p w:rsidR="00C3791F" w:rsidRDefault="00AE1F83">
      <w:pPr>
        <w:numPr>
          <w:ilvl w:val="2"/>
          <w:numId w:val="3"/>
        </w:numPr>
        <w:spacing w:after="111" w:line="259" w:lineRule="auto"/>
        <w:ind w:right="152" w:hanging="600"/>
        <w:jc w:val="left"/>
      </w:pPr>
      <w:r>
        <w:rPr>
          <w:u w:val="single" w:color="000000"/>
        </w:rPr>
        <w:t>Наблюдение после аблативного лечения почечно-</w:t>
      </w:r>
      <w:r>
        <w:rPr>
          <w:u w:val="single" w:color="000000"/>
        </w:rPr>
        <w:t>клеточного рака сТ1аN0M0</w:t>
      </w:r>
      <w:r>
        <w:t>…….82</w:t>
      </w:r>
    </w:p>
    <w:p w:rsidR="00C3791F" w:rsidRDefault="00AE1F83">
      <w:pPr>
        <w:numPr>
          <w:ilvl w:val="2"/>
          <w:numId w:val="3"/>
        </w:numPr>
        <w:spacing w:after="111" w:line="259" w:lineRule="auto"/>
        <w:ind w:right="152" w:hanging="600"/>
        <w:jc w:val="left"/>
      </w:pPr>
      <w:r>
        <w:rPr>
          <w:u w:val="single" w:color="000000"/>
        </w:rPr>
        <w:t>Наблюдение после хирургического лечения почечно-клеточного рака  I стадии</w:t>
      </w:r>
      <w:r>
        <w:t>…..83</w:t>
      </w:r>
    </w:p>
    <w:p w:rsidR="00C3791F" w:rsidRDefault="00AE1F83">
      <w:pPr>
        <w:numPr>
          <w:ilvl w:val="2"/>
          <w:numId w:val="3"/>
        </w:numPr>
        <w:spacing w:after="111" w:line="259" w:lineRule="auto"/>
        <w:ind w:right="152" w:hanging="600"/>
        <w:jc w:val="left"/>
      </w:pPr>
      <w:r>
        <w:rPr>
          <w:u w:val="single" w:color="000000"/>
        </w:rPr>
        <w:t xml:space="preserve">Наблюдение после хирургического лечения почечно-клеточного рака II−IV </w:t>
      </w:r>
    </w:p>
    <w:p w:rsidR="00C3791F" w:rsidRDefault="00AE1F83">
      <w:pPr>
        <w:spacing w:after="114" w:line="259" w:lineRule="auto"/>
        <w:ind w:left="137" w:right="189"/>
      </w:pPr>
      <w:r>
        <w:rPr>
          <w:u w:val="single" w:color="000000"/>
        </w:rPr>
        <w:t>стадий</w:t>
      </w:r>
      <w:r>
        <w:t>……………………………………………………………………………………………84</w:t>
      </w:r>
    </w:p>
    <w:p w:rsidR="00C3791F" w:rsidRDefault="00AE1F83">
      <w:pPr>
        <w:spacing w:after="0" w:line="357" w:lineRule="auto"/>
        <w:ind w:left="137" w:right="152"/>
        <w:jc w:val="left"/>
      </w:pPr>
      <w:r>
        <w:rPr>
          <w:u w:val="single" w:color="000000"/>
        </w:rPr>
        <w:t>5.2. Наблюдение при рецидиве или</w:t>
      </w:r>
      <w:r>
        <w:rPr>
          <w:u w:val="single" w:color="000000"/>
        </w:rPr>
        <w:t xml:space="preserve"> неоперабельном почечно-клеточном раке</w:t>
      </w:r>
      <w:r>
        <w:t xml:space="preserve">…….……..84 </w:t>
      </w:r>
      <w:r>
        <w:rPr>
          <w:u w:val="single" w:color="000000"/>
        </w:rPr>
        <w:t>5.3. Динамическое наблюдение пациентов с наследственным почечно-клеточным раком и выявленных бессимптомных носителей патогенных герминальных мутаций</w:t>
      </w:r>
      <w:r>
        <w:t>…………….86</w:t>
      </w:r>
    </w:p>
    <w:p w:rsidR="00C3791F" w:rsidRDefault="00AE1F83">
      <w:pPr>
        <w:numPr>
          <w:ilvl w:val="0"/>
          <w:numId w:val="1"/>
        </w:numPr>
        <w:spacing w:after="111" w:line="259" w:lineRule="auto"/>
        <w:ind w:right="152" w:hanging="240"/>
        <w:jc w:val="left"/>
      </w:pPr>
      <w:r>
        <w:rPr>
          <w:u w:val="single" w:color="000000"/>
        </w:rPr>
        <w:t>Организация оказания медицинской помощи</w:t>
      </w:r>
      <w:r>
        <w:t>………………………………</w:t>
      </w:r>
      <w:r>
        <w:t>……………..87</w:t>
      </w:r>
    </w:p>
    <w:p w:rsidR="00C3791F" w:rsidRDefault="00AE1F83">
      <w:pPr>
        <w:numPr>
          <w:ilvl w:val="0"/>
          <w:numId w:val="1"/>
        </w:numPr>
        <w:spacing w:after="111" w:line="259" w:lineRule="auto"/>
        <w:ind w:right="152" w:hanging="240"/>
        <w:jc w:val="left"/>
      </w:pPr>
      <w:r>
        <w:rPr>
          <w:u w:val="single" w:color="000000"/>
        </w:rPr>
        <w:t xml:space="preserve">Дополнительная информация (в том числе факторы, влияющие на исход заболевания </w:t>
      </w:r>
    </w:p>
    <w:p w:rsidR="00C3791F" w:rsidRDefault="00AE1F83">
      <w:pPr>
        <w:ind w:left="137" w:right="189"/>
      </w:pPr>
      <w:r>
        <w:rPr>
          <w:u w:val="single" w:color="000000"/>
        </w:rPr>
        <w:t>или состояния)</w:t>
      </w:r>
      <w:r>
        <w:t xml:space="preserve">…………………………………………………………………………………..93 </w:t>
      </w:r>
      <w:r>
        <w:rPr>
          <w:u w:val="single" w:color="000000"/>
        </w:rPr>
        <w:t>Список литературы</w:t>
      </w:r>
      <w:r>
        <w:t>……………………………………………………………………………..96</w:t>
      </w:r>
    </w:p>
    <w:p w:rsidR="00C3791F" w:rsidRDefault="00AE1F83">
      <w:pPr>
        <w:spacing w:after="111" w:line="259" w:lineRule="auto"/>
        <w:ind w:left="137" w:right="152"/>
        <w:jc w:val="left"/>
      </w:pPr>
      <w:r>
        <w:rPr>
          <w:u w:val="single" w:color="000000"/>
        </w:rPr>
        <w:t xml:space="preserve">Приложение А1. Состав рабочей группы по разработке и пересмотру клинических </w:t>
      </w:r>
    </w:p>
    <w:p w:rsidR="00C3791F" w:rsidRDefault="00AE1F83">
      <w:pPr>
        <w:spacing w:after="114" w:line="259" w:lineRule="auto"/>
        <w:ind w:left="137" w:right="189"/>
      </w:pPr>
      <w:r>
        <w:rPr>
          <w:u w:val="single" w:color="000000"/>
        </w:rPr>
        <w:t>рекомендаций</w:t>
      </w:r>
      <w:r>
        <w:t>………………………………………………………………………………….120</w:t>
      </w:r>
    </w:p>
    <w:p w:rsidR="00C3791F" w:rsidRDefault="00AE1F83">
      <w:pPr>
        <w:spacing w:after="0" w:line="357" w:lineRule="auto"/>
        <w:ind w:left="137" w:right="152"/>
        <w:jc w:val="left"/>
      </w:pPr>
      <w:r>
        <w:rPr>
          <w:u w:val="single" w:color="000000"/>
        </w:rPr>
        <w:t>Приложение А2. Методология разработки клинических рекомендаций</w:t>
      </w:r>
      <w:r>
        <w:t xml:space="preserve">………………….123 </w:t>
      </w:r>
      <w:r>
        <w:rPr>
          <w:u w:val="single" w:color="000000"/>
        </w:rPr>
        <w:t>Приложение А3. Справочные материалы, включая соответствие</w:t>
      </w:r>
      <w:r>
        <w:rPr>
          <w:u w:val="single" w:color="000000"/>
        </w:rPr>
        <w:t xml:space="preserve"> показаний к применению и противопоказаний, способов применения и доз лекарственных препаратов, инструкции </w:t>
      </w:r>
    </w:p>
    <w:p w:rsidR="00C3791F" w:rsidRDefault="00AE1F83">
      <w:pPr>
        <w:spacing w:after="111" w:line="259" w:lineRule="auto"/>
        <w:ind w:left="137" w:right="152"/>
        <w:jc w:val="left"/>
      </w:pPr>
      <w:r>
        <w:rPr>
          <w:u w:val="single" w:color="000000"/>
        </w:rPr>
        <w:t>по применению лекарственного препарата</w:t>
      </w:r>
      <w:r>
        <w:t>……………………………………………….…128</w:t>
      </w:r>
    </w:p>
    <w:p w:rsidR="00C3791F" w:rsidRDefault="00AE1F83">
      <w:pPr>
        <w:spacing w:after="0" w:line="357" w:lineRule="auto"/>
        <w:ind w:left="137" w:right="152"/>
        <w:jc w:val="left"/>
      </w:pPr>
      <w:r>
        <w:rPr>
          <w:u w:val="single" w:color="000000"/>
        </w:rPr>
        <w:t>Приложение А3-1. Параметры нефрометрических шкал RENAL и PADUA [11, 12]</w:t>
      </w:r>
      <w:r>
        <w:t xml:space="preserve">……130 </w:t>
      </w:r>
      <w:r>
        <w:rPr>
          <w:u w:val="single" w:color="000000"/>
        </w:rPr>
        <w:t>Приложени</w:t>
      </w:r>
      <w:r>
        <w:rPr>
          <w:u w:val="single" w:color="000000"/>
        </w:rPr>
        <w:t xml:space="preserve">е А3-2. Термины, описывающие процедуры в клинической рекомендации и возможные (наиболее близкие) термины из действующей номенклатуры медицинских </w:t>
      </w:r>
    </w:p>
    <w:p w:rsidR="00C3791F" w:rsidRDefault="00AE1F83">
      <w:pPr>
        <w:spacing w:after="114" w:line="259" w:lineRule="auto"/>
        <w:ind w:left="137" w:right="189"/>
      </w:pPr>
      <w:r>
        <w:rPr>
          <w:u w:val="single" w:color="000000"/>
        </w:rPr>
        <w:t>услуг</w:t>
      </w:r>
      <w:r>
        <w:t xml:space="preserve">……………………………………………………………………………………………131 </w:t>
      </w:r>
    </w:p>
    <w:p w:rsidR="00C3791F" w:rsidRDefault="00AE1F83">
      <w:pPr>
        <w:spacing w:after="111" w:line="259" w:lineRule="auto"/>
        <w:ind w:left="137" w:right="152"/>
        <w:jc w:val="left"/>
      </w:pPr>
      <w:r>
        <w:rPr>
          <w:u w:val="single" w:color="000000"/>
        </w:rPr>
        <w:t>Приложение Б. Алгоритмы действий врача</w:t>
      </w:r>
      <w:r>
        <w:t>…………………………………………………133</w:t>
      </w:r>
    </w:p>
    <w:p w:rsidR="00C3791F" w:rsidRDefault="00AE1F83">
      <w:pPr>
        <w:spacing w:after="111" w:line="259" w:lineRule="auto"/>
        <w:ind w:left="137" w:right="152"/>
        <w:jc w:val="left"/>
      </w:pPr>
      <w:r>
        <w:rPr>
          <w:u w:val="single" w:color="000000"/>
        </w:rPr>
        <w:t>Прил</w:t>
      </w:r>
      <w:r>
        <w:rPr>
          <w:u w:val="single" w:color="000000"/>
        </w:rPr>
        <w:t>ожение В. Информация для пациента</w:t>
      </w:r>
      <w:r>
        <w:t>………………………………………………….138</w:t>
      </w:r>
    </w:p>
    <w:p w:rsidR="00C3791F" w:rsidRDefault="00AE1F83">
      <w:pPr>
        <w:spacing w:after="111" w:line="259" w:lineRule="auto"/>
        <w:ind w:left="137" w:right="152"/>
        <w:jc w:val="left"/>
      </w:pPr>
      <w:r>
        <w:rPr>
          <w:u w:val="single" w:color="000000"/>
        </w:rPr>
        <w:t>Приложение Г1. Шкала оценки тяжести состояния пациента по версии ВОЗ/ECOG</w:t>
      </w:r>
      <w:r>
        <w:t>……140</w:t>
      </w:r>
    </w:p>
    <w:p w:rsidR="00C3791F" w:rsidRDefault="00AE1F83">
      <w:pPr>
        <w:spacing w:after="111" w:line="259" w:lineRule="auto"/>
        <w:ind w:left="137" w:right="152"/>
        <w:jc w:val="left"/>
      </w:pPr>
      <w:r>
        <w:rPr>
          <w:u w:val="single" w:color="000000"/>
        </w:rPr>
        <w:t>Приложение Г2. Шкала Карновского</w:t>
      </w:r>
      <w:r>
        <w:t>………………………………………………………..142</w:t>
      </w:r>
    </w:p>
    <w:p w:rsidR="00C3791F" w:rsidRDefault="00AE1F83">
      <w:pPr>
        <w:spacing w:after="111" w:line="259" w:lineRule="auto"/>
        <w:ind w:left="137" w:right="152"/>
        <w:jc w:val="left"/>
      </w:pPr>
      <w:r>
        <w:rPr>
          <w:u w:val="single" w:color="000000"/>
        </w:rPr>
        <w:t>Приложение Г3. Визуально-аналоговая шкала оценки болевого синдрома</w:t>
      </w:r>
      <w:r>
        <w:t xml:space="preserve">………………144 </w:t>
      </w:r>
      <w:r>
        <w:rPr>
          <w:u w:val="single" w:color="000000"/>
        </w:rPr>
        <w:t>Приложение Г4. Критерии оценки ответа солидных опухолей на лечение</w:t>
      </w:r>
      <w:r>
        <w:t xml:space="preserve"> </w:t>
      </w:r>
    </w:p>
    <w:p w:rsidR="00C3791F" w:rsidRDefault="00AE1F83">
      <w:pPr>
        <w:spacing w:after="114" w:line="259" w:lineRule="auto"/>
        <w:ind w:left="137" w:right="189"/>
      </w:pPr>
      <w:r>
        <w:rPr>
          <w:u w:val="single" w:color="000000"/>
        </w:rPr>
        <w:t>RECIST1.1</w:t>
      </w:r>
      <w:r>
        <w:t>……………………………………………………………………………………...145</w:t>
      </w:r>
    </w:p>
    <w:p w:rsidR="00C3791F" w:rsidRDefault="00AE1F83">
      <w:pPr>
        <w:spacing w:after="360" w:line="357" w:lineRule="auto"/>
        <w:ind w:left="137" w:right="152"/>
        <w:jc w:val="left"/>
      </w:pPr>
      <w:r>
        <w:rPr>
          <w:u w:val="single" w:color="000000"/>
        </w:rPr>
        <w:t>Приложение Г5. Критерии оценки иммуноопосредованного ответа соли</w:t>
      </w:r>
      <w:r>
        <w:rPr>
          <w:u w:val="single" w:color="000000"/>
        </w:rPr>
        <w:t>дных опухолей</w:t>
      </w:r>
      <w:r>
        <w:t xml:space="preserve"> </w:t>
      </w:r>
      <w:r>
        <w:rPr>
          <w:u w:val="single" w:color="000000"/>
        </w:rPr>
        <w:t>iRECIST</w:t>
      </w:r>
      <w:r>
        <w:t>………………………………………………………………………………………..146</w:t>
      </w:r>
    </w:p>
    <w:p w:rsidR="00C3791F" w:rsidRDefault="00AE1F83">
      <w:pPr>
        <w:pStyle w:val="Heading1"/>
        <w:spacing w:after="328"/>
        <w:ind w:left="160" w:right="198"/>
      </w:pPr>
      <w:r>
        <w:t>Список сокращений</w:t>
      </w:r>
    </w:p>
    <w:p w:rsidR="00C3791F" w:rsidRDefault="00AE1F83">
      <w:pPr>
        <w:spacing w:after="114" w:line="259" w:lineRule="auto"/>
        <w:ind w:left="578" w:right="189"/>
      </w:pPr>
      <w:r>
        <w:rPr>
          <w:b/>
        </w:rPr>
        <w:t>АГ</w:t>
      </w:r>
      <w:r>
        <w:t xml:space="preserve"> ‒ артериальная гипертензия</w:t>
      </w:r>
    </w:p>
    <w:p w:rsidR="00C3791F" w:rsidRDefault="00AE1F83">
      <w:pPr>
        <w:spacing w:after="114" w:line="259" w:lineRule="auto"/>
        <w:ind w:left="578" w:right="189"/>
      </w:pPr>
      <w:r>
        <w:rPr>
          <w:b/>
        </w:rPr>
        <w:t>АЛТ</w:t>
      </w:r>
      <w:r>
        <w:t xml:space="preserve"> – аланинаимнотрансфераза</w:t>
      </w:r>
    </w:p>
    <w:p w:rsidR="00C3791F" w:rsidRDefault="00AE1F83">
      <w:pPr>
        <w:spacing w:after="114" w:line="259" w:lineRule="auto"/>
        <w:ind w:left="578" w:right="189"/>
      </w:pPr>
      <w:r>
        <w:rPr>
          <w:b/>
        </w:rPr>
        <w:t>АСТ</w:t>
      </w:r>
      <w:r>
        <w:t xml:space="preserve"> - аспартатаминотрансфераза</w:t>
      </w:r>
    </w:p>
    <w:p w:rsidR="00C3791F" w:rsidRDefault="00AE1F83">
      <w:pPr>
        <w:spacing w:line="359" w:lineRule="auto"/>
        <w:ind w:left="578" w:right="4998"/>
        <w:jc w:val="left"/>
      </w:pPr>
      <w:r>
        <w:rPr>
          <w:b/>
        </w:rPr>
        <w:t>БПВ</w:t>
      </w:r>
      <w:r>
        <w:t xml:space="preserve"> – беспрогрессивная выживаемость </w:t>
      </w:r>
      <w:r>
        <w:rPr>
          <w:b/>
        </w:rPr>
        <w:t>БРВ</w:t>
      </w:r>
      <w:r>
        <w:t xml:space="preserve"> – безрецидивная выживаемость </w:t>
      </w:r>
      <w:r>
        <w:rPr>
          <w:b/>
        </w:rPr>
        <w:t>в/в</w:t>
      </w:r>
      <w:r>
        <w:t xml:space="preserve"> – внутривенный</w:t>
      </w:r>
    </w:p>
    <w:p w:rsidR="00C3791F" w:rsidRDefault="00AE1F83">
      <w:pPr>
        <w:spacing w:after="114" w:line="259" w:lineRule="auto"/>
        <w:ind w:left="578" w:right="189"/>
      </w:pPr>
      <w:r>
        <w:rPr>
          <w:b/>
        </w:rPr>
        <w:t>ВОЗ</w:t>
      </w:r>
      <w:r>
        <w:t xml:space="preserve"> – Всемирная организация здравоохранения</w:t>
      </w:r>
    </w:p>
    <w:p w:rsidR="00C3791F" w:rsidRDefault="00AE1F83">
      <w:pPr>
        <w:spacing w:after="114" w:line="259" w:lineRule="auto"/>
        <w:ind w:left="578" w:right="189"/>
      </w:pPr>
      <w:r>
        <w:rPr>
          <w:b/>
        </w:rPr>
        <w:t>ДИ</w:t>
      </w:r>
      <w:r>
        <w:t xml:space="preserve"> – доверительный интервал</w:t>
      </w:r>
    </w:p>
    <w:p w:rsidR="00C3791F" w:rsidRDefault="00AE1F83">
      <w:pPr>
        <w:spacing w:after="114" w:line="259" w:lineRule="auto"/>
        <w:ind w:left="578" w:right="189"/>
      </w:pPr>
      <w:r>
        <w:rPr>
          <w:b/>
        </w:rPr>
        <w:t>ИФН-α</w:t>
      </w:r>
      <w:r>
        <w:t xml:space="preserve"> ‒ интерферон альфа 2b**</w:t>
      </w:r>
    </w:p>
    <w:p w:rsidR="00C3791F" w:rsidRDefault="00AE1F83">
      <w:pPr>
        <w:spacing w:after="114" w:line="259" w:lineRule="auto"/>
        <w:ind w:left="578" w:right="189"/>
      </w:pPr>
      <w:r>
        <w:rPr>
          <w:b/>
        </w:rPr>
        <w:t>КТ</w:t>
      </w:r>
      <w:r>
        <w:t xml:space="preserve"> ‒ компьютерная томография</w:t>
      </w:r>
    </w:p>
    <w:p w:rsidR="00C3791F" w:rsidRDefault="00AE1F83">
      <w:pPr>
        <w:spacing w:after="114" w:line="259" w:lineRule="auto"/>
        <w:ind w:left="578" w:right="189"/>
      </w:pPr>
      <w:r>
        <w:rPr>
          <w:b/>
        </w:rPr>
        <w:t>ЛУ</w:t>
      </w:r>
      <w:r>
        <w:t xml:space="preserve"> ‒ лимфатические(ий) узлы(узел)</w:t>
      </w:r>
    </w:p>
    <w:p w:rsidR="00C3791F" w:rsidRDefault="00AE1F83">
      <w:pPr>
        <w:ind w:left="578" w:right="1227"/>
      </w:pPr>
      <w:r>
        <w:rPr>
          <w:b/>
        </w:rPr>
        <w:t>МКБ-10</w:t>
      </w:r>
      <w:r>
        <w:t xml:space="preserve"> ‒ Международная классификация болезней 10-го пересмотра </w:t>
      </w:r>
      <w:r>
        <w:rPr>
          <w:b/>
        </w:rPr>
        <w:t xml:space="preserve">мПКР </w:t>
      </w:r>
      <w:r>
        <w:t>– метастатический почеч</w:t>
      </w:r>
      <w:r>
        <w:t>но-клеточный рак</w:t>
      </w:r>
    </w:p>
    <w:p w:rsidR="00C3791F" w:rsidRDefault="00AE1F83">
      <w:pPr>
        <w:ind w:left="578" w:right="4234"/>
      </w:pPr>
      <w:r>
        <w:rPr>
          <w:b/>
        </w:rPr>
        <w:t>МРТ</w:t>
      </w:r>
      <w:r>
        <w:t xml:space="preserve"> ‒ магнитно-резонансная томография </w:t>
      </w:r>
      <w:r>
        <w:rPr>
          <w:b/>
        </w:rPr>
        <w:t>НПВ</w:t>
      </w:r>
      <w:r>
        <w:t xml:space="preserve"> – нижняя полая вена</w:t>
      </w:r>
    </w:p>
    <w:p w:rsidR="00C3791F" w:rsidRDefault="00AE1F83">
      <w:pPr>
        <w:spacing w:after="114" w:line="259" w:lineRule="auto"/>
        <w:ind w:left="578" w:right="189"/>
      </w:pPr>
      <w:r>
        <w:rPr>
          <w:b/>
        </w:rPr>
        <w:t>нПКР</w:t>
      </w:r>
      <w:r>
        <w:t xml:space="preserve"> – несветлоклеточный почечно-клеточный рак</w:t>
      </w:r>
    </w:p>
    <w:p w:rsidR="00C3791F" w:rsidRDefault="00AE1F83">
      <w:pPr>
        <w:spacing w:after="114" w:line="259" w:lineRule="auto"/>
        <w:ind w:left="578" w:right="189"/>
      </w:pPr>
      <w:r>
        <w:rPr>
          <w:b/>
        </w:rPr>
        <w:t xml:space="preserve">НЯ </w:t>
      </w:r>
      <w:r>
        <w:t>– нежелательные явления</w:t>
      </w:r>
    </w:p>
    <w:p w:rsidR="00C3791F" w:rsidRDefault="00AE1F83">
      <w:pPr>
        <w:spacing w:after="114" w:line="259" w:lineRule="auto"/>
        <w:ind w:left="578" w:right="189"/>
      </w:pPr>
      <w:r>
        <w:rPr>
          <w:b/>
        </w:rPr>
        <w:t>ОВ</w:t>
      </w:r>
      <w:r>
        <w:t xml:space="preserve"> – общая выживаемость</w:t>
      </w:r>
    </w:p>
    <w:p w:rsidR="00C3791F" w:rsidRDefault="00AE1F83">
      <w:pPr>
        <w:spacing w:after="114" w:line="259" w:lineRule="auto"/>
        <w:ind w:left="578" w:right="189"/>
      </w:pPr>
      <w:r>
        <w:rPr>
          <w:b/>
        </w:rPr>
        <w:t xml:space="preserve">ОР </w:t>
      </w:r>
      <w:r>
        <w:t>– отношение рисков</w:t>
      </w:r>
    </w:p>
    <w:p w:rsidR="00C3791F" w:rsidRDefault="00AE1F83">
      <w:pPr>
        <w:spacing w:after="114" w:line="259" w:lineRule="auto"/>
        <w:ind w:left="578" w:right="189"/>
      </w:pPr>
      <w:r>
        <w:rPr>
          <w:b/>
        </w:rPr>
        <w:t xml:space="preserve">ОШ </w:t>
      </w:r>
      <w:r>
        <w:t>– отношение шансов</w:t>
      </w:r>
    </w:p>
    <w:p w:rsidR="00C3791F" w:rsidRDefault="00AE1F83">
      <w:pPr>
        <w:spacing w:after="114" w:line="259" w:lineRule="auto"/>
        <w:ind w:left="578" w:right="189"/>
      </w:pPr>
      <w:r>
        <w:rPr>
          <w:b/>
        </w:rPr>
        <w:t>ПКР</w:t>
      </w:r>
      <w:r>
        <w:t xml:space="preserve"> ‒ почечно-клеточный рак</w:t>
      </w:r>
    </w:p>
    <w:p w:rsidR="00C3791F" w:rsidRDefault="00AE1F83">
      <w:pPr>
        <w:spacing w:after="114" w:line="259" w:lineRule="auto"/>
        <w:ind w:left="578" w:right="189"/>
      </w:pPr>
      <w:r>
        <w:rPr>
          <w:b/>
        </w:rPr>
        <w:t>ПЦР</w:t>
      </w:r>
      <w:r>
        <w:t xml:space="preserve"> – п</w:t>
      </w:r>
      <w:r>
        <w:t>олимеразная цепная реакция</w:t>
      </w:r>
    </w:p>
    <w:p w:rsidR="00C3791F" w:rsidRDefault="00AE1F83">
      <w:pPr>
        <w:ind w:left="127" w:right="189" w:firstLine="426"/>
      </w:pPr>
      <w:r>
        <w:rPr>
          <w:b/>
        </w:rPr>
        <w:t>ПЭТ/КТ</w:t>
      </w:r>
      <w:r>
        <w:t xml:space="preserve"> – позитронно эмиссионная томография, совмещенная с компьютерной томографией, с туморотропными РФП</w:t>
      </w:r>
    </w:p>
    <w:p w:rsidR="00C3791F" w:rsidRDefault="00AE1F83">
      <w:pPr>
        <w:spacing w:after="114" w:line="259" w:lineRule="auto"/>
        <w:ind w:left="578" w:right="189"/>
      </w:pPr>
      <w:r>
        <w:rPr>
          <w:b/>
        </w:rPr>
        <w:t>РН</w:t>
      </w:r>
      <w:r>
        <w:t xml:space="preserve"> – радикальная нефрэктомия</w:t>
      </w:r>
    </w:p>
    <w:p w:rsidR="00C3791F" w:rsidRDefault="00AE1F83">
      <w:pPr>
        <w:spacing w:line="259" w:lineRule="auto"/>
        <w:ind w:left="578" w:right="189"/>
      </w:pPr>
      <w:r>
        <w:rPr>
          <w:b/>
        </w:rPr>
        <w:t>РП</w:t>
      </w:r>
      <w:r>
        <w:t xml:space="preserve"> – резекция почки</w:t>
      </w:r>
    </w:p>
    <w:p w:rsidR="00C3791F" w:rsidRDefault="00AE1F83">
      <w:pPr>
        <w:spacing w:after="114" w:line="259" w:lineRule="auto"/>
        <w:ind w:left="578" w:right="189"/>
      </w:pPr>
      <w:r>
        <w:rPr>
          <w:b/>
        </w:rPr>
        <w:t xml:space="preserve">РФП </w:t>
      </w:r>
      <w:r>
        <w:t>– радиофармпрепарат</w:t>
      </w:r>
    </w:p>
    <w:p w:rsidR="00C3791F" w:rsidRDefault="00AE1F83">
      <w:pPr>
        <w:spacing w:line="359" w:lineRule="auto"/>
        <w:ind w:left="578" w:right="3994"/>
        <w:jc w:val="left"/>
      </w:pPr>
      <w:r>
        <w:rPr>
          <w:b/>
        </w:rPr>
        <w:t>РЧА</w:t>
      </w:r>
      <w:r>
        <w:t xml:space="preserve"> – радиочастотная аблация почки </w:t>
      </w:r>
      <w:r>
        <w:rPr>
          <w:b/>
        </w:rPr>
        <w:t xml:space="preserve">СВ </w:t>
      </w:r>
      <w:r>
        <w:t xml:space="preserve">– специфическая выживаемость </w:t>
      </w:r>
      <w:r>
        <w:rPr>
          <w:b/>
        </w:rPr>
        <w:t>сПКР</w:t>
      </w:r>
      <w:r>
        <w:t xml:space="preserve"> – светлоклеточный почечно-клеточный рак</w:t>
      </w:r>
    </w:p>
    <w:p w:rsidR="00C3791F" w:rsidRDefault="00AE1F83">
      <w:pPr>
        <w:spacing w:line="359" w:lineRule="auto"/>
        <w:ind w:left="578" w:right="4591"/>
        <w:jc w:val="left"/>
      </w:pPr>
      <w:r>
        <w:rPr>
          <w:b/>
        </w:rPr>
        <w:t>СТЛТ</w:t>
      </w:r>
      <w:r>
        <w:t xml:space="preserve"> – стереотаксическая лучевая терапия </w:t>
      </w:r>
      <w:r>
        <w:rPr>
          <w:b/>
        </w:rPr>
        <w:t>УЗИ</w:t>
      </w:r>
      <w:r>
        <w:t xml:space="preserve"> ‒ ультразвуковое исследование </w:t>
      </w:r>
      <w:r>
        <w:rPr>
          <w:b/>
        </w:rPr>
        <w:t>цНЭ</w:t>
      </w:r>
      <w:r>
        <w:t xml:space="preserve"> – циторедуктивная нефрэктомия</w:t>
      </w:r>
    </w:p>
    <w:p w:rsidR="00C3791F" w:rsidRDefault="00AE1F83">
      <w:pPr>
        <w:spacing w:after="114" w:line="259" w:lineRule="auto"/>
        <w:ind w:left="578" w:right="189"/>
      </w:pPr>
      <w:r>
        <w:rPr>
          <w:b/>
        </w:rPr>
        <w:t xml:space="preserve">ЧОО </w:t>
      </w:r>
      <w:r>
        <w:t>– частота объективных ответов</w:t>
      </w:r>
    </w:p>
    <w:p w:rsidR="00C3791F" w:rsidRDefault="00AE1F83">
      <w:pPr>
        <w:spacing w:after="95" w:line="259" w:lineRule="auto"/>
        <w:ind w:left="578" w:right="189"/>
      </w:pPr>
      <w:r>
        <w:rPr>
          <w:b/>
        </w:rPr>
        <w:t>ЭхоКГ</w:t>
      </w:r>
      <w:r>
        <w:t xml:space="preserve"> − эхокардиография</w:t>
      </w:r>
    </w:p>
    <w:p w:rsidR="00C3791F" w:rsidRDefault="00AE1F83">
      <w:pPr>
        <w:spacing w:after="18" w:line="357" w:lineRule="auto"/>
        <w:ind w:left="127" w:firstLine="426"/>
      </w:pPr>
      <w:r>
        <w:rPr>
          <w:b/>
          <w:sz w:val="22"/>
        </w:rPr>
        <w:t xml:space="preserve">ESMO </w:t>
      </w:r>
      <w:r>
        <w:rPr>
          <w:sz w:val="22"/>
        </w:rPr>
        <w:t>(англ. Eur</w:t>
      </w:r>
      <w:r>
        <w:rPr>
          <w:sz w:val="22"/>
        </w:rPr>
        <w:t>opean Society of Medical Oncology)</w:t>
      </w:r>
      <w:r>
        <w:rPr>
          <w:b/>
          <w:sz w:val="22"/>
        </w:rPr>
        <w:t xml:space="preserve"> – </w:t>
      </w:r>
      <w:r>
        <w:rPr>
          <w:sz w:val="22"/>
        </w:rPr>
        <w:t xml:space="preserve">Европейское Общество Медицинской Онкологии </w:t>
      </w:r>
    </w:p>
    <w:p w:rsidR="00C3791F" w:rsidRDefault="00AE1F83">
      <w:pPr>
        <w:ind w:left="127" w:right="189" w:firstLine="426"/>
      </w:pPr>
      <w:r>
        <w:rPr>
          <w:b/>
        </w:rPr>
        <w:t>ECOG</w:t>
      </w:r>
      <w:r>
        <w:t xml:space="preserve"> </w:t>
      </w:r>
      <w:r>
        <w:rPr>
          <w:b/>
        </w:rPr>
        <w:t>PS</w:t>
      </w:r>
      <w:r>
        <w:t xml:space="preserve"> (англ. Eastern Cooperative Oncology Group performance status) – оценка общего состояния онкологического пациента по шкале, разработанной Восточной объединенной группой</w:t>
      </w:r>
      <w:r>
        <w:t xml:space="preserve"> онкологов</w:t>
      </w:r>
    </w:p>
    <w:p w:rsidR="00C3791F" w:rsidRDefault="00AE1F83">
      <w:pPr>
        <w:ind w:left="127" w:right="189" w:firstLine="426"/>
      </w:pPr>
      <w:r>
        <w:rPr>
          <w:b/>
        </w:rPr>
        <w:t>MLPA</w:t>
      </w:r>
      <w:r>
        <w:t xml:space="preserve"> (англ. multiplex ligation-dependent probe amplification) – мультиплексная амплификация лигированных зондов </w:t>
      </w:r>
    </w:p>
    <w:p w:rsidR="00C3791F" w:rsidRDefault="00AE1F83">
      <w:pPr>
        <w:spacing w:after="123" w:line="259" w:lineRule="auto"/>
        <w:ind w:left="578"/>
      </w:pPr>
      <w:r>
        <w:rPr>
          <w:b/>
          <w:sz w:val="22"/>
        </w:rPr>
        <w:t>MCBS</w:t>
      </w:r>
      <w:r>
        <w:rPr>
          <w:sz w:val="22"/>
        </w:rPr>
        <w:t xml:space="preserve"> (англ. Magnitude of Clinical Benefit Scale) – шкала оценки масштаба клинической пользы</w:t>
      </w:r>
    </w:p>
    <w:p w:rsidR="00C3791F" w:rsidRDefault="00AE1F83">
      <w:pPr>
        <w:spacing w:line="359" w:lineRule="auto"/>
        <w:ind w:left="127" w:right="131" w:firstLine="426"/>
        <w:jc w:val="left"/>
      </w:pPr>
      <w:r>
        <w:rPr>
          <w:b/>
        </w:rPr>
        <w:t>MSKCC</w:t>
      </w:r>
      <w:r>
        <w:t xml:space="preserve"> </w:t>
      </w:r>
      <w:r>
        <w:tab/>
        <w:t>(англ. Memorial Sloan–Kettering C</w:t>
      </w:r>
      <w:r>
        <w:t xml:space="preserve">ancer Center) – Мемориальный онкологический центр им. Слоуна‒Кеттеринга </w:t>
      </w:r>
      <w:r>
        <w:rPr>
          <w:b/>
        </w:rPr>
        <w:t>mTOR</w:t>
      </w:r>
      <w:r>
        <w:t xml:space="preserve"> (англ. mammalian target of rapamycin) – мишень рапамицина млекопитающих</w:t>
      </w:r>
    </w:p>
    <w:p w:rsidR="00C3791F" w:rsidRDefault="00AE1F83">
      <w:pPr>
        <w:ind w:left="127" w:right="189" w:firstLine="426"/>
      </w:pPr>
      <w:r>
        <w:rPr>
          <w:b/>
        </w:rPr>
        <w:t>RECIST</w:t>
      </w:r>
      <w:r>
        <w:t xml:space="preserve"> (англ. Response Evaluation Criteria In Solid Tumors) – критерии ответа солидных опухолей на терапию</w:t>
      </w:r>
    </w:p>
    <w:p w:rsidR="00C3791F" w:rsidRDefault="00AE1F83">
      <w:pPr>
        <w:spacing w:after="114" w:line="259" w:lineRule="auto"/>
        <w:ind w:left="578" w:right="189"/>
      </w:pPr>
      <w:r>
        <w:rPr>
          <w:b/>
        </w:rPr>
        <w:t>TKI</w:t>
      </w:r>
      <w:r>
        <w:t xml:space="preserve"> (англ. tyrosine kinase inhibitors) – ингибиторы тирозинкиназы</w:t>
      </w:r>
    </w:p>
    <w:p w:rsidR="00C3791F" w:rsidRDefault="00AE1F83">
      <w:pPr>
        <w:spacing w:after="114" w:line="259" w:lineRule="auto"/>
        <w:ind w:left="578" w:right="189"/>
      </w:pPr>
      <w:r>
        <w:rPr>
          <w:b/>
        </w:rPr>
        <w:t>VEGF</w:t>
      </w:r>
      <w:r>
        <w:t xml:space="preserve"> (англ. vascular endothelial growth factor) – фактор роста эндотелия сосудов</w:t>
      </w:r>
    </w:p>
    <w:p w:rsidR="00C3791F" w:rsidRDefault="00AE1F83">
      <w:pPr>
        <w:spacing w:after="114" w:line="259" w:lineRule="auto"/>
        <w:ind w:left="578" w:right="189"/>
      </w:pPr>
      <w:r>
        <w:rPr>
          <w:b/>
        </w:rPr>
        <w:t xml:space="preserve">** </w:t>
      </w:r>
      <w:r>
        <w:t>–</w:t>
      </w:r>
      <w:r>
        <w:rPr>
          <w:b/>
        </w:rPr>
        <w:t xml:space="preserve"> </w:t>
      </w:r>
      <w:r>
        <w:t>жизненно необходимые и важнейшие лекарственные препараты</w:t>
      </w:r>
    </w:p>
    <w:p w:rsidR="00C3791F" w:rsidRDefault="00AE1F83">
      <w:pPr>
        <w:ind w:left="127" w:right="189" w:firstLine="426"/>
      </w:pPr>
      <w:r>
        <w:rPr>
          <w:b/>
        </w:rPr>
        <w:t xml:space="preserve"># </w:t>
      </w:r>
      <w:r>
        <w:t>–</w:t>
      </w:r>
      <w:r>
        <w:rPr>
          <w:b/>
        </w:rPr>
        <w:t xml:space="preserve"> </w:t>
      </w:r>
      <w:r>
        <w:t>препарат, применяющийся не в соответствии с</w:t>
      </w:r>
      <w:r>
        <w:t xml:space="preserve"> показаниями к применению и противопоказаниями, способами применения и дозами, содержащимися в инструкции по применению лекарственного препарата (англ. off-label, офф-лейбл)</w:t>
      </w:r>
    </w:p>
    <w:p w:rsidR="00C3791F" w:rsidRDefault="00AE1F83">
      <w:pPr>
        <w:pStyle w:val="Heading1"/>
        <w:spacing w:after="328"/>
        <w:ind w:left="160" w:right="198"/>
      </w:pPr>
      <w:r>
        <w:t xml:space="preserve">Термины и определения </w:t>
      </w:r>
    </w:p>
    <w:p w:rsidR="00C3791F" w:rsidRDefault="00AE1F83">
      <w:pPr>
        <w:ind w:left="127" w:right="189" w:firstLine="709"/>
      </w:pPr>
      <w:r>
        <w:rPr>
          <w:b/>
        </w:rPr>
        <w:t xml:space="preserve">Адъювантная химиотерапия </w:t>
      </w:r>
      <w:r>
        <w:t>– вид химиотерапии, проводимый после полного удаления первичной опухоли для устранения возможных метастазов.</w:t>
      </w:r>
    </w:p>
    <w:p w:rsidR="00C3791F" w:rsidRDefault="00AE1F83">
      <w:pPr>
        <w:ind w:left="127" w:right="189" w:firstLine="709"/>
      </w:pPr>
      <w:r>
        <w:rPr>
          <w:b/>
        </w:rPr>
        <w:t>Блокатор CTLA4</w:t>
      </w:r>
      <w:r>
        <w:t xml:space="preserve"> – моноклональное антитело, блокирующее антиген цитотоксических Т-лимфоцитов 4-го типа.</w:t>
      </w:r>
    </w:p>
    <w:p w:rsidR="00C3791F" w:rsidRDefault="00AE1F83">
      <w:pPr>
        <w:ind w:left="127" w:right="189" w:firstLine="709"/>
      </w:pPr>
      <w:r>
        <w:rPr>
          <w:b/>
        </w:rPr>
        <w:t>Блокатор PD-1</w:t>
      </w:r>
      <w:r>
        <w:t xml:space="preserve"> – моноклональное антитело, блок</w:t>
      </w:r>
      <w:r>
        <w:t>ирующее рецептор программируемой клеточной смерти 1.</w:t>
      </w:r>
    </w:p>
    <w:p w:rsidR="00C3791F" w:rsidRDefault="00AE1F83">
      <w:pPr>
        <w:ind w:left="127" w:right="189" w:firstLine="709"/>
      </w:pPr>
      <w:r>
        <w:rPr>
          <w:b/>
        </w:rPr>
        <w:t>Блокатор PD-L1</w:t>
      </w:r>
      <w:r>
        <w:t xml:space="preserve"> – моноклональное антитело, блокирующее лиганд рецептора программируемой клеточной смерти 1.</w:t>
      </w:r>
    </w:p>
    <w:p w:rsidR="00C3791F" w:rsidRDefault="00AE1F83">
      <w:pPr>
        <w:ind w:left="127" w:right="189" w:firstLine="709"/>
      </w:pPr>
      <w:r>
        <w:rPr>
          <w:b/>
        </w:rPr>
        <w:t>Второй этап реабилитации</w:t>
      </w:r>
      <w:r>
        <w:t xml:space="preserve"> – реабилитация в стационарных условиях медицинских организаций (реабили</w:t>
      </w:r>
      <w:r>
        <w:t>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C3791F" w:rsidRDefault="00AE1F83">
      <w:pPr>
        <w:spacing w:line="357" w:lineRule="auto"/>
        <w:ind w:left="127" w:firstLine="709"/>
      </w:pPr>
      <w:r>
        <w:rPr>
          <w:b/>
        </w:rPr>
        <w:t>Генерализованный почечно-клеточный рак</w:t>
      </w:r>
      <w:r>
        <w:t xml:space="preserve"> – рак паренхимы почки с метастазами.</w:t>
      </w:r>
    </w:p>
    <w:p w:rsidR="00C3791F" w:rsidRDefault="00AE1F83">
      <w:pPr>
        <w:spacing w:line="357" w:lineRule="auto"/>
        <w:ind w:left="127" w:firstLine="709"/>
      </w:pPr>
      <w:r>
        <w:rPr>
          <w:b/>
        </w:rPr>
        <w:t>Ди</w:t>
      </w:r>
      <w:r>
        <w:rPr>
          <w:b/>
        </w:rPr>
        <w:t>ссеминированный почечно-клеточный рак</w:t>
      </w:r>
      <w:r>
        <w:t xml:space="preserve"> – рак паренхимы почки с метастазами.</w:t>
      </w:r>
    </w:p>
    <w:p w:rsidR="00C3791F" w:rsidRDefault="00AE1F83">
      <w:pPr>
        <w:ind w:left="127" w:right="189" w:firstLine="709"/>
      </w:pPr>
      <w:r>
        <w:rPr>
          <w:b/>
        </w:rPr>
        <w:t>Криоаблация почки</w:t>
      </w:r>
      <w:r>
        <w:t xml:space="preserve"> – минимально-инвазивный метод лечения рака почки, предусматривающий лечебное воздействие на опухоль путем локального формирования зоны очень низкой температуры (‒4</w:t>
      </w:r>
      <w:r>
        <w:t>0 ºС и ниже).</w:t>
      </w:r>
    </w:p>
    <w:p w:rsidR="00C3791F" w:rsidRDefault="00AE1F83">
      <w:pPr>
        <w:ind w:left="127" w:right="189" w:firstLine="709"/>
      </w:pPr>
      <w:r>
        <w:rPr>
          <w:b/>
        </w:rPr>
        <w:t>Метастазэктомия</w:t>
      </w:r>
      <w:r>
        <w:t xml:space="preserve"> – операция, предусматривающая хирургическое удаление метастаза.</w:t>
      </w:r>
    </w:p>
    <w:p w:rsidR="00C3791F" w:rsidRDefault="00AE1F83">
      <w:pPr>
        <w:spacing w:after="109" w:line="259" w:lineRule="auto"/>
        <w:ind w:left="724" w:right="181"/>
        <w:jc w:val="right"/>
      </w:pPr>
      <w:r>
        <w:rPr>
          <w:b/>
        </w:rPr>
        <w:t>Метастатический почечно-клеточный рак</w:t>
      </w:r>
      <w:r>
        <w:t xml:space="preserve"> – рак паренхимы почки с метастазами.</w:t>
      </w:r>
    </w:p>
    <w:p w:rsidR="00C3791F" w:rsidRDefault="00AE1F83">
      <w:pPr>
        <w:ind w:left="127" w:right="189" w:firstLine="709"/>
      </w:pPr>
      <w:r>
        <w:rPr>
          <w:b/>
        </w:rPr>
        <w:t>Неоадъювантная химиотерапия</w:t>
      </w:r>
      <w:r>
        <w:t xml:space="preserve"> – вид химиотерапии, проводимый </w:t>
      </w:r>
      <w:r>
        <w:t>непосредственно перед хирургическим удалением первичной опухоли для улучшения результатов операции/лучевой терапии и для предотвращения образования метастазов.</w:t>
      </w:r>
    </w:p>
    <w:p w:rsidR="00C3791F" w:rsidRDefault="00AE1F83">
      <w:pPr>
        <w:ind w:left="127" w:right="189" w:firstLine="709"/>
      </w:pPr>
      <w:r>
        <w:rPr>
          <w:b/>
        </w:rPr>
        <w:t>Первый этап реабилитации</w:t>
      </w:r>
      <w:r>
        <w:t xml:space="preserve"> – реабилитация в период специализированного лечения основного заболеван</w:t>
      </w:r>
      <w:r>
        <w:t>ия (включая хирургическое лечение/химиотерапию/лучевую терапию) в отделениях медицинских организаций по профилю основного заболевания.</w:t>
      </w:r>
    </w:p>
    <w:p w:rsidR="00C3791F" w:rsidRDefault="00AE1F83">
      <w:pPr>
        <w:ind w:left="127" w:right="189" w:firstLine="709"/>
      </w:pPr>
      <w:r>
        <w:rPr>
          <w:b/>
        </w:rPr>
        <w:t xml:space="preserve">Предреабилитация </w:t>
      </w:r>
      <w:r>
        <w:t>(prehabilitation) – реабилитация с момента постановки диагноза до начала лечения (хирургического лечения</w:t>
      </w:r>
      <w:r>
        <w:t>/химиотерапии/лучевой терапии).</w:t>
      </w:r>
    </w:p>
    <w:p w:rsidR="00C3791F" w:rsidRDefault="00AE1F83">
      <w:pPr>
        <w:ind w:left="127" w:right="189" w:firstLine="709"/>
      </w:pPr>
      <w:r>
        <w:rPr>
          <w:b/>
        </w:rPr>
        <w:t>Радикальная нефрэктомия</w:t>
      </w:r>
      <w:r>
        <w:t xml:space="preserve"> – метод хирургического лечения рака почки, заключающийся в ее удалении.</w:t>
      </w:r>
    </w:p>
    <w:p w:rsidR="00C3791F" w:rsidRDefault="00AE1F83">
      <w:pPr>
        <w:ind w:left="127" w:right="189" w:firstLine="709"/>
      </w:pPr>
      <w:r>
        <w:rPr>
          <w:b/>
        </w:rPr>
        <w:t xml:space="preserve">Резекция почки </w:t>
      </w:r>
      <w:r>
        <w:t>– метод хирургического лечения рака почки, заключающийся в проведении органосохраняющей операции, предусматривающ</w:t>
      </w:r>
      <w:r>
        <w:t>ей удаление опухоли с минимальным количеством прилежащей к ней «здоровой» паренхимы почки.</w:t>
      </w:r>
    </w:p>
    <w:p w:rsidR="00C3791F" w:rsidRDefault="00AE1F83">
      <w:pPr>
        <w:ind w:left="127" w:right="189" w:firstLine="709"/>
      </w:pPr>
      <w:r>
        <w:rPr>
          <w:b/>
        </w:rPr>
        <w:t>Третий этап реабилитации</w:t>
      </w:r>
      <w:r>
        <w:t xml:space="preserve"> – реабилитация в ранний и поздний реабилитационный периоды, период остаточных явлений течения заболевания в отделениях (кабинетах) реабилита</w:t>
      </w:r>
      <w:r>
        <w:t>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w:t>
      </w:r>
      <w:r>
        <w:t>адами на дому (в том числе в условиях санаторнокурортных организаций).</w:t>
      </w:r>
    </w:p>
    <w:p w:rsidR="00C3791F" w:rsidRDefault="00AE1F83">
      <w:pPr>
        <w:ind w:left="127" w:right="189" w:firstLine="709"/>
      </w:pPr>
      <w:r>
        <w:rPr>
          <w:b/>
        </w:rPr>
        <w:t xml:space="preserve">Уровни достоверности доказательств </w:t>
      </w:r>
      <w:r>
        <w:t>–</w:t>
      </w:r>
      <w:r>
        <w:rPr>
          <w:b/>
        </w:rPr>
        <w:t xml:space="preserve"> </w:t>
      </w:r>
      <w:r>
        <w:t>отражают степень уверенности в том, что найденный эффект от применения медицинской технологии является истинным. Согласно эпидемиологическим принцип</w:t>
      </w:r>
      <w:r>
        <w:t>ам, достоверность доказательств определяется по 3 основным критериям: качественной, количественной характеристикам и согласованности доказательств.</w:t>
      </w:r>
    </w:p>
    <w:p w:rsidR="00C3791F" w:rsidRDefault="00AE1F83">
      <w:pPr>
        <w:ind w:left="127" w:right="189" w:firstLine="709"/>
      </w:pPr>
      <w:r>
        <w:rPr>
          <w:b/>
        </w:rPr>
        <w:t xml:space="preserve">Уровни убедительности рекомендаций </w:t>
      </w:r>
      <w:r>
        <w:t>– в отличие от уровней достоверности доказательств отражают степень увере</w:t>
      </w:r>
      <w:r>
        <w:t xml:space="preserve">нности не только в достоверности эффекта вмешательства, но и в том, что следование рекомендациям принесет в конкретной ситуации больше пользы, чем негативных последствий. </w:t>
      </w:r>
    </w:p>
    <w:p w:rsidR="00C3791F" w:rsidRDefault="00AE1F83">
      <w:pPr>
        <w:ind w:left="127" w:right="189" w:firstLine="709"/>
      </w:pPr>
      <w:r>
        <w:rPr>
          <w:b/>
        </w:rPr>
        <w:t>Циторедуктивная нефрэктомия</w:t>
      </w:r>
      <w:r>
        <w:t xml:space="preserve"> – метод хирургического лечения рака почки, заключающийся</w:t>
      </w:r>
      <w:r>
        <w:t xml:space="preserve"> в нефрэктомии и максимальном удалении всех опухолевых очагов в забрюшинном пространстве у пациентов с метастатическим раком паренхимы почки.</w:t>
      </w:r>
    </w:p>
    <w:p w:rsidR="00C3791F" w:rsidRDefault="00AE1F83">
      <w:pPr>
        <w:ind w:left="127" w:right="189" w:firstLine="709"/>
      </w:pPr>
      <w:r>
        <w:rPr>
          <w:b/>
        </w:rPr>
        <w:t>BAP1-TPDS</w:t>
      </w:r>
      <w:r>
        <w:t xml:space="preserve"> (англ. BAP1 tumor predisposition syndrome) – BAP1-ассоциированный онкосиндром.</w:t>
      </w:r>
    </w:p>
    <w:p w:rsidR="00C3791F" w:rsidRDefault="00AE1F83">
      <w:pPr>
        <w:spacing w:after="114" w:line="259" w:lineRule="auto"/>
        <w:ind w:left="861" w:right="189"/>
      </w:pPr>
      <w:r>
        <w:rPr>
          <w:b/>
        </w:rPr>
        <w:t>BHDS</w:t>
      </w:r>
      <w:r>
        <w:t xml:space="preserve"> (англ. Birt–Hogg–Dube)</w:t>
      </w:r>
      <w:r>
        <w:rPr>
          <w:b/>
        </w:rPr>
        <w:t xml:space="preserve"> </w:t>
      </w:r>
      <w:r>
        <w:t>– синдром Берта–Хогга–Дюбэ.</w:t>
      </w:r>
    </w:p>
    <w:p w:rsidR="00C3791F" w:rsidRDefault="00AE1F83">
      <w:pPr>
        <w:spacing w:after="114" w:line="259" w:lineRule="auto"/>
        <w:ind w:left="861" w:right="189"/>
      </w:pPr>
      <w:r>
        <w:rPr>
          <w:b/>
        </w:rPr>
        <w:t>CTLA-4</w:t>
      </w:r>
      <w:r>
        <w:t xml:space="preserve"> – антиген цитотоксических Т-лимфоцитов 4-го типа.</w:t>
      </w:r>
    </w:p>
    <w:p w:rsidR="00C3791F" w:rsidRDefault="00AE1F83">
      <w:pPr>
        <w:ind w:left="127" w:right="189" w:firstLine="709"/>
      </w:pPr>
      <w:r>
        <w:rPr>
          <w:b/>
        </w:rPr>
        <w:t xml:space="preserve">HLRCC </w:t>
      </w:r>
      <w:r>
        <w:t>(англ. hereditary leiomyomatosis and renal cell cancer) – наследственный лейомиоматоз и почечно-клеточный рак.</w:t>
      </w:r>
    </w:p>
    <w:p w:rsidR="00C3791F" w:rsidRDefault="00AE1F83">
      <w:pPr>
        <w:ind w:left="127" w:right="189" w:firstLine="709"/>
      </w:pPr>
      <w:r>
        <w:rPr>
          <w:b/>
        </w:rPr>
        <w:t xml:space="preserve">HPRC </w:t>
      </w:r>
      <w:r>
        <w:t>(англ. hereditary papilla</w:t>
      </w:r>
      <w:r>
        <w:t>ry renal cancer)</w:t>
      </w:r>
      <w:r>
        <w:rPr>
          <w:i/>
        </w:rPr>
        <w:t xml:space="preserve"> – </w:t>
      </w:r>
      <w:r>
        <w:t xml:space="preserve">наследственная папиллярная карцинома почки 1-го типа. </w:t>
      </w:r>
    </w:p>
    <w:p w:rsidR="00C3791F" w:rsidRDefault="00AE1F83">
      <w:pPr>
        <w:spacing w:line="259" w:lineRule="auto"/>
        <w:ind w:left="861" w:right="189"/>
      </w:pPr>
      <w:r>
        <w:rPr>
          <w:b/>
        </w:rPr>
        <w:t>PD-1</w:t>
      </w:r>
      <w:r>
        <w:t xml:space="preserve"> – рецептор программируемой клеточной смерти 1.</w:t>
      </w:r>
    </w:p>
    <w:p w:rsidR="00C3791F" w:rsidRDefault="00AE1F83">
      <w:pPr>
        <w:spacing w:after="114" w:line="259" w:lineRule="auto"/>
        <w:ind w:left="861" w:right="189"/>
      </w:pPr>
      <w:r>
        <w:rPr>
          <w:b/>
        </w:rPr>
        <w:t>PD-L1</w:t>
      </w:r>
      <w:r>
        <w:t xml:space="preserve"> – лиганд рецептора программируемой клеточной смерти 1.</w:t>
      </w:r>
    </w:p>
    <w:p w:rsidR="00C3791F" w:rsidRDefault="00AE1F83">
      <w:pPr>
        <w:spacing w:line="259" w:lineRule="auto"/>
        <w:ind w:left="861" w:right="189"/>
      </w:pPr>
      <w:r>
        <w:rPr>
          <w:b/>
        </w:rPr>
        <w:t>VHL-синдром</w:t>
      </w:r>
      <w:r>
        <w:t xml:space="preserve"> (англ. von Hippel–Lindau disease) – синдром Хиппеля–Линда</w:t>
      </w:r>
      <w:r>
        <w:t>у.</w:t>
      </w:r>
      <w:r>
        <w:br w:type="page"/>
      </w:r>
    </w:p>
    <w:p w:rsidR="00C3791F" w:rsidRDefault="00AE1F83">
      <w:pPr>
        <w:pStyle w:val="Heading1"/>
        <w:spacing w:line="357" w:lineRule="auto"/>
        <w:ind w:left="160" w:right="150"/>
      </w:pPr>
      <w:r>
        <w:t>1. Краткая информация по заболеванию или состоянию (группе заболеваний или состояний)</w:t>
      </w:r>
    </w:p>
    <w:p w:rsidR="00C3791F" w:rsidRDefault="00AE1F83">
      <w:pPr>
        <w:spacing w:line="357" w:lineRule="auto"/>
        <w:ind w:left="127" w:firstLine="709"/>
      </w:pPr>
      <w:r>
        <w:rPr>
          <w:b/>
        </w:rPr>
        <w:t>1.1. Определение заболевания или состояния (группы заболеваний или состояний)</w:t>
      </w:r>
    </w:p>
    <w:p w:rsidR="00C3791F" w:rsidRDefault="00AE1F83">
      <w:pPr>
        <w:spacing w:after="447"/>
        <w:ind w:left="127" w:right="189" w:firstLine="709"/>
      </w:pPr>
      <w:r>
        <w:t>Рак паренхимы почки (почечно-клеточный рак, ПКР) – группа злокачественных новообразовани</w:t>
      </w:r>
      <w:r>
        <w:t>й почки, развивающихся из эпителия проксимальных канальцев или собирательных трубочек.</w:t>
      </w:r>
    </w:p>
    <w:p w:rsidR="00C3791F" w:rsidRDefault="00AE1F83">
      <w:pPr>
        <w:spacing w:line="357" w:lineRule="auto"/>
        <w:ind w:left="127" w:firstLine="709"/>
      </w:pPr>
      <w:r>
        <w:rPr>
          <w:b/>
        </w:rPr>
        <w:t>1.2. Этиология и патогенез заболевания или состояния (группы заболеваний или состояний)</w:t>
      </w:r>
    </w:p>
    <w:p w:rsidR="00C3791F" w:rsidRDefault="00AE1F83">
      <w:pPr>
        <w:ind w:left="127" w:right="189" w:firstLine="709"/>
      </w:pPr>
      <w:r>
        <w:t>Этиология рака паренхимы почки неоднородна. Доказано увеличение риска развития ПК</w:t>
      </w:r>
      <w:r>
        <w:t xml:space="preserve">Р по мере увеличения массы тела и возраста [1]. Предположительными факторами риска заболевания являются курение и артериальная гипертензия (АГ) [2, 3]. </w:t>
      </w:r>
      <w:r>
        <w:rPr>
          <w:shd w:val="clear" w:color="auto" w:fill="FCFCFC"/>
        </w:rPr>
        <w:t>Описан ряд наследственных вариантов рака почки. Наиболее распространенным из них</w:t>
      </w:r>
      <w:r>
        <w:t xml:space="preserve"> </w:t>
      </w:r>
      <w:r>
        <w:rPr>
          <w:shd w:val="clear" w:color="auto" w:fill="FCFCFC"/>
        </w:rPr>
        <w:t>является ПКР, ассоцииро</w:t>
      </w:r>
      <w:r>
        <w:rPr>
          <w:shd w:val="clear" w:color="auto" w:fill="FCFCFC"/>
        </w:rPr>
        <w:t>ванный с синдромом Хиппеля–Линдау (VHL-синдром) и</w:t>
      </w:r>
      <w:r>
        <w:t xml:space="preserve"> </w:t>
      </w:r>
      <w:r>
        <w:rPr>
          <w:shd w:val="clear" w:color="auto" w:fill="FCFCFC"/>
        </w:rPr>
        <w:t>обусловленный аутосомно-доминантной герминальной мутацией расположенного на</w:t>
      </w:r>
      <w:r>
        <w:t xml:space="preserve"> </w:t>
      </w:r>
    </w:p>
    <w:p w:rsidR="00C3791F" w:rsidRDefault="00AE1F83">
      <w:pPr>
        <w:shd w:val="clear" w:color="auto" w:fill="FCFCFC"/>
        <w:spacing w:after="114" w:line="259" w:lineRule="auto"/>
        <w:ind w:left="137"/>
        <w:jc w:val="left"/>
      </w:pPr>
      <w:r>
        <w:t xml:space="preserve">коротком плече хромосомы 3 (локус 3p25‒26) гена </w:t>
      </w:r>
      <w:r>
        <w:rPr>
          <w:i/>
        </w:rPr>
        <w:t>VHL</w:t>
      </w:r>
      <w:r>
        <w:t xml:space="preserve">, приводящей к развитию </w:t>
      </w:r>
    </w:p>
    <w:p w:rsidR="00C3791F" w:rsidRDefault="00AE1F83">
      <w:pPr>
        <w:spacing w:after="470" w:line="357" w:lineRule="auto"/>
        <w:ind w:left="137"/>
        <w:jc w:val="left"/>
      </w:pPr>
      <w:r>
        <w:rPr>
          <w:shd w:val="clear" w:color="auto" w:fill="FCFCFC"/>
        </w:rPr>
        <w:t>светлоклеточного ПКР (сПКР) и ряда других пролиферати</w:t>
      </w:r>
      <w:r>
        <w:rPr>
          <w:shd w:val="clear" w:color="auto" w:fill="FCFCFC"/>
        </w:rPr>
        <w:t>вных сосудистых поражений [4]</w:t>
      </w:r>
      <w:r>
        <w:t>.</w:t>
      </w:r>
    </w:p>
    <w:p w:rsidR="00C3791F" w:rsidRDefault="00AE1F83">
      <w:pPr>
        <w:spacing w:line="357" w:lineRule="auto"/>
        <w:ind w:left="127" w:firstLine="709"/>
      </w:pPr>
      <w:r>
        <w:rPr>
          <w:b/>
        </w:rPr>
        <w:t xml:space="preserve">1.3. Эпидемиология заболевания или состояния (группы заболеваний или состояний) </w:t>
      </w:r>
    </w:p>
    <w:p w:rsidR="00C3791F" w:rsidRDefault="00AE1F83">
      <w:pPr>
        <w:ind w:left="127" w:right="189" w:firstLine="709"/>
      </w:pPr>
      <w:r>
        <w:t xml:space="preserve">Рак паренхимы почки занимает 14-е место по заболеваемости среди </w:t>
      </w:r>
      <w:r>
        <w:t>злокачественных опухолей. В 2018 г. во всем мире зарегистрировано около 400 тыс. новых случаев ПКР. Наиболее высокая заболеваемость раком паренхимы почки зарегистрирована в Беларуси, Латвии и Литве, наименьшая – в Австралии, Бельгии и Сингапуре [5].</w:t>
      </w:r>
    </w:p>
    <w:p w:rsidR="00C3791F" w:rsidRDefault="00AE1F83">
      <w:pPr>
        <w:ind w:left="127" w:right="189" w:firstLine="709"/>
      </w:pPr>
      <w:r>
        <w:t>В Росс</w:t>
      </w:r>
      <w:r>
        <w:t>ии в структуре злокачественных новообразований ПКР составляет 4,0 % (4,8 % в мужской, 3,4 % в женской популяции). В 2023 году было зарегистрировано 26 385 случаев заболевания раком паренхимы почки (С64). Грубый показатель заболеваеомсти составил 18,03 на 1</w:t>
      </w:r>
      <w:r>
        <w:t>00 тыс. нас., стандартизованный 10,23 на 100 тыс нас.). Прирост заболеваемости с 2007 по 2023 год составил 20,9%.</w:t>
      </w:r>
    </w:p>
    <w:p w:rsidR="00C3791F" w:rsidRDefault="00AE1F83">
      <w:pPr>
        <w:spacing w:after="447"/>
        <w:ind w:left="127" w:right="189" w:firstLine="709"/>
      </w:pPr>
      <w:r>
        <w:t>За 2023 год умерло 8514 пациентов, смертность составила 5,82 на 100 тыс. нас. (грубый показатель), 2,88 на 100 тыс. нас. (стандартизованный по</w:t>
      </w:r>
      <w:r>
        <w:t>казатлеь). Смертность снизилась на 0,85% (грубый показатель) [6].</w:t>
      </w:r>
    </w:p>
    <w:p w:rsidR="00C3791F" w:rsidRDefault="00AE1F83">
      <w:pPr>
        <w:spacing w:after="0" w:line="357" w:lineRule="auto"/>
        <w:ind w:left="142" w:firstLine="709"/>
        <w:jc w:val="left"/>
      </w:pPr>
      <w:r>
        <w:rPr>
          <w:b/>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3791F" w:rsidRDefault="00AE1F83">
      <w:pPr>
        <w:spacing w:after="487"/>
        <w:ind w:left="127" w:right="189" w:firstLine="709"/>
      </w:pPr>
      <w:r>
        <w:t>По Международной статистической классификации болезней и проблем, связанных со здоровьем, 10-го пересмотра (МКБ-10) рак паренхимы почки имеет код С64 – Злокачественное новообразование почки, кроме почечной лоханки, новообразования неопределенного или неизв</w:t>
      </w:r>
      <w:r>
        <w:t>естного характера почки имеют код D41.0 [7].</w:t>
      </w:r>
    </w:p>
    <w:p w:rsidR="00C3791F" w:rsidRDefault="00AE1F83">
      <w:pPr>
        <w:spacing w:after="120" w:line="357" w:lineRule="auto"/>
        <w:ind w:left="127" w:firstLine="709"/>
      </w:pPr>
      <w:r>
        <w:rPr>
          <w:b/>
        </w:rPr>
        <w:t xml:space="preserve">1.5. Классификация заболевания или состояния (группы заболеваний или состояний) </w:t>
      </w:r>
    </w:p>
    <w:p w:rsidR="00C3791F" w:rsidRDefault="00AE1F83">
      <w:pPr>
        <w:spacing w:after="108" w:line="265" w:lineRule="auto"/>
        <w:ind w:left="861"/>
      </w:pPr>
      <w:r>
        <w:rPr>
          <w:b/>
        </w:rPr>
        <w:t>Международная гистологическая классификация</w:t>
      </w:r>
    </w:p>
    <w:p w:rsidR="00C3791F" w:rsidRDefault="00AE1F83">
      <w:pPr>
        <w:ind w:left="127" w:right="189" w:firstLine="709"/>
      </w:pPr>
      <w:r>
        <w:t>Международная гистологическая классификация опухолей почки (классификация Всемирной ор</w:t>
      </w:r>
      <w:r>
        <w:t>ганизации здравоохранения (ВОЗ), 2022 г.) [8].</w:t>
      </w:r>
    </w:p>
    <w:p w:rsidR="00C3791F" w:rsidRDefault="00AE1F83">
      <w:pPr>
        <w:ind w:left="127" w:right="189" w:firstLine="709"/>
      </w:pPr>
      <w:r>
        <w:t>Международная классификация болезней – онкология (МКБ-О), 3 издание, 1 пересмотр. 2017. [263].</w:t>
      </w:r>
    </w:p>
    <w:p w:rsidR="00C3791F" w:rsidRDefault="00AE1F83">
      <w:pPr>
        <w:numPr>
          <w:ilvl w:val="0"/>
          <w:numId w:val="4"/>
        </w:numPr>
        <w:spacing w:after="118" w:line="265" w:lineRule="auto"/>
        <w:ind w:hanging="360"/>
      </w:pPr>
      <w:r>
        <w:rPr>
          <w:b/>
        </w:rPr>
        <w:t>Светлоклеточные опухоли почек</w:t>
      </w:r>
    </w:p>
    <w:p w:rsidR="00C3791F" w:rsidRDefault="00AE1F83">
      <w:pPr>
        <w:numPr>
          <w:ilvl w:val="2"/>
          <w:numId w:val="6"/>
        </w:numPr>
        <w:spacing w:after="124" w:line="259" w:lineRule="auto"/>
        <w:ind w:right="189" w:hanging="360"/>
      </w:pPr>
      <w:r>
        <w:t xml:space="preserve">Светлоклеточный почечно-клеточный рак </w:t>
      </w:r>
    </w:p>
    <w:p w:rsidR="00C3791F" w:rsidRDefault="00AE1F83">
      <w:pPr>
        <w:numPr>
          <w:ilvl w:val="2"/>
          <w:numId w:val="6"/>
        </w:numPr>
        <w:ind w:right="189" w:hanging="360"/>
      </w:pPr>
      <w:r>
        <w:t xml:space="preserve">Мультилокулярная кистозная почечно-клеточная </w:t>
      </w:r>
      <w:r>
        <w:t xml:space="preserve">опухоль низкого злокачественного потенциала </w:t>
      </w:r>
    </w:p>
    <w:p w:rsidR="00C3791F" w:rsidRDefault="00AE1F83">
      <w:pPr>
        <w:numPr>
          <w:ilvl w:val="0"/>
          <w:numId w:val="4"/>
        </w:numPr>
        <w:spacing w:after="118" w:line="265" w:lineRule="auto"/>
        <w:ind w:hanging="360"/>
      </w:pPr>
      <w:r>
        <w:rPr>
          <w:b/>
        </w:rPr>
        <w:t xml:space="preserve">Папиллярные опухоли </w:t>
      </w:r>
    </w:p>
    <w:p w:rsidR="00C3791F" w:rsidRDefault="00AE1F83">
      <w:pPr>
        <w:numPr>
          <w:ilvl w:val="2"/>
          <w:numId w:val="7"/>
        </w:numPr>
        <w:spacing w:after="124" w:line="259" w:lineRule="auto"/>
        <w:ind w:right="189" w:hanging="360"/>
      </w:pPr>
      <w:r>
        <w:t xml:space="preserve">Папиллярная аденома </w:t>
      </w:r>
    </w:p>
    <w:p w:rsidR="00C3791F" w:rsidRDefault="00AE1F83">
      <w:pPr>
        <w:numPr>
          <w:ilvl w:val="2"/>
          <w:numId w:val="7"/>
        </w:numPr>
        <w:spacing w:after="124" w:line="259" w:lineRule="auto"/>
        <w:ind w:right="189" w:hanging="360"/>
      </w:pPr>
      <w:r>
        <w:t xml:space="preserve">Папиллярный почечно-клеточный рак </w:t>
      </w:r>
    </w:p>
    <w:p w:rsidR="00C3791F" w:rsidRDefault="00AE1F83">
      <w:pPr>
        <w:numPr>
          <w:ilvl w:val="0"/>
          <w:numId w:val="4"/>
        </w:numPr>
        <w:spacing w:line="366" w:lineRule="auto"/>
        <w:ind w:hanging="360"/>
      </w:pPr>
      <w:r>
        <w:rPr>
          <w:b/>
        </w:rPr>
        <w:t xml:space="preserve">Онкоцитарные и хромофобные опухоли </w:t>
      </w:r>
      <w:r>
        <w:rPr>
          <w:rFonts w:ascii="Arial" w:eastAsia="Arial" w:hAnsi="Arial" w:cs="Arial"/>
        </w:rPr>
        <w:t>–</w:t>
      </w:r>
      <w:r>
        <w:rPr>
          <w:rFonts w:ascii="Arial" w:eastAsia="Arial" w:hAnsi="Arial" w:cs="Arial"/>
        </w:rPr>
        <w:tab/>
      </w:r>
      <w:r>
        <w:t xml:space="preserve">Онкоцитома </w:t>
      </w:r>
    </w:p>
    <w:p w:rsidR="00C3791F" w:rsidRDefault="00AE1F83">
      <w:pPr>
        <w:numPr>
          <w:ilvl w:val="2"/>
          <w:numId w:val="8"/>
        </w:numPr>
        <w:spacing w:after="124" w:line="259" w:lineRule="auto"/>
        <w:ind w:right="189" w:hanging="360"/>
      </w:pPr>
      <w:r>
        <w:t xml:space="preserve">Хромофобный почечно-клеточный рак </w:t>
      </w:r>
    </w:p>
    <w:p w:rsidR="00C3791F" w:rsidRDefault="00AE1F83">
      <w:pPr>
        <w:numPr>
          <w:ilvl w:val="2"/>
          <w:numId w:val="8"/>
        </w:numPr>
        <w:spacing w:after="124" w:line="259" w:lineRule="auto"/>
        <w:ind w:right="189" w:hanging="360"/>
      </w:pPr>
      <w:r>
        <w:t xml:space="preserve">Другие онкоцитарные опухоли </w:t>
      </w:r>
    </w:p>
    <w:p w:rsidR="00C3791F" w:rsidRDefault="00AE1F83">
      <w:pPr>
        <w:numPr>
          <w:ilvl w:val="0"/>
          <w:numId w:val="4"/>
        </w:numPr>
        <w:spacing w:after="118" w:line="265" w:lineRule="auto"/>
        <w:ind w:hanging="360"/>
      </w:pPr>
      <w:r>
        <w:rPr>
          <w:b/>
        </w:rPr>
        <w:t xml:space="preserve">Опухоли собирательных протоков </w:t>
      </w:r>
    </w:p>
    <w:p w:rsidR="00C3791F" w:rsidRDefault="00AE1F83">
      <w:pPr>
        <w:spacing w:line="259" w:lineRule="auto"/>
        <w:ind w:left="1232" w:right="189"/>
      </w:pPr>
      <w:r>
        <w:rPr>
          <w:rFonts w:ascii="Arial" w:eastAsia="Arial" w:hAnsi="Arial" w:cs="Arial"/>
          <w:strike/>
        </w:rPr>
        <w:t xml:space="preserve">–   </w:t>
      </w:r>
      <w:r>
        <w:t xml:space="preserve">Рак из собирательных протоков </w:t>
      </w:r>
    </w:p>
    <w:p w:rsidR="00C3791F" w:rsidRDefault="00AE1F83">
      <w:pPr>
        <w:numPr>
          <w:ilvl w:val="0"/>
          <w:numId w:val="4"/>
        </w:numPr>
        <w:spacing w:after="118" w:line="265" w:lineRule="auto"/>
        <w:ind w:hanging="360"/>
      </w:pPr>
      <w:r>
        <w:rPr>
          <w:b/>
        </w:rPr>
        <w:t>Другие опухоли почки</w:t>
      </w:r>
    </w:p>
    <w:p w:rsidR="00C3791F" w:rsidRDefault="00AE1F83">
      <w:pPr>
        <w:numPr>
          <w:ilvl w:val="2"/>
          <w:numId w:val="5"/>
        </w:numPr>
        <w:spacing w:after="124" w:line="259" w:lineRule="auto"/>
        <w:ind w:right="189" w:hanging="360"/>
      </w:pPr>
      <w:r>
        <w:t>Папиллярная светлоклеточная почечно-клеточная опухоль</w:t>
      </w:r>
    </w:p>
    <w:p w:rsidR="00C3791F" w:rsidRDefault="00AE1F83">
      <w:pPr>
        <w:numPr>
          <w:ilvl w:val="2"/>
          <w:numId w:val="5"/>
        </w:numPr>
        <w:spacing w:after="124" w:line="259" w:lineRule="auto"/>
        <w:ind w:right="189" w:hanging="360"/>
      </w:pPr>
      <w:r>
        <w:t>Муцинозный тубулярный и веретеноклеточный рак</w:t>
      </w:r>
    </w:p>
    <w:p w:rsidR="00C3791F" w:rsidRDefault="00AE1F83">
      <w:pPr>
        <w:numPr>
          <w:ilvl w:val="2"/>
          <w:numId w:val="5"/>
        </w:numPr>
        <w:spacing w:after="124" w:line="259" w:lineRule="auto"/>
        <w:ind w:right="189" w:hanging="360"/>
      </w:pPr>
      <w:r>
        <w:t>Тубуло-кистозный почечно-клеточный рак</w:t>
      </w:r>
    </w:p>
    <w:p w:rsidR="00C3791F" w:rsidRDefault="00AE1F83">
      <w:pPr>
        <w:numPr>
          <w:ilvl w:val="2"/>
          <w:numId w:val="5"/>
        </w:numPr>
        <w:ind w:right="189" w:hanging="360"/>
      </w:pPr>
      <w:r>
        <w:t>Почечно-клеточный рак, ассоци</w:t>
      </w:r>
      <w:r>
        <w:t>ированный с приобретенной кистозной болезнью почек</w:t>
      </w:r>
    </w:p>
    <w:p w:rsidR="00C3791F" w:rsidRDefault="00AE1F83">
      <w:pPr>
        <w:numPr>
          <w:ilvl w:val="2"/>
          <w:numId w:val="5"/>
        </w:numPr>
        <w:spacing w:after="124" w:line="259" w:lineRule="auto"/>
        <w:ind w:right="189" w:hanging="360"/>
      </w:pPr>
      <w:r>
        <w:t xml:space="preserve">Эозинофильный солидно-кистозный почечно-клеточный рак </w:t>
      </w:r>
    </w:p>
    <w:p w:rsidR="00C3791F" w:rsidRDefault="00AE1F83">
      <w:pPr>
        <w:numPr>
          <w:ilvl w:val="2"/>
          <w:numId w:val="5"/>
        </w:numPr>
        <w:spacing w:after="124" w:line="259" w:lineRule="auto"/>
        <w:ind w:right="189" w:hanging="360"/>
      </w:pPr>
      <w:r>
        <w:t>Почечно-клеточный рак без дополнительных уточнений (БДУ)</w:t>
      </w:r>
    </w:p>
    <w:p w:rsidR="00C3791F" w:rsidRDefault="00AE1F83">
      <w:pPr>
        <w:numPr>
          <w:ilvl w:val="0"/>
          <w:numId w:val="4"/>
        </w:numPr>
        <w:spacing w:after="118" w:line="265" w:lineRule="auto"/>
        <w:ind w:hanging="360"/>
      </w:pPr>
      <w:r>
        <w:rPr>
          <w:b/>
        </w:rPr>
        <w:t>Почечные карциномы с характерными генетическими нарушениями</w:t>
      </w:r>
    </w:p>
    <w:p w:rsidR="00C3791F" w:rsidRDefault="00AE1F83">
      <w:pPr>
        <w:numPr>
          <w:ilvl w:val="2"/>
          <w:numId w:val="9"/>
        </w:numPr>
        <w:spacing w:after="124" w:line="259" w:lineRule="auto"/>
        <w:ind w:right="189" w:hanging="360"/>
      </w:pPr>
      <w:r>
        <w:t xml:space="preserve">Почечно-клеточный рак с перестройкой </w:t>
      </w:r>
      <w:r>
        <w:rPr>
          <w:i/>
        </w:rPr>
        <w:t>TFE3</w:t>
      </w:r>
    </w:p>
    <w:p w:rsidR="00C3791F" w:rsidRDefault="00AE1F83">
      <w:pPr>
        <w:numPr>
          <w:ilvl w:val="2"/>
          <w:numId w:val="9"/>
        </w:numPr>
        <w:spacing w:after="124" w:line="259" w:lineRule="auto"/>
        <w:ind w:right="189" w:hanging="360"/>
      </w:pPr>
      <w:r>
        <w:t xml:space="preserve">Почечно-клеточный рак с перестройкой </w:t>
      </w:r>
      <w:r>
        <w:rPr>
          <w:i/>
        </w:rPr>
        <w:t>TFEB</w:t>
      </w:r>
    </w:p>
    <w:p w:rsidR="00C3791F" w:rsidRDefault="00AE1F83">
      <w:pPr>
        <w:numPr>
          <w:ilvl w:val="2"/>
          <w:numId w:val="9"/>
        </w:numPr>
        <w:spacing w:after="124" w:line="259" w:lineRule="auto"/>
        <w:ind w:right="189" w:hanging="360"/>
      </w:pPr>
      <w:r>
        <w:t>Почечно-клеточный рак с мутацией</w:t>
      </w:r>
      <w:r>
        <w:rPr>
          <w:i/>
        </w:rPr>
        <w:t xml:space="preserve"> ELOG (TCEB1</w:t>
      </w:r>
      <w:r>
        <w:t>)</w:t>
      </w:r>
    </w:p>
    <w:p w:rsidR="00C3791F" w:rsidRDefault="00AE1F83">
      <w:pPr>
        <w:numPr>
          <w:ilvl w:val="2"/>
          <w:numId w:val="9"/>
        </w:numPr>
        <w:spacing w:after="124" w:line="259" w:lineRule="auto"/>
        <w:ind w:right="189" w:hanging="360"/>
      </w:pPr>
      <w:r>
        <w:t xml:space="preserve">Почечно-клеточный рак с дефицитом фумарат-гидратазы </w:t>
      </w:r>
    </w:p>
    <w:p w:rsidR="00C3791F" w:rsidRDefault="00AE1F83">
      <w:pPr>
        <w:numPr>
          <w:ilvl w:val="2"/>
          <w:numId w:val="9"/>
        </w:numPr>
        <w:spacing w:after="124" w:line="259" w:lineRule="auto"/>
        <w:ind w:right="189" w:hanging="360"/>
      </w:pPr>
      <w:r>
        <w:t xml:space="preserve">Почечно-клеточный рак с дефицитом сукцинатдегидрогиназы </w:t>
      </w:r>
    </w:p>
    <w:p w:rsidR="00C3791F" w:rsidRDefault="00AE1F83">
      <w:pPr>
        <w:numPr>
          <w:ilvl w:val="2"/>
          <w:numId w:val="9"/>
        </w:numPr>
        <w:spacing w:after="124" w:line="259" w:lineRule="auto"/>
        <w:ind w:right="189" w:hanging="360"/>
      </w:pPr>
      <w:r>
        <w:t>Почечно-клеточны</w:t>
      </w:r>
      <w:r>
        <w:t xml:space="preserve">й рак с перестройкой </w:t>
      </w:r>
      <w:r>
        <w:rPr>
          <w:i/>
        </w:rPr>
        <w:t xml:space="preserve">ALK </w:t>
      </w:r>
    </w:p>
    <w:p w:rsidR="00C3791F" w:rsidRDefault="00AE1F83">
      <w:pPr>
        <w:numPr>
          <w:ilvl w:val="2"/>
          <w:numId w:val="9"/>
        </w:numPr>
        <w:spacing w:after="429"/>
        <w:ind w:right="189" w:hanging="360"/>
      </w:pPr>
      <w:r>
        <w:t>Медуллярный рак с дефицитом SMARCB1</w:t>
      </w:r>
    </w:p>
    <w:p w:rsidR="00C3791F" w:rsidRDefault="00AE1F83">
      <w:pPr>
        <w:spacing w:after="113"/>
        <w:ind w:left="127" w:right="189" w:firstLine="709"/>
      </w:pPr>
      <w:r>
        <w:t>ВОЗ/ISUP для светлоклеточного и папиллярного ПКР рекомендовали четырехступенчатую градирующую систему, основанную на характеристике ядер и наличии саркоматоидной/рабдоидной дифференцировки [9].</w:t>
      </w:r>
    </w:p>
    <w:p w:rsidR="00C3791F" w:rsidRDefault="00AE1F83">
      <w:pPr>
        <w:spacing w:after="109" w:line="265" w:lineRule="auto"/>
        <w:ind w:left="861"/>
      </w:pPr>
      <w:r>
        <w:rPr>
          <w:b/>
        </w:rPr>
        <w:t>Система градирования опухолей почки ВОЗ/ISUP [9]</w:t>
      </w:r>
    </w:p>
    <w:p w:rsidR="00C3791F" w:rsidRDefault="00AE1F83">
      <w:pPr>
        <w:numPr>
          <w:ilvl w:val="1"/>
          <w:numId w:val="4"/>
        </w:numPr>
        <w:spacing w:after="105" w:line="259" w:lineRule="auto"/>
        <w:ind w:right="189" w:firstLine="709"/>
      </w:pPr>
      <w:r>
        <w:t>Градация 1 (G1) – ядрышки незаметны или отсутствуют при ×400</w:t>
      </w:r>
    </w:p>
    <w:p w:rsidR="00C3791F" w:rsidRDefault="00AE1F83">
      <w:pPr>
        <w:numPr>
          <w:ilvl w:val="1"/>
          <w:numId w:val="4"/>
        </w:numPr>
        <w:ind w:right="189" w:firstLine="709"/>
      </w:pPr>
      <w:r>
        <w:t>Градация 2 (G2) – ядрышки определяются при ×400 или слаборазличимы при ×100</w:t>
      </w:r>
    </w:p>
    <w:p w:rsidR="00C3791F" w:rsidRDefault="00AE1F83">
      <w:pPr>
        <w:numPr>
          <w:ilvl w:val="1"/>
          <w:numId w:val="4"/>
        </w:numPr>
        <w:spacing w:after="105" w:line="259" w:lineRule="auto"/>
        <w:ind w:right="189" w:firstLine="709"/>
      </w:pPr>
      <w:r>
        <w:t>Градация 3 (G3) – ядрышки отчетливо видны при ×100</w:t>
      </w:r>
    </w:p>
    <w:p w:rsidR="00C3791F" w:rsidRDefault="00AE1F83">
      <w:pPr>
        <w:numPr>
          <w:ilvl w:val="1"/>
          <w:numId w:val="4"/>
        </w:numPr>
        <w:spacing w:after="412" w:line="359" w:lineRule="auto"/>
        <w:ind w:right="189" w:firstLine="709"/>
      </w:pPr>
      <w:r>
        <w:t>Градация 4 (G4) – о</w:t>
      </w:r>
      <w:r>
        <w:t>тмечаются выраженный ядерный полиморфизм, многоядерные гигантские клетки, наличие клеток с рабдоидной и/или саркоматоидной дифференцировкой.</w:t>
      </w:r>
    </w:p>
    <w:p w:rsidR="00C3791F" w:rsidRDefault="00AE1F83">
      <w:pPr>
        <w:ind w:left="127" w:right="189" w:firstLine="360"/>
      </w:pPr>
      <w:r>
        <w:t xml:space="preserve">В гетерогенных опухолях гистологическую градацию (G) следует оценивать по полям с </w:t>
      </w:r>
      <w:r>
        <w:t>наихудшей дифференцировкой, которая должна быть представлена, по крайней мере, одним полем зрения на большом увеличении.</w:t>
      </w:r>
    </w:p>
    <w:p w:rsidR="00C3791F" w:rsidRDefault="00AE1F83">
      <w:pPr>
        <w:spacing w:after="233"/>
        <w:ind w:left="127" w:right="189" w:firstLine="720"/>
      </w:pPr>
      <w:r>
        <w:t xml:space="preserve">Система градирования ВОЗ/ISUP однозначно не предназначена для хромофобного рака и  ПКР с перестройкой </w:t>
      </w:r>
      <w:r>
        <w:rPr>
          <w:i/>
        </w:rPr>
        <w:t xml:space="preserve">TFE-3, </w:t>
      </w:r>
      <w:r>
        <w:t xml:space="preserve">тубуло-кистозномого ПКР, </w:t>
      </w:r>
      <w:r>
        <w:t xml:space="preserve">ПКР, ассоциированного с приобретенной кистозной болезнью почек, эозинофильного солидно-кистозного ПКР и эозинофильной вакуолизированной опухоли, так как она может давать искаженное представление об агрессивности опухоли. Рак из собирательных протоков, ПКР </w:t>
      </w:r>
      <w:r>
        <w:t>с дефицитом SMARCB1 и ПКР с дефицитом FH являются агрессивными по своей природе и,  следовательно, их следует рассматривать как высокозлокачественные независимо от гистологической градации. При других гистологических типах ПКР целесообразно указывать града</w:t>
      </w:r>
      <w:r>
        <w:t xml:space="preserve">цию с оговоркой, что ее прогностическая ценность для этих типов не установлена.  Известно, что для ПКР с перестройкой </w:t>
      </w:r>
      <w:r>
        <w:rPr>
          <w:i/>
        </w:rPr>
        <w:t>TFE-B,</w:t>
      </w:r>
      <w:r>
        <w:t xml:space="preserve"> ПКР с дефицитом SDH, муцинозного тубулярного и веретеноклеточного рака градация связана с прогнозом, однако пока недостаточно данны</w:t>
      </w:r>
      <w:r>
        <w:t>х из-за редкой встречаемости этих типов ПКР.</w:t>
      </w:r>
    </w:p>
    <w:p w:rsidR="00C3791F" w:rsidRDefault="00AE1F83">
      <w:pPr>
        <w:spacing w:after="108" w:line="265" w:lineRule="auto"/>
        <w:ind w:left="861"/>
      </w:pPr>
      <w:r>
        <w:rPr>
          <w:b/>
        </w:rPr>
        <w:t>Стадирование заболевания</w:t>
      </w:r>
    </w:p>
    <w:p w:rsidR="00C3791F" w:rsidRDefault="00AE1F83">
      <w:pPr>
        <w:ind w:left="127" w:right="189" w:firstLine="709"/>
      </w:pPr>
      <w:r>
        <w:t>Стадирование рака почки осуществляется в соответствии с классификацией TNM UICC 8-го пересмотра (2017 г.). Категории pT и pN соответствуют клиническим категориям T и N [10].</w:t>
      </w:r>
    </w:p>
    <w:p w:rsidR="00C3791F" w:rsidRDefault="00AE1F83">
      <w:pPr>
        <w:spacing w:line="357" w:lineRule="auto"/>
        <w:ind w:left="861" w:right="5245"/>
      </w:pPr>
      <w:r>
        <w:rPr>
          <w:b/>
        </w:rPr>
        <w:t>Т ‒ первична</w:t>
      </w:r>
      <w:r>
        <w:rPr>
          <w:b/>
        </w:rPr>
        <w:t>я опухоль Критерий T:</w:t>
      </w:r>
    </w:p>
    <w:p w:rsidR="00C3791F" w:rsidRDefault="00AE1F83">
      <w:pPr>
        <w:numPr>
          <w:ilvl w:val="0"/>
          <w:numId w:val="10"/>
        </w:numPr>
        <w:spacing w:after="120" w:line="259" w:lineRule="auto"/>
        <w:ind w:right="189" w:firstLine="709"/>
      </w:pPr>
      <w:r>
        <w:t>Тх ‒ первичная опухоль не может быть оценена.</w:t>
      </w:r>
    </w:p>
    <w:p w:rsidR="00C3791F" w:rsidRDefault="00AE1F83">
      <w:pPr>
        <w:numPr>
          <w:ilvl w:val="0"/>
          <w:numId w:val="10"/>
        </w:numPr>
        <w:spacing w:after="120" w:line="259" w:lineRule="auto"/>
        <w:ind w:right="189" w:firstLine="709"/>
      </w:pPr>
      <w:r>
        <w:t>Т0 ‒ нет подтверждений наличия первичной опухоли.</w:t>
      </w:r>
    </w:p>
    <w:p w:rsidR="00C3791F" w:rsidRDefault="00AE1F83">
      <w:pPr>
        <w:numPr>
          <w:ilvl w:val="0"/>
          <w:numId w:val="10"/>
        </w:numPr>
        <w:ind w:right="189" w:firstLine="709"/>
      </w:pPr>
      <w:r>
        <w:t xml:space="preserve">Т1 ‒ опухоль ≤7 см в наибольшем измерении, не выходит за пределы почки: </w:t>
      </w:r>
      <w:r>
        <w:rPr>
          <w:rFonts w:ascii="Courier New" w:eastAsia="Courier New" w:hAnsi="Courier New" w:cs="Courier New"/>
        </w:rPr>
        <w:t xml:space="preserve">o </w:t>
      </w:r>
      <w:r>
        <w:t>cТ1а ‒ опухоль ≤4 см в наибольшем измерении, не выходит за преде</w:t>
      </w:r>
      <w:r>
        <w:t xml:space="preserve">лы почки; </w:t>
      </w:r>
      <w:r>
        <w:rPr>
          <w:rFonts w:ascii="Courier New" w:eastAsia="Courier New" w:hAnsi="Courier New" w:cs="Courier New"/>
        </w:rPr>
        <w:t xml:space="preserve">o </w:t>
      </w:r>
      <w:r>
        <w:t>cТ1b ‒ опухоль &gt;4 см, но ≤7 см в наибольшем измерении, не выходит за пределы почки.</w:t>
      </w:r>
    </w:p>
    <w:p w:rsidR="00C3791F" w:rsidRDefault="00AE1F83">
      <w:pPr>
        <w:numPr>
          <w:ilvl w:val="0"/>
          <w:numId w:val="10"/>
        </w:numPr>
        <w:spacing w:after="120" w:line="259" w:lineRule="auto"/>
        <w:ind w:right="189" w:firstLine="709"/>
      </w:pPr>
      <w:r>
        <w:t>T2 ‒ опухоль ≥7 см в наибольшем измерении, не выходит за пределы почки:</w:t>
      </w:r>
    </w:p>
    <w:p w:rsidR="00C3791F" w:rsidRDefault="00AE1F83">
      <w:pPr>
        <w:spacing w:after="36"/>
        <w:ind w:left="1145" w:right="1441"/>
      </w:pPr>
      <w:r>
        <w:rPr>
          <w:rFonts w:ascii="Courier New" w:eastAsia="Courier New" w:hAnsi="Courier New" w:cs="Courier New"/>
        </w:rPr>
        <w:t xml:space="preserve">o </w:t>
      </w:r>
      <w:r>
        <w:t xml:space="preserve">cТ2a ‒ опухоль &gt;7 см, но ≤10 см, не выходит за пределы почки; </w:t>
      </w:r>
      <w:r>
        <w:rPr>
          <w:rFonts w:ascii="Courier New" w:eastAsia="Courier New" w:hAnsi="Courier New" w:cs="Courier New"/>
        </w:rPr>
        <w:t xml:space="preserve">o </w:t>
      </w:r>
      <w:r>
        <w:t>cТ2b ‒ опухоль &gt;10 см,</w:t>
      </w:r>
      <w:r>
        <w:t xml:space="preserve"> не выходит за пределы почки.</w:t>
      </w:r>
    </w:p>
    <w:p w:rsidR="00C3791F" w:rsidRDefault="00AE1F83">
      <w:pPr>
        <w:numPr>
          <w:ilvl w:val="0"/>
          <w:numId w:val="10"/>
        </w:numPr>
        <w:spacing w:after="120"/>
        <w:ind w:right="189" w:firstLine="709"/>
      </w:pPr>
      <w:r>
        <w:t xml:space="preserve">T3 ‒ опухоль распространяется в крупные вены или паранефральную клетчатку, но не в ипсилатеральный надпочечник или за пределы фасции Героты: </w:t>
      </w:r>
      <w:r>
        <w:rPr>
          <w:rFonts w:ascii="Courier New" w:eastAsia="Courier New" w:hAnsi="Courier New" w:cs="Courier New"/>
        </w:rPr>
        <w:t xml:space="preserve">o </w:t>
      </w:r>
      <w:r>
        <w:t>cT3a ‒ опухоль распространяется на почечную вену или сегментарные ветви почечной ве</w:t>
      </w:r>
      <w:r>
        <w:t>ны либо опухоль прорастает в периренальные ткани и/или клетчатку почечного синуса (в клетчатку, окружающую почечную лоханку), но не выходит за пределы фасции</w:t>
      </w:r>
    </w:p>
    <w:p w:rsidR="00C3791F" w:rsidRDefault="00AE1F83">
      <w:pPr>
        <w:spacing w:after="33"/>
        <w:ind w:left="1120" w:right="189" w:hanging="993"/>
      </w:pPr>
      <w:r>
        <w:t xml:space="preserve">Героты; </w:t>
      </w:r>
      <w:r>
        <w:rPr>
          <w:rFonts w:ascii="Courier New" w:eastAsia="Courier New" w:hAnsi="Courier New" w:cs="Courier New"/>
        </w:rPr>
        <w:t xml:space="preserve">o </w:t>
      </w:r>
      <w:r>
        <w:t>cT3b ‒ опухоль макроскопически распространяется в нижнюю полую вену</w:t>
      </w:r>
    </w:p>
    <w:p w:rsidR="00C3791F" w:rsidRDefault="00AE1F83">
      <w:pPr>
        <w:ind w:left="137" w:right="189"/>
      </w:pPr>
      <w:r>
        <w:t>(НПВ) ниже уровня ди</w:t>
      </w:r>
      <w:r>
        <w:t xml:space="preserve">афрагмы; </w:t>
      </w:r>
      <w:r>
        <w:rPr>
          <w:rFonts w:ascii="Courier New" w:eastAsia="Courier New" w:hAnsi="Courier New" w:cs="Courier New"/>
        </w:rPr>
        <w:t xml:space="preserve">o </w:t>
      </w:r>
      <w:r>
        <w:t>cT3c ‒ опухоль макроскопически распространяется в НПВ выше уровня диафрагмы или прорастает стенку НПВ.</w:t>
      </w:r>
    </w:p>
    <w:p w:rsidR="00C3791F" w:rsidRDefault="00AE1F83">
      <w:pPr>
        <w:numPr>
          <w:ilvl w:val="0"/>
          <w:numId w:val="10"/>
        </w:numPr>
        <w:ind w:right="189" w:firstLine="709"/>
      </w:pPr>
      <w:r>
        <w:t>T4 ‒ опухоль распространяется за пределы фасции Героты (включая врастание в ипсилатеральный надпочечник).</w:t>
      </w:r>
    </w:p>
    <w:p w:rsidR="00C3791F" w:rsidRDefault="00AE1F83">
      <w:pPr>
        <w:spacing w:after="108" w:line="265" w:lineRule="auto"/>
        <w:ind w:left="861"/>
      </w:pPr>
      <w:r>
        <w:rPr>
          <w:b/>
        </w:rPr>
        <w:t>N ‒ регионарные лимфатические узлы (ЛУ)</w:t>
      </w:r>
    </w:p>
    <w:p w:rsidR="00C3791F" w:rsidRDefault="00AE1F83">
      <w:pPr>
        <w:numPr>
          <w:ilvl w:val="0"/>
          <w:numId w:val="11"/>
        </w:numPr>
        <w:spacing w:after="120" w:line="259" w:lineRule="auto"/>
        <w:ind w:right="189" w:hanging="731"/>
      </w:pPr>
      <w:r>
        <w:t>Nх ‒ регионарные ЛУ не могут быть оценены.</w:t>
      </w:r>
    </w:p>
    <w:p w:rsidR="00C3791F" w:rsidRDefault="00AE1F83">
      <w:pPr>
        <w:numPr>
          <w:ilvl w:val="0"/>
          <w:numId w:val="11"/>
        </w:numPr>
        <w:spacing w:after="120" w:line="259" w:lineRule="auto"/>
        <w:ind w:right="189" w:hanging="731"/>
      </w:pPr>
      <w:r>
        <w:t>N0 ‒ отсутствие метастазов в регионарных ЛУ.</w:t>
      </w:r>
    </w:p>
    <w:p w:rsidR="00C3791F" w:rsidRDefault="00AE1F83">
      <w:pPr>
        <w:numPr>
          <w:ilvl w:val="0"/>
          <w:numId w:val="11"/>
        </w:numPr>
        <w:spacing w:after="120" w:line="259" w:lineRule="auto"/>
        <w:ind w:right="189" w:hanging="731"/>
      </w:pPr>
      <w:r>
        <w:t>N1 ‒ метастазы в регионарных ЛУ.</w:t>
      </w:r>
    </w:p>
    <w:p w:rsidR="00C3791F" w:rsidRDefault="00AE1F83">
      <w:pPr>
        <w:spacing w:after="108" w:line="265" w:lineRule="auto"/>
        <w:ind w:left="861"/>
      </w:pPr>
      <w:r>
        <w:rPr>
          <w:b/>
        </w:rPr>
        <w:t>M ‒ отдаленные метастазы</w:t>
      </w:r>
    </w:p>
    <w:p w:rsidR="00C3791F" w:rsidRDefault="00AE1F83">
      <w:pPr>
        <w:numPr>
          <w:ilvl w:val="0"/>
          <w:numId w:val="12"/>
        </w:numPr>
        <w:spacing w:after="120" w:line="259" w:lineRule="auto"/>
        <w:ind w:right="189" w:hanging="731"/>
      </w:pPr>
      <w:r>
        <w:t>Mх ‒ отдаленные метастазы не могут быть оценены.</w:t>
      </w:r>
    </w:p>
    <w:p w:rsidR="00C3791F" w:rsidRDefault="00AE1F83">
      <w:pPr>
        <w:numPr>
          <w:ilvl w:val="0"/>
          <w:numId w:val="12"/>
        </w:numPr>
        <w:spacing w:after="120" w:line="259" w:lineRule="auto"/>
        <w:ind w:right="189" w:hanging="731"/>
      </w:pPr>
      <w:r>
        <w:t>M0 ‒ отсутствие отдал</w:t>
      </w:r>
      <w:r>
        <w:t>енных метастазов.</w:t>
      </w:r>
    </w:p>
    <w:p w:rsidR="00C3791F" w:rsidRDefault="00AE1F83">
      <w:pPr>
        <w:numPr>
          <w:ilvl w:val="0"/>
          <w:numId w:val="12"/>
        </w:numPr>
        <w:spacing w:after="120" w:line="259" w:lineRule="auto"/>
        <w:ind w:right="189" w:hanging="731"/>
      </w:pPr>
      <w:r>
        <w:t>M1 ‒ отдаленные метастазы.</w:t>
      </w:r>
    </w:p>
    <w:p w:rsidR="00C3791F" w:rsidRDefault="00AE1F83">
      <w:pPr>
        <w:spacing w:after="647"/>
        <w:ind w:left="127" w:right="189" w:firstLine="709"/>
      </w:pPr>
      <w:r>
        <w:t>Соответствие стадий опухолевого процесса в зависимости от категорий TNM представлено в табл. 1.</w:t>
      </w:r>
    </w:p>
    <w:p w:rsidR="00C3791F" w:rsidRDefault="00AE1F83">
      <w:pPr>
        <w:spacing w:line="259" w:lineRule="auto"/>
        <w:ind w:left="137" w:right="189"/>
      </w:pPr>
      <w:r>
        <w:rPr>
          <w:b/>
        </w:rPr>
        <w:t xml:space="preserve">Таблица 1. </w:t>
      </w:r>
      <w:r>
        <w:t>Соответствие стадий опухолевого процесса категориям TNM</w:t>
      </w:r>
    </w:p>
    <w:tbl>
      <w:tblPr>
        <w:tblStyle w:val="TableGrid"/>
        <w:tblW w:w="9346" w:type="dxa"/>
        <w:tblInd w:w="151" w:type="dxa"/>
        <w:tblCellMar>
          <w:top w:w="14" w:type="dxa"/>
          <w:left w:w="933" w:type="dxa"/>
          <w:bottom w:w="0" w:type="dxa"/>
          <w:right w:w="115" w:type="dxa"/>
        </w:tblCellMar>
        <w:tblLook w:val="04A0" w:firstRow="1" w:lastRow="0" w:firstColumn="1" w:lastColumn="0" w:noHBand="0" w:noVBand="1"/>
      </w:tblPr>
      <w:tblGrid>
        <w:gridCol w:w="2416"/>
        <w:gridCol w:w="2310"/>
        <w:gridCol w:w="2308"/>
        <w:gridCol w:w="2312"/>
      </w:tblGrid>
      <w:tr w:rsidR="00C3791F">
        <w:trPr>
          <w:trHeight w:val="466"/>
        </w:trPr>
        <w:tc>
          <w:tcPr>
            <w:tcW w:w="2416" w:type="dxa"/>
            <w:vMerge w:val="restart"/>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231" w:firstLine="0"/>
              <w:jc w:val="left"/>
            </w:pPr>
            <w:r>
              <w:rPr>
                <w:b/>
              </w:rPr>
              <w:t>Стадия</w:t>
            </w:r>
          </w:p>
        </w:tc>
        <w:tc>
          <w:tcPr>
            <w:tcW w:w="2310" w:type="dxa"/>
            <w:tcBorders>
              <w:top w:val="single" w:sz="4" w:space="0" w:color="231F20"/>
              <w:left w:val="single" w:sz="4" w:space="0" w:color="231F20"/>
              <w:bottom w:val="single" w:sz="4" w:space="0" w:color="231F20"/>
              <w:right w:val="nil"/>
            </w:tcBorders>
          </w:tcPr>
          <w:p w:rsidR="00C3791F" w:rsidRDefault="00C3791F">
            <w:pPr>
              <w:spacing w:after="160" w:line="259" w:lineRule="auto"/>
              <w:ind w:left="0" w:firstLine="0"/>
              <w:jc w:val="left"/>
            </w:pPr>
          </w:p>
        </w:tc>
        <w:tc>
          <w:tcPr>
            <w:tcW w:w="2308" w:type="dxa"/>
            <w:tcBorders>
              <w:top w:val="single" w:sz="4" w:space="0" w:color="231F20"/>
              <w:left w:val="nil"/>
              <w:bottom w:val="single" w:sz="4" w:space="0" w:color="231F20"/>
              <w:right w:val="nil"/>
            </w:tcBorders>
          </w:tcPr>
          <w:p w:rsidR="00C3791F" w:rsidRDefault="00AE1F83">
            <w:pPr>
              <w:spacing w:after="0" w:line="259" w:lineRule="auto"/>
              <w:ind w:left="0" w:firstLine="0"/>
              <w:jc w:val="left"/>
            </w:pPr>
            <w:r>
              <w:rPr>
                <w:b/>
              </w:rPr>
              <w:t>Категории</w:t>
            </w:r>
          </w:p>
        </w:tc>
        <w:tc>
          <w:tcPr>
            <w:tcW w:w="2312" w:type="dxa"/>
            <w:tcBorders>
              <w:top w:val="single" w:sz="4" w:space="0" w:color="231F20"/>
              <w:left w:val="nil"/>
              <w:bottom w:val="single" w:sz="4" w:space="0" w:color="231F20"/>
              <w:right w:val="single" w:sz="4" w:space="0" w:color="231F20"/>
            </w:tcBorders>
          </w:tcPr>
          <w:p w:rsidR="00C3791F" w:rsidRDefault="00C3791F">
            <w:pPr>
              <w:spacing w:after="160" w:line="259" w:lineRule="auto"/>
              <w:ind w:left="0" w:firstLine="0"/>
              <w:jc w:val="left"/>
            </w:pPr>
          </w:p>
        </w:tc>
      </w:tr>
      <w:tr w:rsidR="00C3791F">
        <w:trPr>
          <w:trHeight w:val="394"/>
        </w:trPr>
        <w:tc>
          <w:tcPr>
            <w:tcW w:w="0" w:type="auto"/>
            <w:vMerge/>
            <w:tcBorders>
              <w:top w:val="nil"/>
              <w:left w:val="single" w:sz="4" w:space="0" w:color="231F20"/>
              <w:bottom w:val="single" w:sz="4" w:space="0" w:color="231F20"/>
              <w:right w:val="single" w:sz="4" w:space="0" w:color="231F20"/>
            </w:tcBorders>
          </w:tcPr>
          <w:p w:rsidR="00C3791F" w:rsidRDefault="00C3791F">
            <w:pPr>
              <w:spacing w:after="160" w:line="259" w:lineRule="auto"/>
              <w:ind w:left="0" w:firstLine="0"/>
              <w:jc w:val="left"/>
            </w:pPr>
          </w:p>
        </w:tc>
        <w:tc>
          <w:tcPr>
            <w:tcW w:w="2310"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4" w:firstLine="0"/>
              <w:jc w:val="center"/>
            </w:pPr>
            <w:r>
              <w:rPr>
                <w:b/>
              </w:rPr>
              <w:t>T</w:t>
            </w:r>
          </w:p>
        </w:tc>
        <w:tc>
          <w:tcPr>
            <w:tcW w:w="230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rPr>
                <w:b/>
              </w:rPr>
              <w:t>N</w:t>
            </w:r>
          </w:p>
        </w:tc>
        <w:tc>
          <w:tcPr>
            <w:tcW w:w="2312"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rPr>
                <w:b/>
              </w:rPr>
              <w:t>M</w:t>
            </w:r>
          </w:p>
        </w:tc>
      </w:tr>
      <w:tr w:rsidR="00C3791F">
        <w:trPr>
          <w:trHeight w:val="286"/>
        </w:trPr>
        <w:tc>
          <w:tcPr>
            <w:tcW w:w="241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6" w:firstLine="0"/>
              <w:jc w:val="center"/>
            </w:pPr>
            <w:r>
              <w:t>I</w:t>
            </w:r>
          </w:p>
        </w:tc>
        <w:tc>
          <w:tcPr>
            <w:tcW w:w="2310"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t>T1</w:t>
            </w:r>
          </w:p>
        </w:tc>
        <w:tc>
          <w:tcPr>
            <w:tcW w:w="230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t>N0</w:t>
            </w:r>
          </w:p>
        </w:tc>
        <w:tc>
          <w:tcPr>
            <w:tcW w:w="2312"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4" w:firstLine="0"/>
              <w:jc w:val="center"/>
            </w:pPr>
            <w:r>
              <w:t>M0</w:t>
            </w:r>
          </w:p>
        </w:tc>
      </w:tr>
      <w:tr w:rsidR="00C3791F">
        <w:trPr>
          <w:trHeight w:val="286"/>
        </w:trPr>
        <w:tc>
          <w:tcPr>
            <w:tcW w:w="241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6" w:firstLine="0"/>
              <w:jc w:val="center"/>
            </w:pPr>
            <w:r>
              <w:t>II</w:t>
            </w:r>
          </w:p>
        </w:tc>
        <w:tc>
          <w:tcPr>
            <w:tcW w:w="2310"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t>T2</w:t>
            </w:r>
          </w:p>
        </w:tc>
        <w:tc>
          <w:tcPr>
            <w:tcW w:w="230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t>N0</w:t>
            </w:r>
          </w:p>
        </w:tc>
        <w:tc>
          <w:tcPr>
            <w:tcW w:w="2312"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4" w:firstLine="0"/>
              <w:jc w:val="center"/>
            </w:pPr>
            <w:r>
              <w:t>M0</w:t>
            </w:r>
          </w:p>
        </w:tc>
      </w:tr>
      <w:tr w:rsidR="00C3791F">
        <w:trPr>
          <w:trHeight w:val="286"/>
        </w:trPr>
        <w:tc>
          <w:tcPr>
            <w:tcW w:w="241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6" w:firstLine="0"/>
              <w:jc w:val="center"/>
            </w:pPr>
            <w:r>
              <w:t>III</w:t>
            </w:r>
          </w:p>
        </w:tc>
        <w:tc>
          <w:tcPr>
            <w:tcW w:w="2310"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t>T3</w:t>
            </w:r>
          </w:p>
        </w:tc>
        <w:tc>
          <w:tcPr>
            <w:tcW w:w="230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t>N0</w:t>
            </w:r>
          </w:p>
        </w:tc>
        <w:tc>
          <w:tcPr>
            <w:tcW w:w="2312"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4" w:firstLine="0"/>
              <w:jc w:val="center"/>
            </w:pPr>
            <w:r>
              <w:t>M0</w:t>
            </w:r>
          </w:p>
        </w:tc>
      </w:tr>
      <w:tr w:rsidR="00C3791F">
        <w:trPr>
          <w:trHeight w:val="286"/>
        </w:trPr>
        <w:tc>
          <w:tcPr>
            <w:tcW w:w="2416" w:type="dxa"/>
            <w:tcBorders>
              <w:top w:val="single" w:sz="4" w:space="0" w:color="231F20"/>
              <w:left w:val="single" w:sz="4" w:space="0" w:color="231F20"/>
              <w:bottom w:val="single" w:sz="4" w:space="0" w:color="231F20"/>
              <w:right w:val="single" w:sz="4" w:space="0" w:color="231F20"/>
            </w:tcBorders>
          </w:tcPr>
          <w:p w:rsidR="00C3791F" w:rsidRDefault="00C3791F">
            <w:pPr>
              <w:spacing w:after="160" w:line="259" w:lineRule="auto"/>
              <w:ind w:left="0" w:firstLine="0"/>
              <w:jc w:val="left"/>
            </w:pPr>
          </w:p>
        </w:tc>
        <w:tc>
          <w:tcPr>
            <w:tcW w:w="2310"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59" w:firstLine="0"/>
              <w:jc w:val="left"/>
            </w:pPr>
            <w:r>
              <w:t>T1, T2, T3</w:t>
            </w:r>
          </w:p>
        </w:tc>
        <w:tc>
          <w:tcPr>
            <w:tcW w:w="230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t>N1</w:t>
            </w:r>
          </w:p>
        </w:tc>
        <w:tc>
          <w:tcPr>
            <w:tcW w:w="2312"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4" w:firstLine="0"/>
              <w:jc w:val="center"/>
            </w:pPr>
            <w:r>
              <w:t>M0</w:t>
            </w:r>
          </w:p>
        </w:tc>
      </w:tr>
      <w:tr w:rsidR="00C3791F">
        <w:trPr>
          <w:trHeight w:val="286"/>
        </w:trPr>
        <w:tc>
          <w:tcPr>
            <w:tcW w:w="241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t>IV</w:t>
            </w:r>
          </w:p>
        </w:tc>
        <w:tc>
          <w:tcPr>
            <w:tcW w:w="2310"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5" w:firstLine="0"/>
              <w:jc w:val="center"/>
            </w:pPr>
            <w:r>
              <w:t>T4</w:t>
            </w:r>
          </w:p>
        </w:tc>
        <w:tc>
          <w:tcPr>
            <w:tcW w:w="230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137" w:firstLine="0"/>
              <w:jc w:val="left"/>
            </w:pPr>
            <w:r>
              <w:t>N любое</w:t>
            </w:r>
          </w:p>
        </w:tc>
        <w:tc>
          <w:tcPr>
            <w:tcW w:w="2312"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4" w:firstLine="0"/>
              <w:jc w:val="center"/>
            </w:pPr>
            <w:r>
              <w:t>M0</w:t>
            </w:r>
          </w:p>
        </w:tc>
      </w:tr>
      <w:tr w:rsidR="00C3791F">
        <w:trPr>
          <w:trHeight w:val="286"/>
        </w:trPr>
        <w:tc>
          <w:tcPr>
            <w:tcW w:w="2416" w:type="dxa"/>
            <w:tcBorders>
              <w:top w:val="single" w:sz="4" w:space="0" w:color="231F20"/>
              <w:left w:val="single" w:sz="4" w:space="0" w:color="231F20"/>
              <w:bottom w:val="single" w:sz="4" w:space="0" w:color="231F20"/>
              <w:right w:val="single" w:sz="4" w:space="0" w:color="231F20"/>
            </w:tcBorders>
          </w:tcPr>
          <w:p w:rsidR="00C3791F" w:rsidRDefault="00C3791F">
            <w:pPr>
              <w:spacing w:after="160" w:line="259" w:lineRule="auto"/>
              <w:ind w:left="0" w:firstLine="0"/>
              <w:jc w:val="left"/>
            </w:pPr>
          </w:p>
        </w:tc>
        <w:tc>
          <w:tcPr>
            <w:tcW w:w="2310"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firstLine="0"/>
              <w:jc w:val="left"/>
            </w:pPr>
            <w:r>
              <w:t>T любое</w:t>
            </w:r>
          </w:p>
        </w:tc>
        <w:tc>
          <w:tcPr>
            <w:tcW w:w="230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137" w:firstLine="0"/>
              <w:jc w:val="left"/>
            </w:pPr>
            <w:r>
              <w:t>N любое</w:t>
            </w:r>
          </w:p>
        </w:tc>
        <w:tc>
          <w:tcPr>
            <w:tcW w:w="2312"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04" w:firstLine="0"/>
              <w:jc w:val="center"/>
            </w:pPr>
            <w:r>
              <w:t>M1</w:t>
            </w:r>
          </w:p>
        </w:tc>
      </w:tr>
    </w:tbl>
    <w:p w:rsidR="00C3791F" w:rsidRDefault="00AE1F83">
      <w:pPr>
        <w:spacing w:after="228" w:line="265" w:lineRule="auto"/>
        <w:ind w:left="861"/>
      </w:pPr>
      <w:r>
        <w:rPr>
          <w:b/>
        </w:rPr>
        <w:t>Нефрометрическая классификация опухолей почечной паренхимы</w:t>
      </w:r>
    </w:p>
    <w:p w:rsidR="00C3791F" w:rsidRDefault="00AE1F83">
      <w:pPr>
        <w:spacing w:after="233"/>
        <w:ind w:left="127" w:right="189" w:firstLine="709"/>
      </w:pPr>
      <w:r>
        <w:t xml:space="preserve">Оценка нефрометрических признаков на основании данных об анатомических </w:t>
      </w:r>
      <w:r>
        <w:t>особенностях опухоли, полученных с помощью методов предоперационной лучевой визуализации, позволяет унифицировать описание новообразований почечной паренхимы и их взаимосвязи с соседними структурами. Использование стандартизованных объективных и воспроизво</w:t>
      </w:r>
      <w:r>
        <w:t>димых шкал нивелирует вариабельность трактовки результатов визуализации разными специалистами. Нефрометрические показатели могут предсказать ожидаемую техническую сложность РП и коррелируют с длительностью ишемии, операционным временем, объемом кровопотери</w:t>
      </w:r>
      <w:r>
        <w:t>, частотой осложнений и вероятностью перехода от РП к РН. Нефрометрические шкалы могут помочь в принятии клинических решений в отношении объема операции и хирургического доступа (приложение А3-1).</w:t>
      </w:r>
    </w:p>
    <w:p w:rsidR="00C3791F" w:rsidRDefault="00AE1F83">
      <w:pPr>
        <w:spacing w:after="228" w:line="265" w:lineRule="auto"/>
        <w:ind w:left="861"/>
      </w:pPr>
      <w:r>
        <w:rPr>
          <w:b/>
        </w:rPr>
        <w:t xml:space="preserve">Шкала RENAL </w:t>
      </w:r>
    </w:p>
    <w:p w:rsidR="00C3791F" w:rsidRDefault="00AE1F83">
      <w:pPr>
        <w:spacing w:after="193"/>
        <w:ind w:left="127" w:right="189" w:firstLine="709"/>
      </w:pPr>
      <w:r>
        <w:t>Нефрометрическая шкала RENAL основана на оценк</w:t>
      </w:r>
      <w:r>
        <w:t>е 5 радиологических анатомических характеристик:</w:t>
      </w:r>
    </w:p>
    <w:p w:rsidR="00C3791F" w:rsidRDefault="00AE1F83">
      <w:pPr>
        <w:numPr>
          <w:ilvl w:val="0"/>
          <w:numId w:val="13"/>
        </w:numPr>
        <w:spacing w:after="314" w:line="259" w:lineRule="auto"/>
        <w:ind w:right="189" w:firstLine="709"/>
      </w:pPr>
      <w:r>
        <w:t>(R)adius (максимальный диаметр опухоли),</w:t>
      </w:r>
    </w:p>
    <w:p w:rsidR="00C3791F" w:rsidRDefault="00AE1F83">
      <w:pPr>
        <w:numPr>
          <w:ilvl w:val="0"/>
          <w:numId w:val="13"/>
        </w:numPr>
        <w:spacing w:after="314" w:line="259" w:lineRule="auto"/>
        <w:ind w:right="189" w:firstLine="709"/>
      </w:pPr>
      <w:r>
        <w:t>(E)xophytic/endophytic (экзофитный или эндофитный рост опухоли),</w:t>
      </w:r>
    </w:p>
    <w:p w:rsidR="00C3791F" w:rsidRDefault="00AE1F83">
      <w:pPr>
        <w:numPr>
          <w:ilvl w:val="0"/>
          <w:numId w:val="13"/>
        </w:numPr>
        <w:spacing w:after="193"/>
        <w:ind w:right="189" w:firstLine="709"/>
      </w:pPr>
      <w:r>
        <w:t>(N)earness (близость расположения опухоли к собирательной системе почки или ее синусу),</w:t>
      </w:r>
    </w:p>
    <w:p w:rsidR="00C3791F" w:rsidRDefault="00AE1F83">
      <w:pPr>
        <w:numPr>
          <w:ilvl w:val="0"/>
          <w:numId w:val="13"/>
        </w:numPr>
        <w:spacing w:after="193"/>
        <w:ind w:right="189" w:firstLine="709"/>
      </w:pPr>
      <w:r>
        <w:t>(A)nterior (a</w:t>
      </w:r>
      <w:r>
        <w:t>)/posterior (p)/not anterior or posterior (x) (расположение опухоли по передней, задней или не по передней или задней поверхности почки) и</w:t>
      </w:r>
    </w:p>
    <w:p w:rsidR="00C3791F" w:rsidRDefault="00AE1F83">
      <w:pPr>
        <w:numPr>
          <w:ilvl w:val="0"/>
          <w:numId w:val="13"/>
        </w:numPr>
        <w:spacing w:after="314" w:line="259" w:lineRule="auto"/>
        <w:ind w:right="189" w:firstLine="709"/>
      </w:pPr>
      <w:r>
        <w:t>(L)ocation (расположение опухоли по отношению к полюсной линии)</w:t>
      </w:r>
      <w:r>
        <w:rPr>
          <w:b/>
        </w:rPr>
        <w:t xml:space="preserve"> </w:t>
      </w:r>
      <w:r>
        <w:t>[11].</w:t>
      </w:r>
    </w:p>
    <w:p w:rsidR="00C3791F" w:rsidRDefault="00AE1F83">
      <w:pPr>
        <w:spacing w:after="233"/>
        <w:ind w:left="127" w:right="189" w:firstLine="709"/>
      </w:pPr>
      <w:r>
        <w:t>Суффикс -hilar (h) добавляется для описания опу</w:t>
      </w:r>
      <w:r>
        <w:t>холей, прилежащих к главной почечной артерии или вене (табл. 2). Каждой переменной, кроме A, присваивается от 1 до 3 баллов, что дает в общей сложности 3 балла для наименее сложной и 12 баллов для наиболее сложной в отношении РП опухоли. Общая оценка нефро</w:t>
      </w:r>
      <w:r>
        <w:t xml:space="preserve">метрического индекса производится по сумме баллов для каждой переменной (например, 1 + 2 + 2 + A + 3) и дополняется аббревиатурой, соответствующей переднезаднему расположению новообразования (например, 8A). Сложность РП классифицируется как низкая (индекс </w:t>
      </w:r>
      <w:r>
        <w:t>RENAL 4–6), умеренная (индекс RENAL 7–9) или высокая (индекс RENAL 10–12).</w:t>
      </w:r>
    </w:p>
    <w:p w:rsidR="00C3791F" w:rsidRDefault="00AE1F83">
      <w:pPr>
        <w:spacing w:line="265" w:lineRule="auto"/>
        <w:ind w:left="861"/>
      </w:pPr>
      <w:r>
        <w:rPr>
          <w:b/>
        </w:rPr>
        <w:t>Шкала PADUA</w:t>
      </w:r>
    </w:p>
    <w:p w:rsidR="00C3791F" w:rsidRDefault="00AE1F83">
      <w:pPr>
        <w:spacing w:after="233"/>
        <w:ind w:left="127" w:right="189" w:firstLine="709"/>
      </w:pPr>
      <w:r>
        <w:t xml:space="preserve">Шкала PADUA (The Preoperative Aspects and Dimensions Used for an Anatomical) состоит из 6 оцениваемых по балльной системе параметров и индекса переднего или </w:t>
      </w:r>
      <w:r>
        <w:t>заднего расположения опухоли [12]. Переменные включают полюсную локализацию, экзофитный или эндофитный характер роста, отношение к краю почки, поражение почечного синуса, вовлечение собирательной системы и максимальный размер опухоли (табл. 2). Индекс расс</w:t>
      </w:r>
      <w:r>
        <w:t>читывается как сумма этих параметров и имеет минимальное значение, равное 6, и максимальное, составляющее 14 баллов. РП соответствует низкой технической сложности при индексе PADUA 6–7, умеренной сложности при индексе 8–9 или высокой сложности при 10–14. С</w:t>
      </w:r>
      <w:r>
        <w:t>тепень сложности операции коррелирует с риском осложнений.</w:t>
      </w:r>
    </w:p>
    <w:p w:rsidR="00C3791F" w:rsidRDefault="00AE1F83">
      <w:pPr>
        <w:spacing w:after="228" w:line="265" w:lineRule="auto"/>
        <w:ind w:left="861"/>
      </w:pPr>
      <w:r>
        <w:rPr>
          <w:b/>
        </w:rPr>
        <w:t>Классификация опухолевого венозного тромбоза у больных ПКР</w:t>
      </w:r>
    </w:p>
    <w:p w:rsidR="00C3791F" w:rsidRDefault="00AE1F83">
      <w:pPr>
        <w:spacing w:after="233"/>
        <w:ind w:left="127" w:right="189" w:firstLine="709"/>
      </w:pPr>
      <w:r>
        <w:t>Уникальной особенностью ПКР является способность к венозной инвазии с формированием опухолевого тромбоза. Краниальная граница тромба являе</w:t>
      </w:r>
      <w:r>
        <w:t>тся основным фактором, определяющим хирургическую тактику, что обосновывает актуальность клинического стадирования рака почки с опухолевым венозным тромбозом по данному признаку. Предложено несколько хирургических классификаций. Наиболее распространенной я</w:t>
      </w:r>
      <w:r>
        <w:t>вляется система Novick, согласно которой опухолевый тромб почечной вены, пролабирующий в НПВ менее чем на 2 см, относят к I уровню, подпеченочный тромб – ко II уровню, внутрипеченочный тромбоз ниже диафрагмы – к III уровню, тромб, распространяющийся выше д</w:t>
      </w:r>
      <w:r>
        <w:t>иафрагмы, – к IV [13].</w:t>
      </w:r>
    </w:p>
    <w:p w:rsidR="00C3791F" w:rsidRDefault="00AE1F83">
      <w:pPr>
        <w:spacing w:after="108" w:line="265" w:lineRule="auto"/>
        <w:ind w:left="861"/>
      </w:pPr>
      <w:r>
        <w:rPr>
          <w:b/>
        </w:rPr>
        <w:t xml:space="preserve">Прогностическая классификация Memorial Sloan Kettering Cancer Center </w:t>
      </w:r>
    </w:p>
    <w:p w:rsidR="00C3791F" w:rsidRDefault="00AE1F83">
      <w:pPr>
        <w:spacing w:after="108" w:line="265" w:lineRule="auto"/>
        <w:ind w:left="137"/>
      </w:pPr>
      <w:r>
        <w:rPr>
          <w:b/>
        </w:rPr>
        <w:t>(MSKCC)</w:t>
      </w:r>
    </w:p>
    <w:p w:rsidR="00C3791F" w:rsidRDefault="00AE1F83">
      <w:pPr>
        <w:ind w:left="127" w:right="189" w:firstLine="709"/>
      </w:pPr>
      <w:r>
        <w:t>Для 670 пациентов с диссеминированным раком паренхимы почки, получавших цитокиновую иммунотерапию, были выделены факторы риска общей выживаемости (ОВ):</w:t>
      </w:r>
    </w:p>
    <w:p w:rsidR="00C3791F" w:rsidRDefault="00AE1F83">
      <w:pPr>
        <w:numPr>
          <w:ilvl w:val="0"/>
          <w:numId w:val="14"/>
        </w:numPr>
        <w:spacing w:after="120" w:line="259" w:lineRule="auto"/>
        <w:ind w:right="189" w:firstLine="709"/>
      </w:pPr>
      <w:r>
        <w:t>низ</w:t>
      </w:r>
      <w:r>
        <w:t>кий соматический статус (&lt;80 баллов по шкале Карновского);</w:t>
      </w:r>
    </w:p>
    <w:p w:rsidR="00C3791F" w:rsidRDefault="00AE1F83">
      <w:pPr>
        <w:numPr>
          <w:ilvl w:val="0"/>
          <w:numId w:val="14"/>
        </w:numPr>
        <w:spacing w:after="120" w:line="259" w:lineRule="auto"/>
        <w:ind w:right="189" w:firstLine="709"/>
      </w:pPr>
      <w:r>
        <w:t xml:space="preserve">время от диагноза до лечения метастатической болезни &lt;1 года; </w:t>
      </w:r>
    </w:p>
    <w:p w:rsidR="00C3791F" w:rsidRDefault="00AE1F83">
      <w:pPr>
        <w:numPr>
          <w:ilvl w:val="0"/>
          <w:numId w:val="14"/>
        </w:numPr>
        <w:spacing w:after="120" w:line="259" w:lineRule="auto"/>
        <w:ind w:right="189" w:firstLine="709"/>
      </w:pPr>
      <w:r>
        <w:t xml:space="preserve">уровень гемоглобина меньше нижней границы нормы; </w:t>
      </w:r>
    </w:p>
    <w:p w:rsidR="00C3791F" w:rsidRDefault="00AE1F83">
      <w:pPr>
        <w:numPr>
          <w:ilvl w:val="0"/>
          <w:numId w:val="14"/>
        </w:numPr>
        <w:ind w:right="189" w:firstLine="709"/>
      </w:pPr>
      <w:r>
        <w:t>уровень скорректированного по концентрации сывороточного альбумина кальция выше верх</w:t>
      </w:r>
      <w:r>
        <w:t>ней границы нормы;</w:t>
      </w:r>
    </w:p>
    <w:p w:rsidR="00C3791F" w:rsidRDefault="00AE1F83">
      <w:pPr>
        <w:numPr>
          <w:ilvl w:val="0"/>
          <w:numId w:val="14"/>
        </w:numPr>
        <w:spacing w:line="259" w:lineRule="auto"/>
        <w:ind w:right="189" w:firstLine="709"/>
      </w:pPr>
      <w:r>
        <w:t>уровень лактатдегидрогеназы в 1,5 раза выше верхней границы нормы.</w:t>
      </w:r>
    </w:p>
    <w:p w:rsidR="00C3791F" w:rsidRDefault="00AE1F83">
      <w:pPr>
        <w:ind w:left="127" w:right="189" w:firstLine="709"/>
      </w:pPr>
      <w:r>
        <w:t>На основании наличия и количества имеющихся факторов риска выделены группы прогноза:</w:t>
      </w:r>
    </w:p>
    <w:p w:rsidR="00C3791F" w:rsidRDefault="00AE1F83">
      <w:pPr>
        <w:spacing w:line="359" w:lineRule="auto"/>
        <w:ind w:left="861" w:right="5463"/>
        <w:jc w:val="left"/>
      </w:pPr>
      <w:r>
        <w:t>- хороший – 0 факторов риска; - промежуточный – 1‒2 фактора; - плохой – ≥3.</w:t>
      </w:r>
    </w:p>
    <w:p w:rsidR="00C3791F" w:rsidRDefault="00AE1F83">
      <w:pPr>
        <w:spacing w:after="233"/>
        <w:ind w:left="127" w:right="189" w:firstLine="709"/>
      </w:pPr>
      <w:r>
        <w:t>В настоящее время данная шкала не применяется для принятия клинических решений и приводится в рекомендациях для облегчения трактовки результатов исследований, использовавших данную классификационную систему [14].</w:t>
      </w:r>
    </w:p>
    <w:p w:rsidR="00C3791F" w:rsidRDefault="00AE1F83">
      <w:pPr>
        <w:spacing w:after="120" w:line="357" w:lineRule="auto"/>
        <w:ind w:left="127" w:firstLine="709"/>
      </w:pPr>
      <w:r>
        <w:rPr>
          <w:b/>
        </w:rPr>
        <w:t>Прогностическая классификация International</w:t>
      </w:r>
      <w:r>
        <w:rPr>
          <w:b/>
        </w:rPr>
        <w:t xml:space="preserve"> Metastatic Renal Cancer Database Consortium (IMDC) </w:t>
      </w:r>
    </w:p>
    <w:p w:rsidR="00C3791F" w:rsidRDefault="00AE1F83">
      <w:pPr>
        <w:spacing w:line="359" w:lineRule="auto"/>
        <w:ind w:left="127" w:right="131" w:firstLine="709"/>
        <w:jc w:val="left"/>
      </w:pPr>
      <w:r>
        <w:t>В 2009 г. было опубликовано исследование, включившее данные 645 пациентов с распространенным ПКР, получавших таргетную терапию. На основании анализа результатов лечения этой когорты пациентов были выделе</w:t>
      </w:r>
      <w:r>
        <w:t>ны факторы риска прогрессирования заболевания:</w:t>
      </w:r>
    </w:p>
    <w:p w:rsidR="00C3791F" w:rsidRDefault="00AE1F83">
      <w:pPr>
        <w:numPr>
          <w:ilvl w:val="0"/>
          <w:numId w:val="15"/>
        </w:numPr>
        <w:spacing w:after="120" w:line="259" w:lineRule="auto"/>
        <w:ind w:right="189" w:firstLine="709"/>
      </w:pPr>
      <w:r>
        <w:t>низкий соматический статус (&lt;80 баллов по шкале Карновского);</w:t>
      </w:r>
    </w:p>
    <w:p w:rsidR="00C3791F" w:rsidRDefault="00AE1F83">
      <w:pPr>
        <w:numPr>
          <w:ilvl w:val="0"/>
          <w:numId w:val="15"/>
        </w:numPr>
        <w:spacing w:after="120" w:line="259" w:lineRule="auto"/>
        <w:ind w:right="189" w:firstLine="709"/>
      </w:pPr>
      <w:r>
        <w:t xml:space="preserve">время от диагноза до лечения метастатической болезни &lt;1 года; </w:t>
      </w:r>
    </w:p>
    <w:p w:rsidR="00C3791F" w:rsidRDefault="00AE1F83">
      <w:pPr>
        <w:numPr>
          <w:ilvl w:val="0"/>
          <w:numId w:val="15"/>
        </w:numPr>
        <w:spacing w:after="120" w:line="259" w:lineRule="auto"/>
        <w:ind w:right="189" w:firstLine="709"/>
      </w:pPr>
      <w:r>
        <w:t xml:space="preserve">уровень гемоглобина меньше нижней границы нормы; </w:t>
      </w:r>
    </w:p>
    <w:p w:rsidR="00C3791F" w:rsidRDefault="00AE1F83">
      <w:pPr>
        <w:numPr>
          <w:ilvl w:val="0"/>
          <w:numId w:val="15"/>
        </w:numPr>
        <w:spacing w:after="120" w:line="259" w:lineRule="auto"/>
        <w:ind w:right="189" w:firstLine="709"/>
      </w:pPr>
      <w:r>
        <w:t>количество нейтрофилов выше верхне</w:t>
      </w:r>
      <w:r>
        <w:t>й границы нормы;</w:t>
      </w:r>
    </w:p>
    <w:p w:rsidR="00C3791F" w:rsidRDefault="00AE1F83">
      <w:pPr>
        <w:numPr>
          <w:ilvl w:val="0"/>
          <w:numId w:val="15"/>
        </w:numPr>
        <w:spacing w:after="120" w:line="259" w:lineRule="auto"/>
        <w:ind w:right="189" w:firstLine="709"/>
      </w:pPr>
      <w:r>
        <w:t>количество тромбоцитов выше верхней границы нормы;</w:t>
      </w:r>
    </w:p>
    <w:p w:rsidR="00C3791F" w:rsidRDefault="00AE1F83">
      <w:pPr>
        <w:numPr>
          <w:ilvl w:val="0"/>
          <w:numId w:val="15"/>
        </w:numPr>
        <w:ind w:right="189" w:firstLine="709"/>
      </w:pPr>
      <w:r>
        <w:t>уровень скорректированного по концентрации сывороточного альбумина кальция выше верхней границы нормы.</w:t>
      </w:r>
    </w:p>
    <w:p w:rsidR="00C3791F" w:rsidRDefault="00AE1F83">
      <w:pPr>
        <w:ind w:left="127" w:right="189" w:firstLine="709"/>
      </w:pPr>
      <w:r>
        <w:t xml:space="preserve">На основании наличия и количества имеющихся факторов риска выделены группы прогноза: </w:t>
      </w:r>
    </w:p>
    <w:p w:rsidR="00C3791F" w:rsidRDefault="00AE1F83">
      <w:pPr>
        <w:spacing w:line="359" w:lineRule="auto"/>
        <w:ind w:left="861" w:right="4866"/>
        <w:jc w:val="left"/>
      </w:pPr>
      <w:r>
        <w:t>хороший – 0 факторов риска; промежуточный – 1‒2 фактора; плохой – ≥3.</w:t>
      </w:r>
    </w:p>
    <w:p w:rsidR="00C3791F" w:rsidRDefault="00AE1F83">
      <w:pPr>
        <w:ind w:left="127" w:right="189" w:firstLine="709"/>
      </w:pPr>
      <w:r>
        <w:t>Для определения оптимальной лечебной тактики при местно-распространенном неоперабельном и метастатическом ПКР (мПКР) необходима оценка группы прогноза IMDC [15].</w:t>
      </w:r>
    </w:p>
    <w:p w:rsidR="00C3791F" w:rsidRDefault="00AE1F83">
      <w:pPr>
        <w:spacing w:line="357" w:lineRule="auto"/>
        <w:ind w:left="127" w:firstLine="709"/>
      </w:pPr>
      <w:r>
        <w:rPr>
          <w:b/>
        </w:rPr>
        <w:t>1.6. Клиническая картина заболевания или состояния (группы заболеваний или состояний)</w:t>
      </w:r>
    </w:p>
    <w:p w:rsidR="00C3791F" w:rsidRDefault="00AE1F83">
      <w:pPr>
        <w:ind w:left="127" w:right="189" w:firstLine="709"/>
      </w:pPr>
      <w:r>
        <w:t>Клиническая картина ПКР складывается из проявлений первичной опухоли, метастазов, а также паранеопластических симптомов. На ранних стадиях рак паренхимы почки, как правил</w:t>
      </w:r>
      <w:r>
        <w:t>о, не вызывает жалоб. По мере роста первичная опухоль становится пальпируемой и может вызывать развитие боли и гематурии (классическая триада симптомов рака почки). Опухолевый венозный тромбоз левой почечной вены способен вызвать развитие варикоцеле слева.</w:t>
      </w:r>
      <w:r>
        <w:t xml:space="preserve"> Распространение опухоли по просвету НПВ или наличие массивных метастазов в забрюшинных ЛУ может быть ассоциировано с появлением отеков нижних конечностей, сети расширенных подкожных вен на передней брюшной стенке («голова медузы»). Симптомы метастазов опр</w:t>
      </w:r>
      <w:r>
        <w:t>еделяются их локализацией: поражение легких, плевры, внутригрудных ЛУ способно привести к развитию кашля, кровохарканья, одышки; симптомами метастазов в кости являются боль и патологические переломы; метастазы в печени часто сопровождаются гипертермией; ме</w:t>
      </w:r>
      <w:r>
        <w:t xml:space="preserve">тастазы в головном мозге проявляются общемозговыми и очаговыми неврологическими симптомами. Для рака паренхимы почки характерно развитие клинических паранеопластических симптомов, таких как АГ и лихорадка. </w:t>
      </w:r>
      <w:r>
        <w:br w:type="page"/>
      </w:r>
    </w:p>
    <w:p w:rsidR="00C3791F" w:rsidRDefault="00AE1F83">
      <w:pPr>
        <w:spacing w:after="202" w:line="357" w:lineRule="auto"/>
        <w:ind w:left="160" w:right="150"/>
        <w:jc w:val="center"/>
      </w:pPr>
      <w:r>
        <w:rPr>
          <w:b/>
          <w:sz w:val="28"/>
        </w:rPr>
        <w:t>2. Диагностика заболевания или состояния (группы</w:t>
      </w:r>
      <w:r>
        <w:rPr>
          <w:b/>
          <w:sz w:val="28"/>
        </w:rPr>
        <w:t xml:space="preserve"> заболеваний или состояний), медицинские показания и противопоказания к применению </w:t>
      </w:r>
    </w:p>
    <w:p w:rsidR="00C3791F" w:rsidRDefault="00AE1F83">
      <w:pPr>
        <w:pStyle w:val="Heading1"/>
        <w:spacing w:line="357" w:lineRule="auto"/>
        <w:ind w:left="160" w:right="150"/>
      </w:pPr>
      <w:r>
        <w:t>методов диагностики</w:t>
      </w:r>
    </w:p>
    <w:p w:rsidR="00C3791F" w:rsidRDefault="00AE1F83">
      <w:pPr>
        <w:spacing w:after="233"/>
        <w:ind w:left="127" w:right="618" w:firstLine="567"/>
      </w:pPr>
      <w:r>
        <w:t>Термины, описывающие процедуры в клинических рекомендациях, и возможные термины из действующей номенклатуры медицинских услуг приведены в приложении А3-</w:t>
      </w:r>
      <w:r>
        <w:t>2.</w:t>
      </w:r>
    </w:p>
    <w:p w:rsidR="00C3791F" w:rsidRDefault="00AE1F83">
      <w:pPr>
        <w:spacing w:after="114" w:line="259" w:lineRule="auto"/>
        <w:ind w:left="851" w:right="208" w:firstLine="0"/>
      </w:pPr>
      <w:r>
        <w:rPr>
          <w:i/>
        </w:rPr>
        <w:t>Критерии установления диагноза/состояния:</w:t>
      </w:r>
    </w:p>
    <w:p w:rsidR="00C3791F" w:rsidRDefault="00AE1F83">
      <w:pPr>
        <w:numPr>
          <w:ilvl w:val="0"/>
          <w:numId w:val="16"/>
        </w:numPr>
        <w:spacing w:after="120" w:line="259" w:lineRule="auto"/>
        <w:ind w:right="208" w:hanging="731"/>
      </w:pPr>
      <w:r>
        <w:rPr>
          <w:i/>
        </w:rPr>
        <w:t>данные анамнеза;</w:t>
      </w:r>
    </w:p>
    <w:p w:rsidR="00C3791F" w:rsidRDefault="00AE1F83">
      <w:pPr>
        <w:numPr>
          <w:ilvl w:val="0"/>
          <w:numId w:val="16"/>
        </w:numPr>
        <w:spacing w:after="120" w:line="259" w:lineRule="auto"/>
        <w:ind w:right="208" w:hanging="731"/>
      </w:pPr>
      <w:r>
        <w:rPr>
          <w:i/>
        </w:rPr>
        <w:t>данные физикального обследования;</w:t>
      </w:r>
    </w:p>
    <w:p w:rsidR="00C3791F" w:rsidRDefault="00AE1F83">
      <w:pPr>
        <w:numPr>
          <w:ilvl w:val="0"/>
          <w:numId w:val="16"/>
        </w:numPr>
        <w:spacing w:after="120" w:line="259" w:lineRule="auto"/>
        <w:ind w:right="208" w:hanging="731"/>
      </w:pPr>
      <w:r>
        <w:rPr>
          <w:i/>
        </w:rPr>
        <w:t>данные лабораторных исследований;</w:t>
      </w:r>
    </w:p>
    <w:p w:rsidR="00C3791F" w:rsidRDefault="00AE1F83">
      <w:pPr>
        <w:numPr>
          <w:ilvl w:val="0"/>
          <w:numId w:val="16"/>
        </w:numPr>
        <w:spacing w:after="120" w:line="259" w:lineRule="auto"/>
        <w:ind w:right="208" w:hanging="731"/>
      </w:pPr>
      <w:r>
        <w:rPr>
          <w:i/>
        </w:rPr>
        <w:t>данные инструментальных исследований;</w:t>
      </w:r>
    </w:p>
    <w:p w:rsidR="00C3791F" w:rsidRDefault="00AE1F83">
      <w:pPr>
        <w:numPr>
          <w:ilvl w:val="0"/>
          <w:numId w:val="16"/>
        </w:numPr>
        <w:spacing w:after="120" w:line="259" w:lineRule="auto"/>
        <w:ind w:right="208" w:hanging="731"/>
      </w:pPr>
      <w:r>
        <w:rPr>
          <w:i/>
        </w:rPr>
        <w:t>данные</w:t>
      </w:r>
      <w:r>
        <w:rPr>
          <w:i/>
        </w:rPr>
        <w:tab/>
        <w:t xml:space="preserve"> </w:t>
      </w:r>
      <w:r>
        <w:rPr>
          <w:i/>
        </w:rPr>
        <w:tab/>
        <w:t>патологоанатомического</w:t>
      </w:r>
      <w:r>
        <w:rPr>
          <w:i/>
        </w:rPr>
        <w:tab/>
        <w:t xml:space="preserve"> </w:t>
      </w:r>
      <w:r>
        <w:rPr>
          <w:i/>
        </w:rPr>
        <w:tab/>
        <w:t>исследования</w:t>
      </w:r>
      <w:r>
        <w:rPr>
          <w:i/>
        </w:rPr>
        <w:tab/>
        <w:t xml:space="preserve"> </w:t>
      </w:r>
      <w:r>
        <w:rPr>
          <w:i/>
        </w:rPr>
        <w:tab/>
        <w:t xml:space="preserve">биопсийного </w:t>
      </w:r>
    </w:p>
    <w:p w:rsidR="00C3791F" w:rsidRDefault="00AE1F83">
      <w:pPr>
        <w:spacing w:after="114" w:line="259" w:lineRule="auto"/>
        <w:ind w:left="127" w:right="208" w:firstLine="0"/>
      </w:pPr>
      <w:r>
        <w:rPr>
          <w:i/>
        </w:rPr>
        <w:t>(операционного) материала.</w:t>
      </w:r>
    </w:p>
    <w:p w:rsidR="00C3791F" w:rsidRDefault="00AE1F83">
      <w:pPr>
        <w:spacing w:after="114" w:line="259" w:lineRule="auto"/>
        <w:ind w:left="851" w:right="208" w:firstLine="0"/>
      </w:pPr>
      <w:r>
        <w:rPr>
          <w:i/>
        </w:rPr>
        <w:t>Клинический диагноз основан на результатах обследования:</w:t>
      </w:r>
    </w:p>
    <w:p w:rsidR="00C3791F" w:rsidRDefault="00AE1F83">
      <w:pPr>
        <w:numPr>
          <w:ilvl w:val="0"/>
          <w:numId w:val="17"/>
        </w:numPr>
        <w:spacing w:line="359" w:lineRule="auto"/>
        <w:ind w:right="208" w:firstLine="710"/>
      </w:pPr>
      <w:r>
        <w:rPr>
          <w:i/>
        </w:rPr>
        <w:t>обнаружения новообразования почки, накапливающего контрастный препарат, с использованием методов инструментального обследования;</w:t>
      </w:r>
    </w:p>
    <w:p w:rsidR="00C3791F" w:rsidRDefault="00AE1F83">
      <w:pPr>
        <w:numPr>
          <w:ilvl w:val="0"/>
          <w:numId w:val="17"/>
        </w:numPr>
        <w:spacing w:line="359" w:lineRule="auto"/>
        <w:ind w:right="208" w:firstLine="710"/>
      </w:pPr>
      <w:r>
        <w:rPr>
          <w:i/>
        </w:rPr>
        <w:t xml:space="preserve">верификации злокачественного новообразования по данным заключения </w:t>
      </w:r>
      <w:r>
        <w:rPr>
          <w:i/>
        </w:rPr>
        <w:t>патологоанатомического исследования биопсийного и/или операционного материала опухоли.</w:t>
      </w:r>
    </w:p>
    <w:p w:rsidR="00C3791F" w:rsidRDefault="00AE1F83">
      <w:pPr>
        <w:spacing w:after="452" w:line="359" w:lineRule="auto"/>
        <w:ind w:left="127" w:right="208" w:firstLine="710"/>
      </w:pPr>
      <w:r>
        <w:rPr>
          <w:i/>
        </w:rPr>
        <w:t>У пациентов с выявленными солидными новообразованиями почки, накапливающими контрастный препарат при оптимальном лучевом исследовании (компьютерная томография (КТ) с кон</w:t>
      </w:r>
      <w:r>
        <w:rPr>
          <w:i/>
        </w:rPr>
        <w:t>трастированием и/или магнитно-резонансная томография (МРТ) с контрастированием), хирургическое лечение возможно и при отсутствии морфологической верификации [16].</w:t>
      </w:r>
    </w:p>
    <w:p w:rsidR="00C3791F" w:rsidRDefault="00AE1F83">
      <w:pPr>
        <w:numPr>
          <w:ilvl w:val="1"/>
          <w:numId w:val="17"/>
        </w:numPr>
        <w:spacing w:after="272" w:line="265" w:lineRule="auto"/>
        <w:ind w:hanging="420"/>
      </w:pPr>
      <w:r>
        <w:rPr>
          <w:b/>
        </w:rPr>
        <w:t>Жалобы и анамнез</w:t>
      </w:r>
    </w:p>
    <w:p w:rsidR="00C3791F" w:rsidRDefault="00AE1F83">
      <w:pPr>
        <w:numPr>
          <w:ilvl w:val="2"/>
          <w:numId w:val="17"/>
        </w:numPr>
        <w:ind w:right="189" w:hanging="357"/>
      </w:pPr>
      <w:r>
        <w:rPr>
          <w:b/>
        </w:rPr>
        <w:t>Рекомендуется</w:t>
      </w:r>
      <w:r>
        <w:t xml:space="preserve"> тщательный сбор жалоб и анамнеза у пациента при подозрении на </w:t>
      </w:r>
      <w:r>
        <w:t>злокачественное новообразование почек с целью выявления факторов, которые могут повлиять на выбор тактики лечения, методов диагностики и вторичной профилактики [17‒20].</w:t>
      </w:r>
    </w:p>
    <w:p w:rsidR="00C3791F" w:rsidRDefault="00AE1F83">
      <w:pPr>
        <w:spacing w:after="108" w:line="265" w:lineRule="auto"/>
        <w:ind w:left="137"/>
      </w:pPr>
      <w:r>
        <w:rPr>
          <w:b/>
        </w:rPr>
        <w:t xml:space="preserve">Уровень убедительности рекомендаций ‒ С (уровень достоверности доказательств – </w:t>
      </w:r>
    </w:p>
    <w:p w:rsidR="00C3791F" w:rsidRDefault="00AE1F83">
      <w:pPr>
        <w:spacing w:after="108" w:line="265" w:lineRule="auto"/>
        <w:ind w:left="137"/>
      </w:pPr>
      <w:r>
        <w:rPr>
          <w:b/>
        </w:rPr>
        <w:t>4).</w:t>
      </w:r>
    </w:p>
    <w:p w:rsidR="00C3791F" w:rsidRDefault="00AE1F83">
      <w:pPr>
        <w:spacing w:after="452" w:line="359" w:lineRule="auto"/>
        <w:ind w:left="137" w:right="208"/>
      </w:pPr>
      <w:r>
        <w:rPr>
          <w:b/>
          <w:i/>
        </w:rPr>
        <w:t>Ком</w:t>
      </w:r>
      <w:r>
        <w:rPr>
          <w:b/>
          <w:i/>
        </w:rPr>
        <w:t>ментарий:</w:t>
      </w:r>
      <w:r>
        <w:rPr>
          <w:b/>
        </w:rPr>
        <w:t xml:space="preserve"> </w:t>
      </w:r>
      <w:r>
        <w:rPr>
          <w:i/>
        </w:rPr>
        <w:t>на ранних стадиях рак паренхимы почки не вызывает жалоб у пациентов. По мере развития опухолевого процесса возможно появление жалоб на наличие опухоли в животе, самостоятельно обнаруженной пациентом, примеси крови в моче, боли в пояснице, АГ, пов</w:t>
      </w:r>
      <w:r>
        <w:rPr>
          <w:i/>
        </w:rPr>
        <w:t>ышения температуры тела, отеков нижних конечностей, сети вен под кожей живота, а у мужчин ‒ подкожных вен мошонки, а также кашля, кровохарканья, одышки, боли в костях, переломов костей, головной боли, неврологических нарушений. Пациенты с впервые выявленны</w:t>
      </w:r>
      <w:r>
        <w:rPr>
          <w:i/>
        </w:rPr>
        <w:t>ми распространенными формами рака паренхимы почки могут указывать на длительный (более 1 года) анамнез подобных жалоб.</w:t>
      </w:r>
    </w:p>
    <w:p w:rsidR="00C3791F" w:rsidRDefault="00AE1F83">
      <w:pPr>
        <w:numPr>
          <w:ilvl w:val="1"/>
          <w:numId w:val="17"/>
        </w:numPr>
        <w:spacing w:after="272" w:line="265" w:lineRule="auto"/>
        <w:ind w:hanging="420"/>
      </w:pPr>
      <w:r>
        <w:rPr>
          <w:b/>
        </w:rPr>
        <w:t>Физикальное обследование</w:t>
      </w:r>
    </w:p>
    <w:p w:rsidR="00C3791F" w:rsidRDefault="00AE1F83">
      <w:pPr>
        <w:numPr>
          <w:ilvl w:val="2"/>
          <w:numId w:val="17"/>
        </w:numPr>
        <w:ind w:right="189" w:hanging="357"/>
      </w:pPr>
      <w:r>
        <w:rPr>
          <w:b/>
        </w:rPr>
        <w:t>Рекомендуется</w:t>
      </w:r>
      <w:r>
        <w:t xml:space="preserve"> тщательное физикальное обследование пациента, включающее измерение температуры тела, артериального</w:t>
      </w:r>
      <w:r>
        <w:t xml:space="preserve"> давления на периферических артериях, оценку состояния подкожных вен передней брюшной стенки, мошонки (у мужчин) и нижних конечностей, наличия отеков нижних конечностей, состояния периферических ЛУ, наличия пальпируемой опухоли в проекции почки (с оценкой </w:t>
      </w:r>
      <w:r>
        <w:t>ее консистенции, болезненности и подвижности) с целью выявления факторов, которые могут повлиять на выбор тактики лечения, методов диагностики и вторичной профилактики [17‒20].</w:t>
      </w:r>
    </w:p>
    <w:p w:rsidR="00C3791F" w:rsidRDefault="00AE1F83">
      <w:pPr>
        <w:spacing w:after="108" w:line="265" w:lineRule="auto"/>
        <w:ind w:left="137"/>
      </w:pPr>
      <w:r>
        <w:rPr>
          <w:b/>
        </w:rPr>
        <w:t xml:space="preserve">Уровень убедительности рекомендаций ‒ C (уровень достоверности доказательств – </w:t>
      </w:r>
    </w:p>
    <w:p w:rsidR="00C3791F" w:rsidRDefault="00AE1F83">
      <w:pPr>
        <w:spacing w:after="562" w:line="265" w:lineRule="auto"/>
        <w:ind w:left="137"/>
      </w:pPr>
      <w:r>
        <w:rPr>
          <w:b/>
        </w:rPr>
        <w:t>4).</w:t>
      </w:r>
    </w:p>
    <w:p w:rsidR="00C3791F" w:rsidRDefault="00AE1F83">
      <w:pPr>
        <w:numPr>
          <w:ilvl w:val="1"/>
          <w:numId w:val="17"/>
        </w:numPr>
        <w:spacing w:after="272" w:line="265" w:lineRule="auto"/>
        <w:ind w:hanging="420"/>
      </w:pPr>
      <w:r>
        <w:rPr>
          <w:b/>
        </w:rPr>
        <w:t>Лабораторные диагностические исследования</w:t>
      </w:r>
    </w:p>
    <w:p w:rsidR="00C3791F" w:rsidRDefault="00AE1F83">
      <w:pPr>
        <w:numPr>
          <w:ilvl w:val="2"/>
          <w:numId w:val="17"/>
        </w:numPr>
        <w:ind w:right="189" w:hanging="357"/>
      </w:pPr>
      <w:r>
        <w:rPr>
          <w:b/>
        </w:rPr>
        <w:t>Рекомендуется</w:t>
      </w:r>
      <w:r>
        <w:t xml:space="preserve"> всем пациентам при подозрении на злокачественное новообразование почек выполнить общий (клинический) анализ крови развернутый, анализ крови биохимический общетерапевтический, включающие исследова</w:t>
      </w:r>
      <w:r>
        <w:t>ние уровня общего гемоглобина, лейкоцитов, нейтрофилов, тромбоцитов, исследование скорости оседания эритроцитов в крови, исследование уровня креатинина, мочевины, общего белка, альбумина, общего билирубина, калия и общего кальция, определение активности ла</w:t>
      </w:r>
      <w:r>
        <w:t>ктатдегидрогеназы, аланинаминотрансферазы (АЛТ), аспартатаминотрансферазы (АСТ), щелочной фосфатазы в крови, с целью выявления факторов, которые могут повлиять на выбор методов диагностики, тактики лечения и вторичной профилактики [21–23].</w:t>
      </w:r>
    </w:p>
    <w:p w:rsidR="00C3791F" w:rsidRDefault="00AE1F83">
      <w:pPr>
        <w:spacing w:line="357" w:lineRule="auto"/>
        <w:ind w:left="127" w:firstLine="709"/>
      </w:pPr>
      <w:r>
        <w:rPr>
          <w:b/>
        </w:rPr>
        <w:t>Уровень убедител</w:t>
      </w:r>
      <w:r>
        <w:rPr>
          <w:b/>
        </w:rPr>
        <w:t>ьности рекомендаций ‒ С (уровень достоверности доказательств – 4).</w:t>
      </w:r>
    </w:p>
    <w:p w:rsidR="00C3791F" w:rsidRDefault="00AE1F83">
      <w:pPr>
        <w:spacing w:line="359" w:lineRule="auto"/>
        <w:ind w:left="137" w:right="208"/>
      </w:pPr>
      <w:r>
        <w:rPr>
          <w:b/>
          <w:i/>
        </w:rPr>
        <w:t>Комментарий:</w:t>
      </w:r>
      <w:r>
        <w:rPr>
          <w:b/>
        </w:rPr>
        <w:t xml:space="preserve"> </w:t>
      </w:r>
      <w:r>
        <w:rPr>
          <w:i/>
        </w:rPr>
        <w:t xml:space="preserve">наиболее распространенные лабораторные отклонения от нормальных значений в общем клиническом анализе крови – снижение уровня гемоглобина (вследствие </w:t>
      </w:r>
      <w:r>
        <w:rPr>
          <w:i/>
        </w:rPr>
        <w:t>гематурии и/или паранеопластического токсико-анемического синдрома), повышение уровней эритроцитов, лейкоцитов, чаще всего за счет увеличения уровня нейтрофилов, тромбоцитов, увеличение скорости оседания эритроцитов (вследствие паранеопластического синдром</w:t>
      </w:r>
      <w:r>
        <w:rPr>
          <w:i/>
        </w:rPr>
        <w:t>а, ассоциированного с ПКР).</w:t>
      </w:r>
    </w:p>
    <w:p w:rsidR="00C3791F" w:rsidRDefault="00AE1F83">
      <w:pPr>
        <w:spacing w:after="163" w:line="359" w:lineRule="auto"/>
        <w:ind w:left="137" w:right="208"/>
      </w:pPr>
      <w:r>
        <w:rPr>
          <w:i/>
        </w:rPr>
        <w:t xml:space="preserve">Наиболее распространенные лабораторные отклонения от нормальных значений в общетерапевтическом биохимическом анализе крови – повышение уровней креатинина, мочевины, калия (вследствие снижения почечной функции за счет уменьшения </w:t>
      </w:r>
      <w:r>
        <w:rPr>
          <w:i/>
        </w:rPr>
        <w:t>объема функционирующей паренхимы при ПКР или опухолевого блока контралатеральной почечной вены), повышение уровней АЛТ, АСТ, билирубина преимущественно за счет непрямой фракции (вследствие наличия опухолевого блока главных печеночных вен или развития метас</w:t>
      </w:r>
      <w:r>
        <w:rPr>
          <w:i/>
        </w:rPr>
        <w:t xml:space="preserve">тазов в печени), повышение уровня щелочной фосфатазы (вследствие развития метастазов в печени или костях), снижение уровня общего белка, альбумина (вследствие опухолевого катаболизма). </w:t>
      </w:r>
    </w:p>
    <w:p w:rsidR="00C3791F" w:rsidRDefault="00AE1F83">
      <w:pPr>
        <w:numPr>
          <w:ilvl w:val="2"/>
          <w:numId w:val="17"/>
        </w:numPr>
        <w:ind w:right="189" w:hanging="357"/>
      </w:pPr>
      <w:r>
        <w:rPr>
          <w:b/>
        </w:rPr>
        <w:t>Рекомендуется</w:t>
      </w:r>
      <w:r>
        <w:t xml:space="preserve"> всем пациентам при подозрении на злокачественное новообр</w:t>
      </w:r>
      <w:r>
        <w:t xml:space="preserve">азование почек выполнить коагулограмму (ориентировочное исследование системы гемостаза): определение уровня </w:t>
      </w:r>
      <w:hyperlink r:id="rId7">
        <w:r>
          <w:t>протромбина,</w:t>
        </w:r>
      </w:hyperlink>
      <w:r>
        <w:t xml:space="preserve"> </w:t>
      </w:r>
      <w:hyperlink r:id="rId8">
        <w:r>
          <w:t>протромбинового времени, международного нормализованного отношения,</w:t>
        </w:r>
      </w:hyperlink>
      <w:r>
        <w:t xml:space="preserve"> активированного частичного тромбопластинового времени и фибриногена, D-димера с целью выявления факторов, которые мог</w:t>
      </w:r>
      <w:r>
        <w:t>ут повлиять на выбор тактики лечения, методов диагностики и вторичной профилактики [24].</w:t>
      </w:r>
    </w:p>
    <w:p w:rsidR="00C3791F" w:rsidRDefault="00AE1F83">
      <w:pPr>
        <w:spacing w:after="164" w:line="357" w:lineRule="auto"/>
        <w:ind w:left="127" w:firstLine="709"/>
      </w:pPr>
      <w:r>
        <w:rPr>
          <w:b/>
        </w:rPr>
        <w:t>Уровень убедительности рекомендаций ‒ В (уровень достоверности доказательств – 3).</w:t>
      </w:r>
    </w:p>
    <w:p w:rsidR="00C3791F" w:rsidRDefault="00AE1F83">
      <w:pPr>
        <w:numPr>
          <w:ilvl w:val="2"/>
          <w:numId w:val="17"/>
        </w:numPr>
        <w:ind w:right="189" w:hanging="357"/>
      </w:pPr>
      <w:r>
        <w:t>У пациентов с генерализованным ПКР</w:t>
      </w:r>
      <w:r>
        <w:rPr>
          <w:b/>
        </w:rPr>
        <w:t xml:space="preserve"> рекомендуется</w:t>
      </w:r>
      <w:r>
        <w:t xml:space="preserve"> исследование уровня нейтрофилов и т</w:t>
      </w:r>
      <w:r>
        <w:t>ромбоцитов в крови с целью определения группы прогноза и выбора тактики лечения, так как они являются предикторами клинического исхода заболевания [14, 15, 25, 26].</w:t>
      </w:r>
    </w:p>
    <w:p w:rsidR="00C3791F" w:rsidRDefault="00AE1F83">
      <w:pPr>
        <w:spacing w:after="164" w:line="357" w:lineRule="auto"/>
        <w:ind w:left="127" w:firstLine="709"/>
      </w:pPr>
      <w:r>
        <w:rPr>
          <w:b/>
        </w:rPr>
        <w:t>Уровень убедительности рекомендаций ‒ А (уровень достоверности доказательств – 2).</w:t>
      </w:r>
    </w:p>
    <w:p w:rsidR="00C3791F" w:rsidRDefault="00AE1F83">
      <w:pPr>
        <w:numPr>
          <w:ilvl w:val="2"/>
          <w:numId w:val="17"/>
        </w:numPr>
        <w:ind w:right="189" w:hanging="357"/>
      </w:pPr>
      <w:r>
        <w:t>У пациен</w:t>
      </w:r>
      <w:r>
        <w:t>тов с генерализованным ПКР</w:t>
      </w:r>
      <w:r>
        <w:rPr>
          <w:b/>
        </w:rPr>
        <w:t xml:space="preserve"> рекомендуется</w:t>
      </w:r>
      <w:r>
        <w:rPr>
          <w:i/>
        </w:rPr>
        <w:t xml:space="preserve"> </w:t>
      </w:r>
      <w:r>
        <w:t>исследование уровня альбумина, уровня ионизированного кальция и общего кальция в крови для определения группы прогноза и выбора тактики лечения [14, 15, 21–23, 27].</w:t>
      </w:r>
    </w:p>
    <w:p w:rsidR="00C3791F" w:rsidRDefault="00AE1F83">
      <w:pPr>
        <w:spacing w:after="164" w:line="357" w:lineRule="auto"/>
        <w:ind w:left="127" w:firstLine="709"/>
      </w:pPr>
      <w:r>
        <w:rPr>
          <w:b/>
        </w:rPr>
        <w:t>Уровень убедительности рекомендаций ‒ С (уровень д</w:t>
      </w:r>
      <w:r>
        <w:rPr>
          <w:b/>
        </w:rPr>
        <w:t>остоверности доказательств – 4).</w:t>
      </w:r>
    </w:p>
    <w:p w:rsidR="00C3791F" w:rsidRDefault="00AE1F83">
      <w:pPr>
        <w:numPr>
          <w:ilvl w:val="2"/>
          <w:numId w:val="17"/>
        </w:numPr>
        <w:ind w:right="189" w:hanging="357"/>
      </w:pPr>
      <w:r>
        <w:rPr>
          <w:b/>
        </w:rPr>
        <w:t>Рекомендуется</w:t>
      </w:r>
      <w:r>
        <w:t xml:space="preserve"> всем пациентам при подозрении на злокачественное новообразование почек выполнить общий клинический анализ мочи с целью выявления факторов, которые могут повлиять на выбор тактики лечения [28– 29].</w:t>
      </w:r>
    </w:p>
    <w:p w:rsidR="00C3791F" w:rsidRDefault="00AE1F83">
      <w:pPr>
        <w:spacing w:line="357" w:lineRule="auto"/>
        <w:ind w:left="127" w:firstLine="709"/>
      </w:pPr>
      <w:r>
        <w:rPr>
          <w:b/>
        </w:rPr>
        <w:t>Уровень убед</w:t>
      </w:r>
      <w:r>
        <w:rPr>
          <w:b/>
        </w:rPr>
        <w:t>ительности рекомендаций ‒ A (уровень достоверности доказательств – 2).</w:t>
      </w:r>
    </w:p>
    <w:p w:rsidR="00C3791F" w:rsidRDefault="00AE1F83">
      <w:pPr>
        <w:spacing w:after="163" w:line="359" w:lineRule="auto"/>
        <w:ind w:left="127" w:right="208" w:firstLine="710"/>
      </w:pPr>
      <w:r>
        <w:rPr>
          <w:b/>
          <w:i/>
        </w:rPr>
        <w:t>Комментарий:</w:t>
      </w:r>
      <w:r>
        <w:rPr>
          <w:b/>
        </w:rPr>
        <w:t xml:space="preserve"> </w:t>
      </w:r>
      <w:r>
        <w:rPr>
          <w:i/>
        </w:rPr>
        <w:t>наиболее распространенные лабораторные отклонения от нормальных значений – эритроцитурия (вследствие кровотечения в просвет собирательной системы почки), протеинурия (вслед</w:t>
      </w:r>
      <w:r>
        <w:rPr>
          <w:i/>
        </w:rPr>
        <w:t>ствие гематурии, реже – амилоидоза как проявления паранеопластического синдрома, ассоциированного с ПКР).</w:t>
      </w:r>
    </w:p>
    <w:p w:rsidR="00C3791F" w:rsidRDefault="00AE1F83">
      <w:pPr>
        <w:numPr>
          <w:ilvl w:val="2"/>
          <w:numId w:val="17"/>
        </w:numPr>
        <w:ind w:right="189" w:hanging="357"/>
      </w:pPr>
      <w:r>
        <w:rPr>
          <w:b/>
        </w:rPr>
        <w:t>Рекомендуется</w:t>
      </w:r>
      <w:r>
        <w:rPr>
          <w:i/>
        </w:rPr>
        <w:t xml:space="preserve"> </w:t>
      </w:r>
      <w:r>
        <w:t>выполнение исследования мочи для выявления клеток опухоли (цитология) у пациентов с опухолью почки, имеющей инвазию в чашечно-лоханочную</w:t>
      </w:r>
      <w:r>
        <w:t xml:space="preserve"> систему и/или расположение в области ворот почки с целью дифференциальной диагностики с уротелиальной опухолью верхних мочевых путей [30].</w:t>
      </w:r>
    </w:p>
    <w:p w:rsidR="00C3791F" w:rsidRDefault="00AE1F83">
      <w:pPr>
        <w:spacing w:after="454" w:line="357" w:lineRule="auto"/>
        <w:ind w:left="127" w:firstLine="709"/>
      </w:pPr>
      <w:r>
        <w:rPr>
          <w:b/>
        </w:rPr>
        <w:t>Уровень убедительности рекомендаций ‒ B (уровень достоверности доказательств – 2).</w:t>
      </w:r>
    </w:p>
    <w:p w:rsidR="00C3791F" w:rsidRDefault="00AE1F83">
      <w:pPr>
        <w:numPr>
          <w:ilvl w:val="1"/>
          <w:numId w:val="17"/>
        </w:numPr>
        <w:spacing w:after="272" w:line="265" w:lineRule="auto"/>
        <w:ind w:hanging="420"/>
      </w:pPr>
      <w:r>
        <w:rPr>
          <w:b/>
        </w:rPr>
        <w:t xml:space="preserve">Инструментальные диагностические </w:t>
      </w:r>
      <w:r>
        <w:rPr>
          <w:b/>
        </w:rPr>
        <w:t xml:space="preserve">исследования </w:t>
      </w:r>
    </w:p>
    <w:p w:rsidR="00C3791F" w:rsidRDefault="00AE1F83">
      <w:pPr>
        <w:numPr>
          <w:ilvl w:val="2"/>
          <w:numId w:val="17"/>
        </w:numPr>
        <w:ind w:right="189" w:hanging="357"/>
      </w:pPr>
      <w:r>
        <w:rPr>
          <w:b/>
        </w:rPr>
        <w:t>Рекомендуется</w:t>
      </w:r>
      <w:r>
        <w:t xml:space="preserve"> всем пациентам при подозрении на ПКР выполнение ультразвукового исследования (УЗИ) органов брюшной полости (комплексное) и забрюшинного пространства в качестве скрининга ПКР [31, 32].</w:t>
      </w:r>
    </w:p>
    <w:p w:rsidR="00C3791F" w:rsidRDefault="00AE1F83">
      <w:pPr>
        <w:spacing w:line="357" w:lineRule="auto"/>
        <w:ind w:left="127" w:firstLine="709"/>
      </w:pPr>
      <w:r>
        <w:rPr>
          <w:b/>
        </w:rPr>
        <w:t>Уровень убедительности рекомендаций ‒ A (уро</w:t>
      </w:r>
      <w:r>
        <w:rPr>
          <w:b/>
        </w:rPr>
        <w:t>вень достоверности доказательств – 2).</w:t>
      </w:r>
    </w:p>
    <w:p w:rsidR="00C3791F" w:rsidRDefault="00AE1F83">
      <w:pPr>
        <w:spacing w:line="359" w:lineRule="auto"/>
        <w:ind w:left="127" w:right="208" w:firstLine="710"/>
      </w:pPr>
      <w:r>
        <w:rPr>
          <w:b/>
          <w:i/>
        </w:rPr>
        <w:t>Комментарий:</w:t>
      </w:r>
      <w:r>
        <w:rPr>
          <w:b/>
        </w:rPr>
        <w:t xml:space="preserve"> </w:t>
      </w:r>
      <w:r>
        <w:rPr>
          <w:i/>
        </w:rPr>
        <w:t>трансабдоминальное</w:t>
      </w:r>
      <w:r>
        <w:rPr>
          <w:b/>
          <w:i/>
        </w:rPr>
        <w:t xml:space="preserve"> </w:t>
      </w:r>
      <w:r>
        <w:rPr>
          <w:i/>
        </w:rPr>
        <w:t xml:space="preserve">УЗИ является скрининговым методом. УЗИ позволяет выявить объемное образование почки, провести дифференциальную </w:t>
      </w:r>
      <w:r>
        <w:rPr>
          <w:i/>
        </w:rPr>
        <w:t>диагностику между кистозным образованием и солидной опухолью, оценить состояние почечной вены, НПВ, зон регионарного метастазирования, второй почки, надпочечников, печени, поджелудочной железы. УЗИ имеет низкую специфичность, поэтому результаты исследовани</w:t>
      </w:r>
      <w:r>
        <w:rPr>
          <w:i/>
        </w:rPr>
        <w:t>я должны быть подтверждены с использованием метода КТ.</w:t>
      </w:r>
    </w:p>
    <w:p w:rsidR="00C3791F" w:rsidRDefault="00AE1F83">
      <w:pPr>
        <w:spacing w:line="359" w:lineRule="auto"/>
        <w:ind w:left="137" w:right="208"/>
      </w:pPr>
      <w:r>
        <w:rPr>
          <w:i/>
        </w:rPr>
        <w:t>Трансабдоминальное</w:t>
      </w:r>
      <w:r>
        <w:rPr>
          <w:b/>
          <w:i/>
        </w:rPr>
        <w:t xml:space="preserve"> </w:t>
      </w:r>
      <w:r>
        <w:rPr>
          <w:i/>
        </w:rPr>
        <w:t>УЗИ можно использовать для навигации при выполнении чрескожной биопсии опухоли почки.</w:t>
      </w:r>
    </w:p>
    <w:p w:rsidR="00C3791F" w:rsidRDefault="00AE1F83">
      <w:pPr>
        <w:spacing w:after="43" w:line="359" w:lineRule="auto"/>
        <w:ind w:left="127" w:right="208" w:firstLine="710"/>
      </w:pPr>
      <w:r>
        <w:rPr>
          <w:i/>
        </w:rPr>
        <w:t>Интраоперационное УЗИ может быть использовано для выявления интрапаренхиматозных опухолей, допол</w:t>
      </w:r>
      <w:r>
        <w:rPr>
          <w:i/>
        </w:rPr>
        <w:t>нительных опухолей при планировании органосохраняющего лечения (РП, аблация опухолей почки), опухолевых тромбов в сегментарных ветвях почечной вены.</w:t>
      </w:r>
    </w:p>
    <w:p w:rsidR="00C3791F" w:rsidRDefault="00AE1F83">
      <w:pPr>
        <w:numPr>
          <w:ilvl w:val="0"/>
          <w:numId w:val="18"/>
        </w:numPr>
        <w:ind w:right="189" w:hanging="360"/>
      </w:pPr>
      <w:r>
        <w:rPr>
          <w:b/>
        </w:rPr>
        <w:t>Рекомендуется</w:t>
      </w:r>
      <w:r>
        <w:t xml:space="preserve"> выполнение спиральной КТ органов брюшной полости и забрюшинного пространства (почек) с внутри</w:t>
      </w:r>
      <w:r>
        <w:t>венным (в/в) болюсным контрастированием, мультипланарной, и, при необходимости, – трехмерной реконструкцией изображений всем пациентам с опухолью почки. Контрастирование в/в следует проводить во всех случаях, если не выявлены противопоказания к введению йо</w:t>
      </w:r>
      <w:r>
        <w:t>дсодержащих контрастирующих препаратов. При выявлении противопоказаний к КТ с в/в контрастированием допускается заменить на МРТ органов брюшной полости и забрюшинного пространства с внутривенным контрастированием [32‒35].</w:t>
      </w:r>
    </w:p>
    <w:p w:rsidR="00C3791F" w:rsidRDefault="00AE1F83">
      <w:pPr>
        <w:spacing w:line="357" w:lineRule="auto"/>
        <w:ind w:left="127" w:firstLine="709"/>
      </w:pPr>
      <w:r>
        <w:rPr>
          <w:b/>
        </w:rPr>
        <w:t>Уровень убедительности рекомендаци</w:t>
      </w:r>
      <w:r>
        <w:rPr>
          <w:b/>
        </w:rPr>
        <w:t>й ‒ A (уровень достоверности доказательств ‒ 1).</w:t>
      </w:r>
    </w:p>
    <w:p w:rsidR="00C3791F" w:rsidRDefault="00AE1F83">
      <w:pPr>
        <w:spacing w:after="163" w:line="359" w:lineRule="auto"/>
        <w:ind w:left="127" w:right="208" w:firstLine="710"/>
      </w:pPr>
      <w:r>
        <w:rPr>
          <w:b/>
          <w:i/>
        </w:rPr>
        <w:t xml:space="preserve">Комментарий: </w:t>
      </w:r>
      <w:r>
        <w:rPr>
          <w:i/>
        </w:rPr>
        <w:t>КТ</w:t>
      </w:r>
      <w:r>
        <w:rPr>
          <w:b/>
          <w:i/>
        </w:rPr>
        <w:t xml:space="preserve"> – </w:t>
      </w:r>
      <w:r>
        <w:rPr>
          <w:i/>
        </w:rPr>
        <w:t>стандарт</w:t>
      </w:r>
      <w:r>
        <w:rPr>
          <w:b/>
          <w:i/>
        </w:rPr>
        <w:t xml:space="preserve"> </w:t>
      </w:r>
      <w:r>
        <w:rPr>
          <w:i/>
        </w:rPr>
        <w:t>диагностики</w:t>
      </w:r>
      <w:r>
        <w:rPr>
          <w:b/>
          <w:i/>
        </w:rPr>
        <w:t xml:space="preserve"> </w:t>
      </w:r>
      <w:r>
        <w:rPr>
          <w:i/>
        </w:rPr>
        <w:t>ПКР. КТ позволяет оценить локализацию, размеры, количество опухолей почки, их синтопию с внутрипочечными структурами и окружающими органами, выявить и определить характ</w:t>
      </w:r>
      <w:r>
        <w:rPr>
          <w:i/>
        </w:rPr>
        <w:t>еристики опухолевого венозного тромба, оценить состояние зон регионарного метастазирования, выявить метастатическое поражение органов брюшной полости. Рекомендуемая толщина реконструированного среза КТ должна составлять 1–3 мм. Новообразования почечной пар</w:t>
      </w:r>
      <w:r>
        <w:rPr>
          <w:i/>
        </w:rPr>
        <w:t>енхимы описываются как солидные или кистозные.</w:t>
      </w:r>
    </w:p>
    <w:p w:rsidR="00C3791F" w:rsidRDefault="00AE1F83">
      <w:pPr>
        <w:numPr>
          <w:ilvl w:val="0"/>
          <w:numId w:val="18"/>
        </w:numPr>
        <w:ind w:right="189" w:hanging="360"/>
      </w:pPr>
      <w:r>
        <w:rPr>
          <w:b/>
        </w:rPr>
        <w:t>Рекомендуется</w:t>
      </w:r>
      <w:r>
        <w:rPr>
          <w:i/>
        </w:rPr>
        <w:t xml:space="preserve"> </w:t>
      </w:r>
      <w:r>
        <w:t>все выявленные в рамках КТ и МРТ кистозные образования почек классифицировать по классификации Босняка (Bosniak classification) с целью стратификации риска наличия и развития злокачественных ново</w:t>
      </w:r>
      <w:r>
        <w:t>образований при кистозных образованиях почки [34, 36].</w:t>
      </w:r>
    </w:p>
    <w:p w:rsidR="00C3791F" w:rsidRDefault="00AE1F83">
      <w:pPr>
        <w:spacing w:line="357" w:lineRule="auto"/>
        <w:ind w:left="127" w:firstLine="709"/>
      </w:pPr>
      <w:r>
        <w:rPr>
          <w:b/>
        </w:rPr>
        <w:t>Уровень убедительности рекомендаций ‒ A (уровень достоверности доказательств – 1).</w:t>
      </w:r>
    </w:p>
    <w:p w:rsidR="00C3791F" w:rsidRDefault="00AE1F83">
      <w:pPr>
        <w:spacing w:after="238" w:line="359" w:lineRule="auto"/>
        <w:ind w:left="127" w:right="208" w:firstLine="710"/>
      </w:pPr>
      <w:r>
        <w:rPr>
          <w:b/>
          <w:i/>
        </w:rPr>
        <w:t xml:space="preserve">Комментарий: </w:t>
      </w:r>
      <w:r>
        <w:rPr>
          <w:i/>
        </w:rPr>
        <w:t>в классификации Босняка кистозные образования почки делят на 5 категорий в зависимости от данных КТ и МРТ</w:t>
      </w:r>
      <w:r>
        <w:rPr>
          <w:i/>
        </w:rPr>
        <w:t>, что позволяет оценить риск злокачественного перерождения. В этой классификации указывается также способ лечения в зависимости от категории кисты (табл. 2).</w:t>
      </w:r>
    </w:p>
    <w:p w:rsidR="00C3791F" w:rsidRDefault="00AE1F83">
      <w:pPr>
        <w:spacing w:line="259" w:lineRule="auto"/>
        <w:ind w:left="137" w:right="189"/>
      </w:pPr>
      <w:r>
        <w:rPr>
          <w:b/>
        </w:rPr>
        <w:t xml:space="preserve">Таблица 2. </w:t>
      </w:r>
      <w:r>
        <w:t>Классификация Босняка кистозных образований почки [36]</w:t>
      </w:r>
    </w:p>
    <w:tbl>
      <w:tblPr>
        <w:tblStyle w:val="TableGrid"/>
        <w:tblW w:w="9398" w:type="dxa"/>
        <w:tblInd w:w="151" w:type="dxa"/>
        <w:tblCellMar>
          <w:top w:w="14" w:type="dxa"/>
          <w:left w:w="109" w:type="dxa"/>
          <w:bottom w:w="0" w:type="dxa"/>
          <w:right w:w="73" w:type="dxa"/>
        </w:tblCellMar>
        <w:tblLook w:val="04A0" w:firstRow="1" w:lastRow="0" w:firstColumn="1" w:lastColumn="0" w:noHBand="0" w:noVBand="1"/>
      </w:tblPr>
      <w:tblGrid>
        <w:gridCol w:w="1418"/>
        <w:gridCol w:w="5526"/>
        <w:gridCol w:w="2454"/>
      </w:tblGrid>
      <w:tr w:rsidR="00C3791F">
        <w:trPr>
          <w:trHeight w:val="898"/>
        </w:trPr>
        <w:tc>
          <w:tcPr>
            <w:tcW w:w="141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38" w:lineRule="auto"/>
              <w:ind w:left="0" w:firstLine="0"/>
              <w:jc w:val="center"/>
            </w:pPr>
            <w:r>
              <w:rPr>
                <w:b/>
              </w:rPr>
              <w:t xml:space="preserve">Категория по </w:t>
            </w:r>
          </w:p>
          <w:p w:rsidR="00C3791F" w:rsidRDefault="00AE1F83">
            <w:pPr>
              <w:spacing w:after="0" w:line="259" w:lineRule="auto"/>
              <w:ind w:left="145" w:firstLine="0"/>
              <w:jc w:val="left"/>
            </w:pPr>
            <w:r>
              <w:rPr>
                <w:b/>
              </w:rPr>
              <w:t>Босняку</w:t>
            </w:r>
          </w:p>
        </w:tc>
        <w:tc>
          <w:tcPr>
            <w:tcW w:w="552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534" w:firstLine="0"/>
              <w:jc w:val="center"/>
            </w:pPr>
            <w:r>
              <w:rPr>
                <w:b/>
              </w:rPr>
              <w:t>Особенности</w:t>
            </w:r>
          </w:p>
        </w:tc>
        <w:tc>
          <w:tcPr>
            <w:tcW w:w="2454"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353" w:firstLine="201"/>
              <w:jc w:val="left"/>
            </w:pPr>
            <w:r>
              <w:rPr>
                <w:b/>
              </w:rPr>
              <w:t>Результат исследования</w:t>
            </w:r>
          </w:p>
        </w:tc>
      </w:tr>
      <w:tr w:rsidR="00C3791F">
        <w:trPr>
          <w:trHeight w:val="2222"/>
        </w:trPr>
        <w:tc>
          <w:tcPr>
            <w:tcW w:w="141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262" w:firstLine="0"/>
              <w:jc w:val="center"/>
            </w:pPr>
            <w:r>
              <w:t>I</w:t>
            </w:r>
          </w:p>
        </w:tc>
        <w:tc>
          <w:tcPr>
            <w:tcW w:w="552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74" w:lineRule="auto"/>
              <w:ind w:left="0" w:firstLine="0"/>
              <w:jc w:val="left"/>
            </w:pPr>
            <w:r>
              <w:t>Тонкая (толщина менее 2 мм) стенка, в структуре отсутствуют септы или солидный компонент, отсутствуют кальцинаты.</w:t>
            </w:r>
          </w:p>
          <w:p w:rsidR="00C3791F" w:rsidRDefault="00AE1F83">
            <w:pPr>
              <w:spacing w:after="17" w:line="259" w:lineRule="auto"/>
              <w:ind w:left="0" w:firstLine="0"/>
              <w:jc w:val="left"/>
            </w:pPr>
            <w:r>
              <w:t xml:space="preserve">Плотность/сигнальные характеристики </w:t>
            </w:r>
          </w:p>
          <w:p w:rsidR="00C3791F" w:rsidRDefault="00AE1F83">
            <w:pPr>
              <w:spacing w:after="0" w:line="259" w:lineRule="auto"/>
              <w:ind w:left="0" w:firstLine="0"/>
              <w:jc w:val="left"/>
            </w:pPr>
            <w:r>
              <w:t>содержимого соответствуют серозной жидкости (воде), отсутствует накопление контрастного вещества</w:t>
            </w:r>
          </w:p>
        </w:tc>
        <w:tc>
          <w:tcPr>
            <w:tcW w:w="2454"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firstLine="0"/>
              <w:jc w:val="left"/>
            </w:pPr>
            <w:r>
              <w:t xml:space="preserve">Простая доброкачественная киста </w:t>
            </w:r>
          </w:p>
        </w:tc>
      </w:tr>
      <w:tr w:rsidR="00C3791F">
        <w:trPr>
          <w:trHeight w:val="3806"/>
        </w:trPr>
        <w:tc>
          <w:tcPr>
            <w:tcW w:w="141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342" w:firstLine="0"/>
              <w:jc w:val="center"/>
            </w:pPr>
            <w:r>
              <w:t>II</w:t>
            </w:r>
          </w:p>
        </w:tc>
        <w:tc>
          <w:tcPr>
            <w:tcW w:w="552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right="153" w:firstLine="0"/>
              <w:jc w:val="left"/>
            </w:pPr>
            <w:r>
              <w:t>Киста четко очерченная, тонкая (толщина менее 2 мм) стенка, одиночные тонкие (толщиной менее 1 мм) септы, волосяной (неизмеримой) толщины или точечные кальцинаты в стенке или септах. Видимое, но неизмеримое накопление контрастного вещества стенкой или септ</w:t>
            </w:r>
            <w:r>
              <w:t>ами не накапливающие контрастное вещество кисты с содержимым несерозного характера размером менее 3 см, плотность/сигнальные характеристики соответствуют белковому/геморрагическому содержимому</w:t>
            </w:r>
          </w:p>
        </w:tc>
        <w:tc>
          <w:tcPr>
            <w:tcW w:w="2454"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firstLine="0"/>
              <w:jc w:val="left"/>
            </w:pPr>
            <w:r>
              <w:t>Доброкачественная, минимально осложненная киста</w:t>
            </w:r>
          </w:p>
        </w:tc>
      </w:tr>
      <w:tr w:rsidR="00C3791F">
        <w:trPr>
          <w:trHeight w:val="638"/>
        </w:trPr>
        <w:tc>
          <w:tcPr>
            <w:tcW w:w="141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475" w:firstLine="0"/>
              <w:jc w:val="center"/>
            </w:pPr>
            <w:r>
              <w:t>IIF</w:t>
            </w:r>
          </w:p>
        </w:tc>
        <w:tc>
          <w:tcPr>
            <w:tcW w:w="552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firstLine="0"/>
              <w:jc w:val="left"/>
            </w:pPr>
            <w:r>
              <w:t>Киста четк</w:t>
            </w:r>
            <w:r>
              <w:t xml:space="preserve">о очерченная, множественные тонкие (толщиной менее 1 мм) септы или минимально </w:t>
            </w:r>
          </w:p>
        </w:tc>
        <w:tc>
          <w:tcPr>
            <w:tcW w:w="2454"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firstLine="0"/>
              <w:jc w:val="left"/>
            </w:pPr>
            <w:r>
              <w:t>Минимально осложненная киста</w:t>
            </w:r>
          </w:p>
        </w:tc>
      </w:tr>
      <w:tr w:rsidR="00C3791F">
        <w:trPr>
          <w:trHeight w:val="3490"/>
        </w:trPr>
        <w:tc>
          <w:tcPr>
            <w:tcW w:w="1418" w:type="dxa"/>
            <w:tcBorders>
              <w:top w:val="single" w:sz="4" w:space="0" w:color="231F20"/>
              <w:left w:val="single" w:sz="4" w:space="0" w:color="231F20"/>
              <w:bottom w:val="single" w:sz="4" w:space="0" w:color="231F20"/>
              <w:right w:val="single" w:sz="4" w:space="0" w:color="231F20"/>
            </w:tcBorders>
          </w:tcPr>
          <w:p w:rsidR="00C3791F" w:rsidRDefault="00C3791F">
            <w:pPr>
              <w:spacing w:after="160" w:line="259" w:lineRule="auto"/>
              <w:ind w:left="0" w:firstLine="0"/>
              <w:jc w:val="left"/>
            </w:pPr>
          </w:p>
        </w:tc>
        <w:tc>
          <w:tcPr>
            <w:tcW w:w="552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74" w:lineRule="auto"/>
              <w:ind w:left="0" w:firstLine="0"/>
              <w:jc w:val="left"/>
            </w:pPr>
            <w:r>
              <w:t>утолщенные стенка или септы, нодулярные, линейные измеримой толщины кальцинаты в стенке или септах.</w:t>
            </w:r>
          </w:p>
          <w:p w:rsidR="00C3791F" w:rsidRDefault="00AE1F83">
            <w:pPr>
              <w:spacing w:after="0" w:line="259" w:lineRule="auto"/>
              <w:ind w:left="0" w:firstLine="0"/>
              <w:jc w:val="left"/>
            </w:pPr>
            <w:r>
              <w:t xml:space="preserve">Интраренально расположенные не накапливающие </w:t>
            </w:r>
            <w:r>
              <w:t>контрастное вещество кисты с содержимым несерозного характера размером более 3 см, плотность/сигнальные характеристики соответствуют белковому/геморрагическому содержимому. Видимое, но неизмеримое накопление контрастного вещества стенкой или септами</w:t>
            </w:r>
          </w:p>
        </w:tc>
        <w:tc>
          <w:tcPr>
            <w:tcW w:w="2454" w:type="dxa"/>
            <w:tcBorders>
              <w:top w:val="single" w:sz="4" w:space="0" w:color="231F20"/>
              <w:left w:val="single" w:sz="4" w:space="0" w:color="231F20"/>
              <w:bottom w:val="single" w:sz="4" w:space="0" w:color="231F20"/>
              <w:right w:val="single" w:sz="4" w:space="0" w:color="231F20"/>
            </w:tcBorders>
          </w:tcPr>
          <w:p w:rsidR="00C3791F" w:rsidRDefault="00C3791F">
            <w:pPr>
              <w:spacing w:after="160" w:line="259" w:lineRule="auto"/>
              <w:ind w:left="0" w:firstLine="0"/>
              <w:jc w:val="left"/>
            </w:pPr>
          </w:p>
        </w:tc>
      </w:tr>
      <w:tr w:rsidR="00C3791F">
        <w:trPr>
          <w:trHeight w:val="954"/>
        </w:trPr>
        <w:tc>
          <w:tcPr>
            <w:tcW w:w="141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439" w:firstLine="0"/>
              <w:jc w:val="center"/>
            </w:pPr>
            <w:r>
              <w:t>III</w:t>
            </w:r>
          </w:p>
        </w:tc>
        <w:tc>
          <w:tcPr>
            <w:tcW w:w="552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firstLine="0"/>
              <w:jc w:val="left"/>
            </w:pPr>
            <w:r>
              <w:t>Утолщенные ровные или неровные стенка и септы, накапливающие контрастное вещество (измеримое накопление контрастного вещества)</w:t>
            </w:r>
          </w:p>
        </w:tc>
        <w:tc>
          <w:tcPr>
            <w:tcW w:w="2454"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firstLine="0"/>
              <w:jc w:val="left"/>
            </w:pPr>
            <w:r>
              <w:t xml:space="preserve">Киста неопределенного характера </w:t>
            </w:r>
          </w:p>
        </w:tc>
      </w:tr>
      <w:tr w:rsidR="00C3791F">
        <w:trPr>
          <w:trHeight w:val="1272"/>
        </w:trPr>
        <w:tc>
          <w:tcPr>
            <w:tcW w:w="1418"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452" w:firstLine="0"/>
              <w:jc w:val="center"/>
            </w:pPr>
            <w:r>
              <w:t>IV</w:t>
            </w:r>
          </w:p>
        </w:tc>
        <w:tc>
          <w:tcPr>
            <w:tcW w:w="5526"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firstLine="0"/>
              <w:jc w:val="left"/>
            </w:pPr>
            <w:r>
              <w:t xml:space="preserve">Утолщенные ровные или неровные стенка и септы, </w:t>
            </w:r>
            <w:r>
              <w:t>солидный компонент, прилежащий к стенке и септам, накапливающие контрастное вещество (измеримое накопление контрастного вещества)</w:t>
            </w:r>
          </w:p>
        </w:tc>
        <w:tc>
          <w:tcPr>
            <w:tcW w:w="2454" w:type="dxa"/>
            <w:tcBorders>
              <w:top w:val="single" w:sz="4" w:space="0" w:color="231F20"/>
              <w:left w:val="single" w:sz="4" w:space="0" w:color="231F20"/>
              <w:bottom w:val="single" w:sz="4" w:space="0" w:color="231F20"/>
              <w:right w:val="single" w:sz="4" w:space="0" w:color="231F20"/>
            </w:tcBorders>
          </w:tcPr>
          <w:p w:rsidR="00C3791F" w:rsidRDefault="00AE1F83">
            <w:pPr>
              <w:spacing w:after="0" w:line="259" w:lineRule="auto"/>
              <w:ind w:left="0" w:firstLine="0"/>
              <w:jc w:val="left"/>
            </w:pPr>
            <w:r>
              <w:t>Киста определенно злокачественного характера</w:t>
            </w:r>
          </w:p>
        </w:tc>
      </w:tr>
    </w:tbl>
    <w:p w:rsidR="00C3791F" w:rsidRDefault="00AE1F83">
      <w:pPr>
        <w:spacing w:after="163" w:line="359" w:lineRule="auto"/>
        <w:ind w:left="127" w:right="208" w:firstLine="710"/>
      </w:pPr>
      <w:r>
        <w:rPr>
          <w:i/>
        </w:rPr>
        <w:t>Протокол мультидетекторной КТ включает нативную фазу, кортикомедуллярную фазу (ч</w:t>
      </w:r>
      <w:r>
        <w:rPr>
          <w:i/>
        </w:rPr>
        <w:t>ерез 40 с после начала введения контрастного препарата), нефрографическую фазу (через 90 с после начала введения контрастного препарата) и урографическую фазу (через 7 мин после введения контрастного препарата). Накопление контрастного вещества новообразов</w:t>
      </w:r>
      <w:r>
        <w:rPr>
          <w:i/>
        </w:rPr>
        <w:t xml:space="preserve">анием почки (по данным КТ градиент повышения плотности на фоне контрастного усиления &gt;15–20 единиц Хаунсфилда (HU)) считается наиболее значимым признаком, свидетельствующим о злокачественности новообразования почки; наиболее информативной в оценке степени </w:t>
      </w:r>
      <w:r>
        <w:rPr>
          <w:i/>
        </w:rPr>
        <w:t xml:space="preserve">накопления контрастного вещества является нефрографическая фаза. Кортикомедуллярная фаза используется для оценки артериальной системы, прежде всего количества почечных артерий и артерий, питающих новообразование. Урографическая фаза применяется для оценки </w:t>
      </w:r>
      <w:r>
        <w:rPr>
          <w:i/>
        </w:rPr>
        <w:t>синтопии опухоли и чашечно-лоханочной системы почки. Трехмерная КТ-реконструкция отображает анатомию сосудов почки, взаимоотношение почечной паренхимы и новообразования в привычном для врачей-хирургов формате, а также помогает планировать хирургический дос</w:t>
      </w:r>
      <w:r>
        <w:rPr>
          <w:i/>
        </w:rPr>
        <w:t>туп, объем и ход оперативного вмешательства.</w:t>
      </w:r>
    </w:p>
    <w:p w:rsidR="00C3791F" w:rsidRDefault="00AE1F83">
      <w:pPr>
        <w:numPr>
          <w:ilvl w:val="0"/>
          <w:numId w:val="19"/>
        </w:numPr>
        <w:ind w:right="189" w:hanging="357"/>
      </w:pPr>
      <w:r>
        <w:t>Пациентам с выявленными жидкостными опухолевыми образованиями в почках при наличии противопоказаний к выполнению КТ с контрастированием с целью дифференциальной диагностики кистозной формы ПКР от доброкачественн</w:t>
      </w:r>
      <w:r>
        <w:t xml:space="preserve">ых жидкостных образований </w:t>
      </w:r>
      <w:r>
        <w:rPr>
          <w:b/>
        </w:rPr>
        <w:t xml:space="preserve">рекомендуется </w:t>
      </w:r>
      <w:r>
        <w:t xml:space="preserve"> проведение МРТ органов забрюшинного пространства (почек) и органов брюшной полости с внутривенным контрастированием для дифференциальной диагностики кистозной формы ПКР от доброкачественных жидкостных образований, д</w:t>
      </w:r>
      <w:r>
        <w:t>иагностики и стадирования ПКР [32, 35, 37].</w:t>
      </w:r>
    </w:p>
    <w:p w:rsidR="00C3791F" w:rsidRDefault="00AE1F83">
      <w:pPr>
        <w:spacing w:after="287" w:line="259" w:lineRule="auto"/>
        <w:ind w:left="127"/>
        <w:jc w:val="left"/>
      </w:pPr>
      <w:r>
        <w:rPr>
          <w:b/>
          <w:sz w:val="22"/>
        </w:rPr>
        <w:t>Уровень убедительности рекомендаций ‒ А (уровень достоверности доказательств – 1).</w:t>
      </w:r>
    </w:p>
    <w:p w:rsidR="00C3791F" w:rsidRDefault="00AE1F83">
      <w:pPr>
        <w:numPr>
          <w:ilvl w:val="0"/>
          <w:numId w:val="19"/>
        </w:numPr>
        <w:ind w:right="189" w:hanging="357"/>
      </w:pPr>
      <w:r>
        <w:rPr>
          <w:b/>
        </w:rPr>
        <w:t>Рекомендуется</w:t>
      </w:r>
      <w:r>
        <w:t xml:space="preserve"> проведение эхокардиографии (ЭхоКГ) с целью уточнения локализации верхней границы тромба у пациентов с ПКР с опухоле</w:t>
      </w:r>
      <w:r>
        <w:t>вым венозным тромбозом, распространяющимся выше нижней границы печени [38–41].</w:t>
      </w:r>
    </w:p>
    <w:p w:rsidR="00C3791F" w:rsidRDefault="00AE1F83">
      <w:pPr>
        <w:spacing w:after="123" w:line="259" w:lineRule="auto"/>
        <w:ind w:left="127"/>
        <w:jc w:val="left"/>
      </w:pPr>
      <w:r>
        <w:rPr>
          <w:b/>
          <w:sz w:val="22"/>
        </w:rPr>
        <w:t>Уровень убедительности рекомендаций ‒ С</w:t>
      </w:r>
      <w:r>
        <w:rPr>
          <w:sz w:val="22"/>
        </w:rPr>
        <w:t xml:space="preserve"> </w:t>
      </w:r>
      <w:r>
        <w:rPr>
          <w:b/>
          <w:sz w:val="22"/>
        </w:rPr>
        <w:t>(уровень достоверности доказательств – 4).</w:t>
      </w:r>
    </w:p>
    <w:p w:rsidR="00C3791F" w:rsidRDefault="00AE1F83">
      <w:pPr>
        <w:spacing w:after="163" w:line="359" w:lineRule="auto"/>
        <w:ind w:left="127" w:right="208" w:firstLine="710"/>
      </w:pPr>
      <w:r>
        <w:rPr>
          <w:b/>
          <w:i/>
        </w:rPr>
        <w:t xml:space="preserve">Комментарий: </w:t>
      </w:r>
      <w:r>
        <w:rPr>
          <w:i/>
        </w:rPr>
        <w:t xml:space="preserve">при наличии головки тромба в просвете правых камер сердца </w:t>
      </w:r>
      <w:r>
        <w:rPr>
          <w:i/>
        </w:rPr>
        <w:t>оценивают размер внутрисердечного компонента опухоли, его плотность, фиксацию к эндокарду, пролабирование из правого предсердия в правый желудочек, наличие неопухолевого, сосудистого компонента тромба.</w:t>
      </w:r>
    </w:p>
    <w:p w:rsidR="00C3791F" w:rsidRDefault="00AE1F83">
      <w:pPr>
        <w:numPr>
          <w:ilvl w:val="0"/>
          <w:numId w:val="19"/>
        </w:numPr>
        <w:ind w:right="189" w:hanging="357"/>
      </w:pPr>
      <w:r>
        <w:t>Пациентам с ПКР при наличии наддиафрагмального опухоле</w:t>
      </w:r>
      <w:r>
        <w:t xml:space="preserve">вого тромбоза НПВ для улучшения визуализации верхней границы тромба на этапах выполнения тромбэктомии </w:t>
      </w:r>
      <w:r>
        <w:rPr>
          <w:b/>
        </w:rPr>
        <w:t>рекомендуется</w:t>
      </w:r>
      <w:r>
        <w:t xml:space="preserve"> проведение интраоперационной чреспищеводной ЭхоКГ [39‒41].</w:t>
      </w:r>
    </w:p>
    <w:p w:rsidR="00C3791F" w:rsidRDefault="00AE1F83">
      <w:pPr>
        <w:spacing w:after="273" w:line="265" w:lineRule="auto"/>
        <w:ind w:left="137"/>
      </w:pPr>
      <w:r>
        <w:rPr>
          <w:b/>
          <w:sz w:val="22"/>
        </w:rPr>
        <w:t xml:space="preserve">Уровень убедительности </w:t>
      </w:r>
      <w:r>
        <w:rPr>
          <w:b/>
        </w:rPr>
        <w:t>рекомендаций ‒ С (уровень достоверности доказательств – 4)</w:t>
      </w:r>
      <w:r>
        <w:rPr>
          <w:b/>
        </w:rPr>
        <w:t>.</w:t>
      </w:r>
    </w:p>
    <w:p w:rsidR="00C3791F" w:rsidRDefault="00AE1F83">
      <w:pPr>
        <w:numPr>
          <w:ilvl w:val="0"/>
          <w:numId w:val="19"/>
        </w:numPr>
        <w:ind w:right="189" w:hanging="357"/>
      </w:pPr>
      <w:r>
        <w:t xml:space="preserve">Пациентам с подтвержденным диагнозом ПКР стадии ≥cT1b и/или cN1 и/или имеющих общие симптомы заболевания, и/или с выявленной анемией и тромбоцитозом </w:t>
      </w:r>
      <w:r>
        <w:rPr>
          <w:b/>
        </w:rPr>
        <w:t>рекомендуется</w:t>
      </w:r>
      <w:r>
        <w:t xml:space="preserve"> проведение КТ органов грудной клетки (в ряде случаев с в/в болюсным контрастированием) с це</w:t>
      </w:r>
      <w:r>
        <w:t xml:space="preserve">лью оценки состояния органов грудной клетки и исключения метастатического поражения [42–46]. </w:t>
      </w:r>
    </w:p>
    <w:p w:rsidR="00C3791F" w:rsidRDefault="00AE1F83">
      <w:pPr>
        <w:spacing w:after="123" w:line="259" w:lineRule="auto"/>
        <w:ind w:left="127"/>
        <w:jc w:val="left"/>
      </w:pPr>
      <w:r>
        <w:rPr>
          <w:b/>
          <w:sz w:val="22"/>
        </w:rPr>
        <w:t>Уровень убедительности рекомендаций ‒ B (уровень достоверности доказательств – 1).</w:t>
      </w:r>
    </w:p>
    <w:p w:rsidR="00C3791F" w:rsidRDefault="00AE1F83">
      <w:pPr>
        <w:spacing w:line="359" w:lineRule="auto"/>
        <w:ind w:left="127" w:right="208" w:firstLine="710"/>
      </w:pPr>
      <w:r>
        <w:rPr>
          <w:b/>
          <w:i/>
        </w:rPr>
        <w:t xml:space="preserve">Комментарий: </w:t>
      </w:r>
      <w:r>
        <w:rPr>
          <w:i/>
        </w:rPr>
        <w:t>у пациентов с ПКР стадии cT1a, cN0, не имеющих общих симптомов заб</w:t>
      </w:r>
      <w:r>
        <w:rPr>
          <w:i/>
        </w:rPr>
        <w:t>олевания, без анемии и тромбоцитоза рекомендуется ограничиться рентгенографией органов грудной клетки.</w:t>
      </w:r>
    </w:p>
    <w:p w:rsidR="00C3791F" w:rsidRDefault="00AE1F83">
      <w:pPr>
        <w:spacing w:after="39" w:line="359" w:lineRule="auto"/>
        <w:ind w:left="127" w:right="208" w:firstLine="710"/>
      </w:pPr>
      <w:r>
        <w:rPr>
          <w:i/>
        </w:rPr>
        <w:t>Допускается заменить КТ органов грудной клетки на рентгенографию органов грудной клетки, если оптимальный вариант лучевой диагностики не может быть прове</w:t>
      </w:r>
      <w:r>
        <w:rPr>
          <w:i/>
        </w:rPr>
        <w:t xml:space="preserve">ден в течение 4 нед после установления диагноза. </w:t>
      </w:r>
    </w:p>
    <w:p w:rsidR="00C3791F" w:rsidRDefault="00AE1F83">
      <w:pPr>
        <w:spacing w:after="163" w:line="359" w:lineRule="auto"/>
        <w:ind w:left="127" w:right="208" w:firstLine="710"/>
      </w:pPr>
      <w:r>
        <w:rPr>
          <w:i/>
        </w:rPr>
        <w:t xml:space="preserve">КТ органов грудной клетки ‒ стандартный метод оценки состояния легких, плевры, а при использовании в/в контрастирования ‒ внутригрудных ЛУ и сосудов. КТ позволяет </w:t>
      </w:r>
      <w:r>
        <w:rPr>
          <w:i/>
        </w:rPr>
        <w:t>выявить опухолевое поражение легочной паренхимы, плевры, определить наличие плеврального выпота и тромбоэмболов в просвете ветвей легочных артерий после состоявшейся тромбоэмболии фрагментами опухолевого венозного тромба. Диагностическая точность рентгеног</w:t>
      </w:r>
      <w:r>
        <w:rPr>
          <w:i/>
        </w:rPr>
        <w:t>рафии органов грудной клетки ниже, чем КТ органов грудной клетки.</w:t>
      </w:r>
    </w:p>
    <w:p w:rsidR="00C3791F" w:rsidRDefault="00AE1F83">
      <w:pPr>
        <w:numPr>
          <w:ilvl w:val="0"/>
          <w:numId w:val="20"/>
        </w:numPr>
        <w:ind w:right="189" w:hanging="360"/>
      </w:pPr>
      <w:r>
        <w:t>Пациентам с подтвержденным диагнозом ПКР, имеющим нарушение почечной функции и/или единственную функционирующую почку, или билатеральное опухолевое поражение почек, и/или риск нарушения поче</w:t>
      </w:r>
      <w:r>
        <w:t>чной функции вследствие сопутствующих заболеваний или состояний с целью выявления факторов,</w:t>
      </w:r>
      <w:r>
        <w:rPr>
          <w:i/>
        </w:rPr>
        <w:t xml:space="preserve"> </w:t>
      </w:r>
      <w:r>
        <w:t xml:space="preserve">которые могут повлиять на выбор тактики лечения, методов диагностики и вторичной профилактики </w:t>
      </w:r>
      <w:r>
        <w:rPr>
          <w:b/>
        </w:rPr>
        <w:t>рекомендуется</w:t>
      </w:r>
      <w:r>
        <w:rPr>
          <w:i/>
        </w:rPr>
        <w:t xml:space="preserve"> </w:t>
      </w:r>
      <w:r>
        <w:t>проведение сцинтиграфии почек (динамической нефросцинтиг</w:t>
      </w:r>
      <w:r>
        <w:t>рафии) [47–49].</w:t>
      </w:r>
    </w:p>
    <w:p w:rsidR="00C3791F" w:rsidRDefault="00AE1F83">
      <w:pPr>
        <w:spacing w:after="164" w:line="357" w:lineRule="auto"/>
        <w:ind w:left="127" w:firstLine="709"/>
      </w:pPr>
      <w:r>
        <w:rPr>
          <w:b/>
        </w:rPr>
        <w:t>Уровень убедительности рекомендаций ‒ С (уровень достоверности доказательств – 5).</w:t>
      </w:r>
    </w:p>
    <w:p w:rsidR="00C3791F" w:rsidRDefault="00AE1F83">
      <w:pPr>
        <w:numPr>
          <w:ilvl w:val="0"/>
          <w:numId w:val="20"/>
        </w:numPr>
        <w:ind w:right="189" w:hanging="360"/>
      </w:pPr>
      <w:r>
        <w:rPr>
          <w:b/>
        </w:rPr>
        <w:t xml:space="preserve">Рекомендуется </w:t>
      </w:r>
      <w:r>
        <w:t>выполнение</w:t>
      </w:r>
      <w:r>
        <w:rPr>
          <w:b/>
        </w:rPr>
        <w:t xml:space="preserve"> </w:t>
      </w:r>
      <w:r>
        <w:t xml:space="preserve">сцинтиграфии костей всего тела (остеосцинтиграфии) пациентам с ПКР и костными болями, переломами костей, повышением уровня щелочной </w:t>
      </w:r>
      <w:r>
        <w:t>фосфатазы сыворотки крови, а также при наличии местно-распространенного или мПКР (стадии сТ3а-Т4 и/или N1, и/или M1)</w:t>
      </w:r>
      <w:r>
        <w:rPr>
          <w:i/>
        </w:rPr>
        <w:t xml:space="preserve"> </w:t>
      </w:r>
      <w:r>
        <w:t>с целью выявления метастатического поражения костей скелета [50‒54].</w:t>
      </w:r>
    </w:p>
    <w:p w:rsidR="00C3791F" w:rsidRDefault="00AE1F83">
      <w:pPr>
        <w:spacing w:after="41" w:line="357" w:lineRule="auto"/>
        <w:ind w:left="127" w:firstLine="709"/>
      </w:pPr>
      <w:r>
        <w:rPr>
          <w:b/>
        </w:rPr>
        <w:t>Уровень убедительности рекомендаций ‒ В (уровень достоверности доказат</w:t>
      </w:r>
      <w:r>
        <w:rPr>
          <w:b/>
        </w:rPr>
        <w:t>ельств – 2).</w:t>
      </w:r>
    </w:p>
    <w:p w:rsidR="00C3791F" w:rsidRDefault="00AE1F83">
      <w:pPr>
        <w:spacing w:line="359" w:lineRule="auto"/>
        <w:ind w:left="127" w:right="208" w:firstLine="710"/>
      </w:pPr>
      <w:r>
        <w:rPr>
          <w:b/>
          <w:i/>
        </w:rPr>
        <w:t xml:space="preserve">Комментарий: </w:t>
      </w:r>
      <w:r>
        <w:rPr>
          <w:i/>
        </w:rPr>
        <w:t xml:space="preserve">с учетом того, что в большинстве случаев костные метастазы ПКР являются литическими, чувствительность метода недостаточно высокая [55]. </w:t>
      </w:r>
    </w:p>
    <w:p w:rsidR="00C3791F" w:rsidRDefault="00AE1F83">
      <w:pPr>
        <w:spacing w:line="259" w:lineRule="auto"/>
        <w:ind w:left="127" w:right="208" w:firstLine="0"/>
      </w:pPr>
      <w:r>
        <w:rPr>
          <w:i/>
        </w:rPr>
        <w:t>Оптимальным методом диагностики костных метастазов при ПКР является КТ.</w:t>
      </w:r>
    </w:p>
    <w:p w:rsidR="00C3791F" w:rsidRDefault="00AE1F83">
      <w:pPr>
        <w:numPr>
          <w:ilvl w:val="0"/>
          <w:numId w:val="20"/>
        </w:numPr>
        <w:ind w:right="189" w:hanging="360"/>
      </w:pPr>
      <w:r>
        <w:t>С целью подтверждения метастатического поражения костей</w:t>
      </w:r>
      <w:r>
        <w:rPr>
          <w:i/>
        </w:rPr>
        <w:t xml:space="preserve"> </w:t>
      </w:r>
      <w:r>
        <w:t>у</w:t>
      </w:r>
      <w:r>
        <w:rPr>
          <w:i/>
        </w:rPr>
        <w:t xml:space="preserve"> </w:t>
      </w:r>
      <w:r>
        <w:t xml:space="preserve">пациентов с ПКР с повышенным накоплением радиофармпрепарата (РФП) при сцинтиграфии костей всего тела (остеосцинтиграфии) с целью оптимизации объема лучевой диагностики </w:t>
      </w:r>
      <w:r>
        <w:rPr>
          <w:b/>
        </w:rPr>
        <w:t>рекомендуется</w:t>
      </w:r>
      <w:r>
        <w:t xml:space="preserve"> проведение прице</w:t>
      </w:r>
      <w:r>
        <w:t>льной КТ и/или МРТ пораженных элементов скелета</w:t>
      </w:r>
      <w:r>
        <w:rPr>
          <w:i/>
        </w:rPr>
        <w:t xml:space="preserve"> </w:t>
      </w:r>
      <w:r>
        <w:t>[50, 56–60].</w:t>
      </w:r>
    </w:p>
    <w:p w:rsidR="00C3791F" w:rsidRDefault="00AE1F83">
      <w:pPr>
        <w:spacing w:after="41" w:line="357" w:lineRule="auto"/>
        <w:ind w:left="127" w:firstLine="709"/>
      </w:pPr>
      <w:r>
        <w:rPr>
          <w:b/>
        </w:rPr>
        <w:t>Уровень убедительности рекомендаций ‒ А (уровень достоверности доказательств – 1).</w:t>
      </w:r>
    </w:p>
    <w:p w:rsidR="00C3791F" w:rsidRDefault="00AE1F83">
      <w:pPr>
        <w:spacing w:after="39" w:line="359" w:lineRule="auto"/>
        <w:ind w:left="127" w:right="208" w:firstLine="710"/>
      </w:pPr>
      <w:r>
        <w:rPr>
          <w:b/>
          <w:i/>
        </w:rPr>
        <w:t xml:space="preserve">Комментарий: </w:t>
      </w:r>
      <w:r>
        <w:rPr>
          <w:i/>
        </w:rPr>
        <w:t>если оптимальный вариант лучевой диагностики не может быть проведен в течение 4 нед после выявления</w:t>
      </w:r>
      <w:r>
        <w:rPr>
          <w:i/>
        </w:rPr>
        <w:t xml:space="preserve"> синдрома повышенного накопления РФП при сцинтиграфии костей всего тела (остеосцинтиграфии), КТ и/или МРТ костей допускается заменить на прицельную рентгенографию костей.</w:t>
      </w:r>
    </w:p>
    <w:p w:rsidR="00C3791F" w:rsidRDefault="00AE1F83">
      <w:pPr>
        <w:spacing w:after="39" w:line="359" w:lineRule="auto"/>
        <w:ind w:left="127" w:right="208" w:firstLine="710"/>
      </w:pPr>
      <w:r>
        <w:rPr>
          <w:i/>
        </w:rPr>
        <w:t>Диагностическая точность КТ и/или МРТ в подтверждении метастатического поражения кост</w:t>
      </w:r>
      <w:r>
        <w:rPr>
          <w:i/>
        </w:rPr>
        <w:t>ей с повышенным накоплением РФП выше, чем у рентгенографии костей скелета.</w:t>
      </w:r>
    </w:p>
    <w:p w:rsidR="00C3791F" w:rsidRDefault="00AE1F83">
      <w:pPr>
        <w:spacing w:after="179" w:line="359" w:lineRule="auto"/>
        <w:ind w:left="127" w:right="208" w:firstLine="710"/>
      </w:pPr>
      <w:r>
        <w:rPr>
          <w:i/>
        </w:rPr>
        <w:t>При сомнительных результатах стандартных методов исследований в определении костных метастазов, может использоваться позитронно-эмиссионная томография, совмещенная с КТ (ПЭТ/КТ) с т</w:t>
      </w:r>
      <w:r>
        <w:rPr>
          <w:i/>
        </w:rPr>
        <w:t>уморотропными РФП (флудезоксиглюкозой (18F)) [18F]</w:t>
      </w:r>
      <w:r>
        <w:rPr>
          <w:i/>
          <w:sz w:val="22"/>
          <w:vertAlign w:val="superscript"/>
        </w:rPr>
        <w:t xml:space="preserve"> </w:t>
      </w:r>
      <w:r>
        <w:rPr>
          <w:i/>
        </w:rPr>
        <w:t>[61].</w:t>
      </w:r>
    </w:p>
    <w:p w:rsidR="00C3791F" w:rsidRDefault="00AE1F83">
      <w:pPr>
        <w:numPr>
          <w:ilvl w:val="0"/>
          <w:numId w:val="21"/>
        </w:numPr>
        <w:ind w:right="189" w:hanging="360"/>
      </w:pPr>
      <w:r>
        <w:t xml:space="preserve">Пациентам с ПКР, имеющих неврологические симптомы, </w:t>
      </w:r>
      <w:r>
        <w:rPr>
          <w:b/>
        </w:rPr>
        <w:t xml:space="preserve">рекомендуется </w:t>
      </w:r>
      <w:r>
        <w:t>проведение МРТ головного мозга с в/в контрастированием для выявления метастатического поражения головного мозга, за исключением случае</w:t>
      </w:r>
      <w:r>
        <w:t>в, когда проведение МРТ противопоказано, – в таких случаях МРТ может быть заменена на КТ головного мозга с в/в контрастированием [62‒67].</w:t>
      </w:r>
    </w:p>
    <w:p w:rsidR="00C3791F" w:rsidRDefault="00AE1F83">
      <w:pPr>
        <w:spacing w:line="357" w:lineRule="auto"/>
        <w:ind w:left="127" w:firstLine="709"/>
      </w:pPr>
      <w:r>
        <w:rPr>
          <w:b/>
        </w:rPr>
        <w:t>Уровень убедительности рекомендаций ‒ С (уровень достоверности доказательств – 4).</w:t>
      </w:r>
    </w:p>
    <w:p w:rsidR="00C3791F" w:rsidRDefault="00AE1F83">
      <w:pPr>
        <w:spacing w:after="163" w:line="359" w:lineRule="auto"/>
        <w:ind w:left="127" w:right="208" w:firstLine="710"/>
      </w:pPr>
      <w:r>
        <w:rPr>
          <w:b/>
          <w:i/>
        </w:rPr>
        <w:t xml:space="preserve">Комментарий: </w:t>
      </w:r>
      <w:r>
        <w:rPr>
          <w:i/>
        </w:rPr>
        <w:t>в случае невозможности</w:t>
      </w:r>
      <w:r>
        <w:rPr>
          <w:i/>
        </w:rPr>
        <w:t xml:space="preserve"> выполнить МРТ головного мозга с в/в контрастированием (срок ожидания очереди на исследование ˃1 мес) допускается выполнить КТ головного мозга с в/в контрастированием. Не рекомендуется выполнение КТ головного мозга без в/в контрастирования.</w:t>
      </w:r>
    </w:p>
    <w:p w:rsidR="00C3791F" w:rsidRDefault="00AE1F83">
      <w:pPr>
        <w:numPr>
          <w:ilvl w:val="0"/>
          <w:numId w:val="21"/>
        </w:numPr>
        <w:ind w:right="189" w:hanging="360"/>
      </w:pPr>
      <w:r>
        <w:rPr>
          <w:b/>
        </w:rPr>
        <w:t>Рекомендуется</w:t>
      </w:r>
      <w:r>
        <w:t xml:space="preserve"> в</w:t>
      </w:r>
      <w:r>
        <w:t>ыполнение ангиографии сосудов почек с целью уточнения почечной ангиоархитектоники и особенностей артериального кровоснабжения опухолевых очагов почечной паренхимы непосредственно перед эмболизацией почечной артерии у пациентов с ПКР [68‒72].</w:t>
      </w:r>
    </w:p>
    <w:p w:rsidR="00C3791F" w:rsidRDefault="00AE1F83">
      <w:pPr>
        <w:spacing w:after="164" w:line="357" w:lineRule="auto"/>
        <w:ind w:left="127" w:firstLine="709"/>
      </w:pPr>
      <w:r>
        <w:rPr>
          <w:b/>
        </w:rPr>
        <w:t>Уровень убедительности рекомендаций ‒ С (уровень достоверности доказательств – 4).</w:t>
      </w:r>
    </w:p>
    <w:p w:rsidR="00C3791F" w:rsidRDefault="00AE1F83">
      <w:pPr>
        <w:numPr>
          <w:ilvl w:val="0"/>
          <w:numId w:val="21"/>
        </w:numPr>
        <w:ind w:right="189" w:hanging="360"/>
      </w:pPr>
      <w:r>
        <w:rPr>
          <w:b/>
        </w:rPr>
        <w:t>Не рекомендуется</w:t>
      </w:r>
      <w:r>
        <w:t xml:space="preserve"> проведение позитронной эмиссионной томографии, совмещенной с КТ (ПЭТ/КТ), с флудезоксиглюкозой [18F] для рутинной диагностики и стадирования заболевания у п</w:t>
      </w:r>
      <w:r>
        <w:t>ациентов со впервые выявленным ПКР. ПЭТ/КТ может использоваться как дополнительная опция обследования при неоднозначных результатах других методов у пациентов с рецидивом ПКР после лечения или с генерализованным ПКР [32, 61, 73‒79].</w:t>
      </w:r>
    </w:p>
    <w:p w:rsidR="00C3791F" w:rsidRDefault="00AE1F83">
      <w:pPr>
        <w:spacing w:line="357" w:lineRule="auto"/>
        <w:ind w:left="127" w:firstLine="709"/>
      </w:pPr>
      <w:r>
        <w:rPr>
          <w:b/>
        </w:rPr>
        <w:t xml:space="preserve">Уровень убедительности </w:t>
      </w:r>
      <w:r>
        <w:rPr>
          <w:b/>
        </w:rPr>
        <w:t>рекомендаций ‒ B (уровень достоверности доказательств – 1).</w:t>
      </w:r>
    </w:p>
    <w:p w:rsidR="00C3791F" w:rsidRDefault="00AE1F83">
      <w:pPr>
        <w:spacing w:after="452" w:line="359" w:lineRule="auto"/>
        <w:ind w:left="127" w:right="208" w:firstLine="710"/>
      </w:pPr>
      <w:r>
        <w:rPr>
          <w:b/>
          <w:i/>
        </w:rPr>
        <w:t xml:space="preserve">Комментарий: </w:t>
      </w:r>
      <w:r>
        <w:rPr>
          <w:i/>
        </w:rPr>
        <w:t>роль ПЭТ/КТ в диагностике ПКР и наблюдении за пациентами после проведенного лечения окончательно не ясна, поэтому ПЭТ/КТ в настоящее время не является стандартным методом исследования</w:t>
      </w:r>
      <w:r>
        <w:rPr>
          <w:i/>
        </w:rPr>
        <w:t xml:space="preserve"> у пациентов с ПКР. По сравнению с КТ с в/в контрастированием ПЭТ/КТ с РФП имеет меньшую чувствительность в выявлении первичной опухоли ПКР, но бóльшую чувствительность в выявлении отдаленных метастазов.</w:t>
      </w:r>
    </w:p>
    <w:p w:rsidR="00C3791F" w:rsidRDefault="00AE1F83">
      <w:pPr>
        <w:spacing w:after="272" w:line="265" w:lineRule="auto"/>
        <w:ind w:left="861"/>
      </w:pPr>
      <w:r>
        <w:rPr>
          <w:b/>
        </w:rPr>
        <w:t xml:space="preserve">2.5. Иные диагностические исследования </w:t>
      </w:r>
    </w:p>
    <w:p w:rsidR="00C3791F" w:rsidRDefault="00AE1F83">
      <w:pPr>
        <w:numPr>
          <w:ilvl w:val="0"/>
          <w:numId w:val="21"/>
        </w:numPr>
        <w:ind w:right="189" w:hanging="360"/>
      </w:pPr>
      <w:r>
        <w:rPr>
          <w:b/>
        </w:rPr>
        <w:t>Рекомендуетс</w:t>
      </w:r>
      <w:r>
        <w:rPr>
          <w:b/>
        </w:rPr>
        <w:t>я</w:t>
      </w:r>
      <w:r>
        <w:t xml:space="preserve"> чрескожная биопсия почки пациентам с генерализованным ПКР, кандидатам для малоинвазивного лечения опухолей почечной паренхимы, кандидатам для динамического наблюдения, пациентам с множественными злокачественными опухолями для верификации диагноза [80‒85]</w:t>
      </w:r>
      <w:r>
        <w:t>.</w:t>
      </w:r>
    </w:p>
    <w:p w:rsidR="00C3791F" w:rsidRDefault="00AE1F83">
      <w:pPr>
        <w:spacing w:after="164" w:line="357" w:lineRule="auto"/>
        <w:ind w:left="127" w:firstLine="709"/>
      </w:pPr>
      <w:r>
        <w:rPr>
          <w:b/>
        </w:rPr>
        <w:t>Уровень убедительности рекомендаций ‒ А (уровень достоверности доказательств – 1).</w:t>
      </w:r>
    </w:p>
    <w:p w:rsidR="00C3791F" w:rsidRDefault="00AE1F83">
      <w:pPr>
        <w:numPr>
          <w:ilvl w:val="0"/>
          <w:numId w:val="21"/>
        </w:numPr>
        <w:ind w:right="189" w:hanging="360"/>
      </w:pPr>
      <w:r>
        <w:rPr>
          <w:b/>
        </w:rPr>
        <w:t>Рекомендуется</w:t>
      </w:r>
      <w:r>
        <w:t xml:space="preserve"> при выполнении чрескожной биопсии опухоли почки использование для навигации трансабдоминального УЗИ и/или КТ [82, 86– 89].</w:t>
      </w:r>
    </w:p>
    <w:p w:rsidR="00C3791F" w:rsidRDefault="00AE1F83">
      <w:pPr>
        <w:spacing w:after="164" w:line="357" w:lineRule="auto"/>
        <w:ind w:left="127" w:firstLine="709"/>
      </w:pPr>
      <w:r>
        <w:rPr>
          <w:b/>
        </w:rPr>
        <w:t>Уровень убедительности рекомендаци</w:t>
      </w:r>
      <w:r>
        <w:rPr>
          <w:b/>
        </w:rPr>
        <w:t>й ‒ А (уровень достоверности доказательств – 2).</w:t>
      </w:r>
    </w:p>
    <w:p w:rsidR="00C3791F" w:rsidRDefault="00AE1F83">
      <w:pPr>
        <w:numPr>
          <w:ilvl w:val="0"/>
          <w:numId w:val="21"/>
        </w:numPr>
        <w:ind w:right="189" w:hanging="360"/>
      </w:pPr>
      <w:r>
        <w:rPr>
          <w:b/>
        </w:rPr>
        <w:t>Рекомендуется</w:t>
      </w:r>
      <w:r>
        <w:t xml:space="preserve"> проведение патолого-анатомического исследования биопсийного (операционного) материала почек (или, при необходимости, материала метастазов) и/или цитологического исследования микропрепарата </w:t>
      </w:r>
      <w:r>
        <w:t>тканей почек (или, при необходимости, тканей метастазов)), в том числе при необходимости проведение патолого-анатомического исследования биопсийного (операционного) материала почки с применением иммуногистохимических методов, с целью выявления факторов, ко</w:t>
      </w:r>
      <w:r>
        <w:t>торые могут повлиять на выбор тактики лечения, методов диагностики и вторичной профилактики [90–96].</w:t>
      </w:r>
    </w:p>
    <w:p w:rsidR="00C3791F" w:rsidRDefault="00AE1F83">
      <w:pPr>
        <w:spacing w:line="357" w:lineRule="auto"/>
        <w:ind w:left="127" w:firstLine="709"/>
      </w:pPr>
      <w:r>
        <w:rPr>
          <w:b/>
        </w:rPr>
        <w:t>Уровень убедительности рекомендаций ‒ A (уровень достоверности доказательств – 1).</w:t>
      </w:r>
    </w:p>
    <w:p w:rsidR="00C3791F" w:rsidRDefault="00AE1F83">
      <w:pPr>
        <w:spacing w:after="43" w:line="359" w:lineRule="auto"/>
        <w:ind w:left="127" w:right="208" w:firstLine="710"/>
      </w:pPr>
      <w:r>
        <w:rPr>
          <w:b/>
          <w:i/>
        </w:rPr>
        <w:t>Комментарий:</w:t>
      </w:r>
      <w:r>
        <w:rPr>
          <w:b/>
        </w:rPr>
        <w:t xml:space="preserve"> </w:t>
      </w:r>
      <w:r>
        <w:rPr>
          <w:i/>
        </w:rPr>
        <w:t>объектом морфологического (патолого-анатомического исследов</w:t>
      </w:r>
      <w:r>
        <w:rPr>
          <w:i/>
        </w:rPr>
        <w:t>ания биопсийного (операционного) материала почек (или, при необходимости, материала метастазов) и/или цитологического исследования микропрепарата тканей (или, при необходимости, тканей метастазов)) является биоптат опухоли почки или метастаза ПКР либо опер</w:t>
      </w:r>
      <w:r>
        <w:rPr>
          <w:i/>
        </w:rPr>
        <w:t>ационный материал. Возможно использование цитологического и/или гистологического методов верификации диагноза.</w:t>
      </w:r>
    </w:p>
    <w:p w:rsidR="00C3791F" w:rsidRDefault="00AE1F83">
      <w:pPr>
        <w:numPr>
          <w:ilvl w:val="0"/>
          <w:numId w:val="21"/>
        </w:numPr>
        <w:spacing w:after="80" w:line="265" w:lineRule="auto"/>
        <w:ind w:right="189" w:hanging="360"/>
      </w:pPr>
      <w:r>
        <w:rPr>
          <w:b/>
        </w:rPr>
        <w:t xml:space="preserve">Рекомендации по выполнению гистологического исследования </w:t>
      </w:r>
      <w:r>
        <w:t>[93‒96]:</w:t>
      </w:r>
    </w:p>
    <w:p w:rsidR="00C3791F" w:rsidRDefault="00AE1F83">
      <w:pPr>
        <w:spacing w:after="108" w:line="265" w:lineRule="auto"/>
        <w:ind w:left="137"/>
      </w:pPr>
      <w:r>
        <w:rPr>
          <w:b/>
        </w:rPr>
        <w:t>Биопсия опухоли почки</w:t>
      </w:r>
    </w:p>
    <w:p w:rsidR="00C3791F" w:rsidRDefault="00AE1F83">
      <w:pPr>
        <w:ind w:left="137" w:right="189"/>
      </w:pPr>
      <w:r>
        <w:t>По материалу биопсии при микроскопическом исследовании врач-патологоанатом должен указать:</w:t>
      </w:r>
    </w:p>
    <w:p w:rsidR="00C3791F" w:rsidRDefault="00AE1F83">
      <w:pPr>
        <w:numPr>
          <w:ilvl w:val="0"/>
          <w:numId w:val="22"/>
        </w:numPr>
        <w:spacing w:after="124" w:line="259" w:lineRule="auto"/>
        <w:ind w:right="1483" w:hanging="360"/>
      </w:pPr>
      <w:r>
        <w:t>гистологический тип опухоли;</w:t>
      </w:r>
    </w:p>
    <w:p w:rsidR="00C3791F" w:rsidRDefault="00AE1F83">
      <w:pPr>
        <w:numPr>
          <w:ilvl w:val="0"/>
          <w:numId w:val="22"/>
        </w:numPr>
        <w:ind w:right="1483" w:hanging="360"/>
      </w:pPr>
      <w:r>
        <w:t xml:space="preserve">гистологическую градацию , если она применима; </w:t>
      </w:r>
      <w:r>
        <w:rPr>
          <w:rFonts w:ascii="Arial" w:eastAsia="Arial" w:hAnsi="Arial" w:cs="Arial"/>
        </w:rPr>
        <w:t xml:space="preserve">– </w:t>
      </w:r>
      <w:r>
        <w:t xml:space="preserve">наличие саркоматоидной и рабдоидной дифференцировки; </w:t>
      </w:r>
      <w:r>
        <w:rPr>
          <w:rFonts w:ascii="Arial" w:eastAsia="Arial" w:hAnsi="Arial" w:cs="Arial"/>
        </w:rPr>
        <w:t xml:space="preserve">– </w:t>
      </w:r>
      <w:r>
        <w:t>наличие некрозов.</w:t>
      </w:r>
    </w:p>
    <w:p w:rsidR="00C3791F" w:rsidRDefault="00AE1F83">
      <w:pPr>
        <w:ind w:left="127" w:right="189" w:firstLine="720"/>
      </w:pPr>
      <w:r>
        <w:t>При диагностик</w:t>
      </w:r>
      <w:r>
        <w:t>е гистологического типа опухоли по биопсии имеются свои ограничения из-за лимитированности материала. По биоптатам нельзя диагностировать мультилокулярную кистозную опухоль с низким злокачественным потенциалом, светлоклеточную папиллярную почечно-клеточную</w:t>
      </w:r>
      <w:r>
        <w:t xml:space="preserve"> опухоль и онкоцитому, так как их гистологическую картину имитируют некоторые злокачественные опухоли.  В заключении по материалу биопсии следует указать, что морфологические признаки соответствуют той или иной доброкачественной опухоли, однако окончательн</w:t>
      </w:r>
      <w:r>
        <w:t xml:space="preserve">ый диагноз по результатам биопсии невозможен. </w:t>
      </w:r>
    </w:p>
    <w:p w:rsidR="00C3791F" w:rsidRDefault="00AE1F83">
      <w:pPr>
        <w:ind w:left="127" w:right="189" w:firstLine="720"/>
      </w:pPr>
      <w:r>
        <w:t>Если при папиллярных новообразованиях G1-G2 не видна капсула, размер опухоли неизвестен провести дифференциальный диагноз между папиллярной аденомой и папиллярным ПКР невозможно. В этом случае следует дать зак</w:t>
      </w:r>
      <w:r>
        <w:t>лючение "папиллярная почечно-клеточная опухоль" с комментарием, что отличие аденомы от ПКР зависит от размера опухоли и наличии капсулы, которые невозможно полностью оценить в рамках биопсийного исследования.</w:t>
      </w:r>
    </w:p>
    <w:p w:rsidR="00C3791F" w:rsidRDefault="00AE1F83">
      <w:pPr>
        <w:ind w:left="127" w:right="189" w:firstLine="720"/>
      </w:pPr>
      <w:r>
        <w:t>В некоторых случаях из-за неоднородного строени</w:t>
      </w:r>
      <w:r>
        <w:t>я онкоцитарные опухоли также не могут быть однозначно верифицированы по биопсии, что также требует соответствующих пояснений в заключении.</w:t>
      </w:r>
    </w:p>
    <w:p w:rsidR="00C3791F" w:rsidRDefault="00AE1F83">
      <w:pPr>
        <w:ind w:left="127" w:right="189" w:firstLine="720"/>
      </w:pPr>
      <w:r>
        <w:t>Почечно-клеточные опухоли, не поддающиеся окончательной классификации из-за необычной морфологической картины, сарком</w:t>
      </w:r>
      <w:r>
        <w:t xml:space="preserve">атоидного строения без признаков какоголибо гистологического типа или по другим причинам, следует отнести к ПКР БДУ. </w:t>
      </w:r>
    </w:p>
    <w:p w:rsidR="00C3791F" w:rsidRDefault="00AE1F83">
      <w:pPr>
        <w:spacing w:line="359" w:lineRule="auto"/>
        <w:ind w:left="127" w:right="131" w:firstLine="720"/>
        <w:jc w:val="left"/>
      </w:pPr>
      <w:r>
        <w:t>Гистологическая градация при биопсии является не окончательной, а предварительной, поскольку может изменяться в материале нефрэктомии из-з</w:t>
      </w:r>
      <w:r>
        <w:t xml:space="preserve">а частой неоднородности рака почки. </w:t>
      </w:r>
    </w:p>
    <w:p w:rsidR="00C3791F" w:rsidRDefault="00AE1F83">
      <w:pPr>
        <w:spacing w:after="108" w:line="265" w:lineRule="auto"/>
        <w:ind w:left="137"/>
      </w:pPr>
      <w:r>
        <w:rPr>
          <w:b/>
        </w:rPr>
        <w:t>Резекция и нефрэктомия</w:t>
      </w:r>
    </w:p>
    <w:p w:rsidR="00C3791F" w:rsidRDefault="00AE1F83">
      <w:pPr>
        <w:spacing w:after="118" w:line="259" w:lineRule="auto"/>
        <w:ind w:left="137" w:right="189"/>
      </w:pPr>
      <w:r>
        <w:t xml:space="preserve">При макроскопическом описании необходимо указать: </w:t>
      </w:r>
    </w:p>
    <w:p w:rsidR="00C3791F" w:rsidRDefault="00AE1F83">
      <w:pPr>
        <w:numPr>
          <w:ilvl w:val="0"/>
          <w:numId w:val="23"/>
        </w:numPr>
        <w:spacing w:after="124" w:line="259" w:lineRule="auto"/>
        <w:ind w:right="189" w:hanging="360"/>
      </w:pPr>
      <w:r>
        <w:t>количество опухолей;</w:t>
      </w:r>
    </w:p>
    <w:p w:rsidR="00C3791F" w:rsidRDefault="00AE1F83">
      <w:pPr>
        <w:numPr>
          <w:ilvl w:val="0"/>
          <w:numId w:val="23"/>
        </w:numPr>
        <w:spacing w:after="124" w:line="259" w:lineRule="auto"/>
        <w:ind w:right="189" w:hanging="360"/>
      </w:pPr>
      <w:r>
        <w:t>размеры опухоли (каждой опухоли);</w:t>
      </w:r>
    </w:p>
    <w:p w:rsidR="00C3791F" w:rsidRDefault="00AE1F83">
      <w:pPr>
        <w:numPr>
          <w:ilvl w:val="0"/>
          <w:numId w:val="23"/>
        </w:numPr>
        <w:spacing w:after="124" w:line="259" w:lineRule="auto"/>
        <w:ind w:right="189" w:hanging="360"/>
      </w:pPr>
      <w:r>
        <w:t>наличие инвазии в паранефральную клетчатку или клетчатку почечного синуса;</w:t>
      </w:r>
    </w:p>
    <w:p w:rsidR="00C3791F" w:rsidRDefault="00AE1F83">
      <w:pPr>
        <w:numPr>
          <w:ilvl w:val="0"/>
          <w:numId w:val="23"/>
        </w:numPr>
        <w:ind w:right="189" w:hanging="360"/>
      </w:pPr>
      <w:r>
        <w:t>состояние чашеч</w:t>
      </w:r>
      <w:r>
        <w:t xml:space="preserve">но-лоханочной системы; </w:t>
      </w:r>
      <w:r>
        <w:rPr>
          <w:rFonts w:ascii="Arial" w:eastAsia="Arial" w:hAnsi="Arial" w:cs="Arial"/>
        </w:rPr>
        <w:t>–</w:t>
      </w:r>
      <w:r>
        <w:rPr>
          <w:rFonts w:ascii="Arial" w:eastAsia="Arial" w:hAnsi="Arial" w:cs="Arial"/>
        </w:rPr>
        <w:tab/>
      </w:r>
      <w:r>
        <w:t>состояние почечной вены.</w:t>
      </w:r>
    </w:p>
    <w:p w:rsidR="00C3791F" w:rsidRDefault="00AE1F83">
      <w:pPr>
        <w:spacing w:after="118" w:line="259" w:lineRule="auto"/>
        <w:ind w:left="137" w:right="189"/>
      </w:pPr>
      <w:r>
        <w:t>Для микроскопического исследования необходимо взять:</w:t>
      </w:r>
    </w:p>
    <w:p w:rsidR="00C3791F" w:rsidRDefault="00AE1F83">
      <w:pPr>
        <w:numPr>
          <w:ilvl w:val="0"/>
          <w:numId w:val="23"/>
        </w:numPr>
        <w:ind w:right="189" w:hanging="360"/>
      </w:pPr>
      <w:r>
        <w:t xml:space="preserve">края резекции почечной вены и почечной артерии; </w:t>
      </w:r>
      <w:r>
        <w:rPr>
          <w:rFonts w:ascii="Arial" w:eastAsia="Arial" w:hAnsi="Arial" w:cs="Arial"/>
        </w:rPr>
        <w:t>–</w:t>
      </w:r>
      <w:r>
        <w:rPr>
          <w:rFonts w:ascii="Arial" w:eastAsia="Arial" w:hAnsi="Arial" w:cs="Arial"/>
        </w:rPr>
        <w:tab/>
      </w:r>
      <w:r>
        <w:t>край резекции мочеточника;</w:t>
      </w:r>
    </w:p>
    <w:p w:rsidR="00C3791F" w:rsidRDefault="00AE1F83">
      <w:pPr>
        <w:numPr>
          <w:ilvl w:val="0"/>
          <w:numId w:val="23"/>
        </w:numPr>
        <w:spacing w:after="124" w:line="259" w:lineRule="auto"/>
        <w:ind w:right="189" w:hanging="360"/>
      </w:pPr>
      <w:r>
        <w:t>опухоль с капсулой и паранефральной клетчаткой;</w:t>
      </w:r>
    </w:p>
    <w:p w:rsidR="00C3791F" w:rsidRDefault="00AE1F83">
      <w:pPr>
        <w:numPr>
          <w:ilvl w:val="0"/>
          <w:numId w:val="23"/>
        </w:numPr>
        <w:spacing w:after="124" w:line="259" w:lineRule="auto"/>
        <w:ind w:right="189" w:hanging="360"/>
      </w:pPr>
      <w:r>
        <w:t>опухоль с тканью почки;</w:t>
      </w:r>
    </w:p>
    <w:p w:rsidR="00C3791F" w:rsidRDefault="00AE1F83">
      <w:pPr>
        <w:numPr>
          <w:ilvl w:val="0"/>
          <w:numId w:val="23"/>
        </w:numPr>
        <w:spacing w:after="124" w:line="259" w:lineRule="auto"/>
        <w:ind w:right="189" w:hanging="360"/>
      </w:pPr>
      <w:r>
        <w:t>опухоль с лоханкой;</w:t>
      </w:r>
    </w:p>
    <w:p w:rsidR="00C3791F" w:rsidRDefault="00AE1F83">
      <w:pPr>
        <w:numPr>
          <w:ilvl w:val="0"/>
          <w:numId w:val="23"/>
        </w:numPr>
        <w:spacing w:line="259" w:lineRule="auto"/>
        <w:ind w:right="189" w:hanging="360"/>
      </w:pPr>
      <w:r>
        <w:t>опухоль с клетчаткой почечного синуса;</w:t>
      </w:r>
    </w:p>
    <w:p w:rsidR="00C3791F" w:rsidRDefault="00AE1F83">
      <w:pPr>
        <w:numPr>
          <w:ilvl w:val="0"/>
          <w:numId w:val="23"/>
        </w:numPr>
        <w:spacing w:after="124" w:line="259" w:lineRule="auto"/>
        <w:ind w:right="189" w:hanging="360"/>
      </w:pPr>
      <w:r>
        <w:t>опухоль 1 фрагмент на 1 см наибольшего размера опухоли;</w:t>
      </w:r>
    </w:p>
    <w:p w:rsidR="00C3791F" w:rsidRDefault="00AE1F83">
      <w:pPr>
        <w:numPr>
          <w:ilvl w:val="0"/>
          <w:numId w:val="23"/>
        </w:numPr>
        <w:ind w:right="189" w:hanging="360"/>
      </w:pPr>
      <w:r>
        <w:t xml:space="preserve">ткань почки вне опухоли; </w:t>
      </w:r>
      <w:r>
        <w:rPr>
          <w:rFonts w:ascii="Arial" w:eastAsia="Arial" w:hAnsi="Arial" w:cs="Arial"/>
        </w:rPr>
        <w:t>–</w:t>
      </w:r>
      <w:r>
        <w:rPr>
          <w:rFonts w:ascii="Arial" w:eastAsia="Arial" w:hAnsi="Arial" w:cs="Arial"/>
        </w:rPr>
        <w:tab/>
      </w:r>
      <w:r>
        <w:t>надпочечник.</w:t>
      </w:r>
    </w:p>
    <w:p w:rsidR="00C3791F" w:rsidRDefault="00AE1F83">
      <w:pPr>
        <w:spacing w:after="118" w:line="259" w:lineRule="auto"/>
        <w:ind w:left="137" w:right="189"/>
      </w:pPr>
      <w:r>
        <w:t>В микроскопическом описании следует отразить:</w:t>
      </w:r>
    </w:p>
    <w:p w:rsidR="00C3791F" w:rsidRDefault="00AE1F83">
      <w:pPr>
        <w:numPr>
          <w:ilvl w:val="0"/>
          <w:numId w:val="24"/>
        </w:numPr>
        <w:spacing w:after="124" w:line="259" w:lineRule="auto"/>
        <w:ind w:right="189" w:hanging="360"/>
      </w:pPr>
      <w:r>
        <w:t>гистологический тип опухоли (ВОЗ, 2022);</w:t>
      </w:r>
    </w:p>
    <w:p w:rsidR="00C3791F" w:rsidRDefault="00AE1F83">
      <w:pPr>
        <w:numPr>
          <w:ilvl w:val="0"/>
          <w:numId w:val="24"/>
        </w:numPr>
        <w:spacing w:after="124" w:line="259" w:lineRule="auto"/>
        <w:ind w:right="189" w:hanging="360"/>
      </w:pPr>
      <w:r>
        <w:t>гистологическу</w:t>
      </w:r>
      <w:r>
        <w:t>ю градацию (G) опухоли (ВОЗ/ISUP), если это применимо;</w:t>
      </w:r>
    </w:p>
    <w:p w:rsidR="00C3791F" w:rsidRDefault="00AE1F83">
      <w:pPr>
        <w:numPr>
          <w:ilvl w:val="0"/>
          <w:numId w:val="24"/>
        </w:numPr>
        <w:spacing w:after="124" w:line="259" w:lineRule="auto"/>
        <w:ind w:right="189" w:hanging="360"/>
      </w:pPr>
      <w:r>
        <w:t>наличие саркоматоидной/рабдоидной дифференцировки;</w:t>
      </w:r>
    </w:p>
    <w:p w:rsidR="00C3791F" w:rsidRDefault="00AE1F83">
      <w:pPr>
        <w:numPr>
          <w:ilvl w:val="0"/>
          <w:numId w:val="24"/>
        </w:numPr>
        <w:spacing w:after="124" w:line="259" w:lineRule="auto"/>
        <w:ind w:right="189" w:hanging="360"/>
      </w:pPr>
      <w:r>
        <w:t>наличие некроза;</w:t>
      </w:r>
    </w:p>
    <w:p w:rsidR="00C3791F" w:rsidRDefault="00AE1F83">
      <w:pPr>
        <w:numPr>
          <w:ilvl w:val="0"/>
          <w:numId w:val="24"/>
        </w:numPr>
        <w:spacing w:after="122" w:line="259" w:lineRule="auto"/>
        <w:ind w:right="189" w:hanging="360"/>
      </w:pPr>
      <w:r>
        <w:t>распространение опухоли за пределы почки:</w:t>
      </w:r>
    </w:p>
    <w:p w:rsidR="00C3791F" w:rsidRDefault="00AE1F83">
      <w:pPr>
        <w:numPr>
          <w:ilvl w:val="1"/>
          <w:numId w:val="24"/>
        </w:numPr>
        <w:spacing w:after="122" w:line="259" w:lineRule="auto"/>
        <w:ind w:right="189" w:hanging="360"/>
      </w:pPr>
      <w:r>
        <w:t>в околопочечную клетчатку;</w:t>
      </w:r>
    </w:p>
    <w:p w:rsidR="00C3791F" w:rsidRDefault="00AE1F83">
      <w:pPr>
        <w:numPr>
          <w:ilvl w:val="1"/>
          <w:numId w:val="24"/>
        </w:numPr>
        <w:spacing w:after="122" w:line="259" w:lineRule="auto"/>
        <w:ind w:right="189" w:hanging="360"/>
      </w:pPr>
      <w:r>
        <w:t>за пределы фасции Героты;</w:t>
      </w:r>
    </w:p>
    <w:p w:rsidR="00C3791F" w:rsidRDefault="00AE1F83">
      <w:pPr>
        <w:numPr>
          <w:ilvl w:val="1"/>
          <w:numId w:val="24"/>
        </w:numPr>
        <w:spacing w:after="125" w:line="259" w:lineRule="auto"/>
        <w:ind w:right="189" w:hanging="360"/>
      </w:pPr>
      <w:r>
        <w:t>в клетчатку почечного синуса;</w:t>
      </w:r>
    </w:p>
    <w:p w:rsidR="00C3791F" w:rsidRDefault="00AE1F83">
      <w:pPr>
        <w:numPr>
          <w:ilvl w:val="0"/>
          <w:numId w:val="24"/>
        </w:numPr>
        <w:ind w:right="189" w:hanging="360"/>
      </w:pPr>
      <w:r>
        <w:t>наличие опухолевых тромбов в мелких интраренальных сосудах (микроваскулярная инвазия);</w:t>
      </w:r>
    </w:p>
    <w:p w:rsidR="00C3791F" w:rsidRDefault="00AE1F83">
      <w:pPr>
        <w:numPr>
          <w:ilvl w:val="0"/>
          <w:numId w:val="24"/>
        </w:numPr>
        <w:ind w:right="189" w:hanging="360"/>
      </w:pPr>
      <w:r>
        <w:t>наличие опухолевых тромбов в сосудах с мышечной стенкой в почечном синусе и в почечной вене;</w:t>
      </w:r>
    </w:p>
    <w:p w:rsidR="00C3791F" w:rsidRDefault="00AE1F83">
      <w:pPr>
        <w:numPr>
          <w:ilvl w:val="0"/>
          <w:numId w:val="24"/>
        </w:numPr>
        <w:ind w:right="189" w:hanging="360"/>
      </w:pPr>
      <w:r>
        <w:t>распространение опухоли на надпочечник (непосредственное прорастание или мет</w:t>
      </w:r>
      <w:r>
        <w:t>астаз);</w:t>
      </w:r>
    </w:p>
    <w:p w:rsidR="00C3791F" w:rsidRDefault="00AE1F83">
      <w:pPr>
        <w:numPr>
          <w:ilvl w:val="0"/>
          <w:numId w:val="24"/>
        </w:numPr>
        <w:spacing w:after="124" w:line="259" w:lineRule="auto"/>
        <w:ind w:right="189" w:hanging="360"/>
      </w:pPr>
      <w:r>
        <w:t>статус краев резекции;</w:t>
      </w:r>
    </w:p>
    <w:p w:rsidR="00C3791F" w:rsidRDefault="00AE1F83">
      <w:pPr>
        <w:numPr>
          <w:ilvl w:val="0"/>
          <w:numId w:val="24"/>
        </w:numPr>
        <w:spacing w:after="124" w:line="259" w:lineRule="auto"/>
        <w:ind w:right="189" w:hanging="360"/>
      </w:pPr>
      <w:r>
        <w:t>количество и статус лимфатических узлов;</w:t>
      </w:r>
    </w:p>
    <w:p w:rsidR="00C3791F" w:rsidRDefault="00AE1F83">
      <w:pPr>
        <w:numPr>
          <w:ilvl w:val="0"/>
          <w:numId w:val="24"/>
        </w:numPr>
        <w:ind w:right="189" w:hanging="360"/>
      </w:pPr>
      <w:r>
        <w:t xml:space="preserve">данные дополнительных исследований (иммуногистохимического, флуоресцентной </w:t>
      </w:r>
      <w:r>
        <w:rPr>
          <w:i/>
        </w:rPr>
        <w:t>in situ</w:t>
      </w:r>
      <w:r>
        <w:t xml:space="preserve"> гибридизации) при их наличии.</w:t>
      </w:r>
    </w:p>
    <w:p w:rsidR="00C3791F" w:rsidRDefault="00AE1F83">
      <w:pPr>
        <w:spacing w:line="359" w:lineRule="auto"/>
        <w:ind w:left="137" w:right="131"/>
        <w:jc w:val="left"/>
      </w:pPr>
      <w:r>
        <w:t>В заключении необходимо указать гистологический тип опухоли (ВОЗ 2022),</w:t>
      </w:r>
      <w:r>
        <w:t xml:space="preserve"> гистологическую градацию (если применимо), стадию по системе pTNM (2018), состояние крае резекции.</w:t>
      </w:r>
    </w:p>
    <w:p w:rsidR="00C3791F" w:rsidRDefault="00AE1F83">
      <w:pPr>
        <w:spacing w:after="120" w:line="357" w:lineRule="auto"/>
        <w:ind w:left="127" w:firstLine="709"/>
      </w:pPr>
      <w:r>
        <w:rPr>
          <w:b/>
        </w:rPr>
        <w:t>Уровень убедительности рекомендаций ‒ A (уровень достоверности доказательств – 2).</w:t>
      </w:r>
    </w:p>
    <w:p w:rsidR="00C3791F" w:rsidRDefault="00AE1F83">
      <w:pPr>
        <w:spacing w:line="359" w:lineRule="auto"/>
        <w:ind w:left="862" w:right="131" w:hanging="360"/>
        <w:jc w:val="left"/>
      </w:pPr>
      <w:r>
        <w:t>●</w:t>
      </w:r>
      <w:r>
        <w:tab/>
      </w:r>
      <w:r>
        <w:rPr>
          <w:b/>
        </w:rPr>
        <w:t>Рекомендовано</w:t>
      </w:r>
      <w:r>
        <w:t xml:space="preserve"> </w:t>
      </w:r>
      <w:r>
        <w:tab/>
        <w:t>направление к врачу-генетику для решения вопроса о целес</w:t>
      </w:r>
      <w:r>
        <w:t>ообразности более детального обследования и назначения молекулярногенетической диагностики наследственного ПКР пациентам с наличием хотя бы одного из следующих критериев:</w:t>
      </w:r>
    </w:p>
    <w:p w:rsidR="00C3791F" w:rsidRDefault="00AE1F83">
      <w:pPr>
        <w:numPr>
          <w:ilvl w:val="1"/>
          <w:numId w:val="26"/>
        </w:numPr>
        <w:spacing w:line="259" w:lineRule="auto"/>
        <w:ind w:right="189" w:hanging="360"/>
      </w:pPr>
      <w:r>
        <w:t>возраст пациента не превышает 46 лет;</w:t>
      </w:r>
    </w:p>
    <w:p w:rsidR="00C3791F" w:rsidRDefault="00AE1F83">
      <w:pPr>
        <w:numPr>
          <w:ilvl w:val="1"/>
          <w:numId w:val="26"/>
        </w:numPr>
        <w:spacing w:after="120" w:line="259" w:lineRule="auto"/>
        <w:ind w:right="189" w:hanging="360"/>
      </w:pPr>
      <w:r>
        <w:t>билатеральные и/или мультифокальные опухоли;</w:t>
      </w:r>
    </w:p>
    <w:p w:rsidR="00C3791F" w:rsidRDefault="00AE1F83">
      <w:pPr>
        <w:numPr>
          <w:ilvl w:val="1"/>
          <w:numId w:val="26"/>
        </w:numPr>
        <w:spacing w:after="120" w:line="259" w:lineRule="auto"/>
        <w:ind w:right="189" w:hanging="360"/>
      </w:pPr>
      <w:r>
        <w:t>на</w:t>
      </w:r>
      <w:r>
        <w:t>личие как минимум одного родственника 1-й или 2-й линии с ПКР;</w:t>
      </w:r>
    </w:p>
    <w:p w:rsidR="00C3791F" w:rsidRDefault="00AE1F83">
      <w:pPr>
        <w:numPr>
          <w:ilvl w:val="1"/>
          <w:numId w:val="26"/>
        </w:numPr>
        <w:ind w:right="189" w:hanging="360"/>
      </w:pPr>
      <w:r>
        <w:t>наличие близкого родственника с выявленной герминальной патогенной или вероятно патогенной мутацией в онкогене или генесупрессоре;</w:t>
      </w:r>
    </w:p>
    <w:p w:rsidR="00C3791F" w:rsidRDefault="00AE1F83">
      <w:pPr>
        <w:numPr>
          <w:ilvl w:val="1"/>
          <w:numId w:val="26"/>
        </w:numPr>
        <w:ind w:right="189" w:hanging="360"/>
      </w:pPr>
      <w:r>
        <w:t>специфические признаки известного наследственного онкологического синдрома, при котором развивается ПКР: клинические и гистологические (см. далее) [97‒101].</w:t>
      </w:r>
    </w:p>
    <w:p w:rsidR="00C3791F" w:rsidRDefault="00AE1F83">
      <w:pPr>
        <w:spacing w:line="357" w:lineRule="auto"/>
        <w:ind w:left="127" w:firstLine="708"/>
      </w:pPr>
      <w:r>
        <w:rPr>
          <w:b/>
        </w:rPr>
        <w:t>Уровень убедительности рекомендаций ‒ C (уровень достоверности доказательств – 3).</w:t>
      </w:r>
    </w:p>
    <w:p w:rsidR="00C3791F" w:rsidRDefault="00AE1F83">
      <w:pPr>
        <w:spacing w:after="114" w:line="259" w:lineRule="auto"/>
        <w:ind w:left="846"/>
        <w:jc w:val="left"/>
      </w:pPr>
      <w:r>
        <w:rPr>
          <w:b/>
          <w:i/>
        </w:rPr>
        <w:t xml:space="preserve">Комментарий: </w:t>
      </w:r>
    </w:p>
    <w:p w:rsidR="00C3791F" w:rsidRDefault="00AE1F83">
      <w:pPr>
        <w:spacing w:after="0" w:line="357" w:lineRule="auto"/>
        <w:ind w:left="142" w:firstLine="708"/>
        <w:jc w:val="left"/>
      </w:pPr>
      <w:r>
        <w:rPr>
          <w:b/>
          <w:i/>
        </w:rPr>
        <w:t>На</w:t>
      </w:r>
      <w:r>
        <w:rPr>
          <w:b/>
          <w:i/>
        </w:rPr>
        <w:t>следственные онкологические синдромы, при которых развиваются опухоли почки:</w:t>
      </w:r>
    </w:p>
    <w:p w:rsidR="00C3791F" w:rsidRDefault="00AE1F83">
      <w:pPr>
        <w:numPr>
          <w:ilvl w:val="0"/>
          <w:numId w:val="25"/>
        </w:numPr>
        <w:spacing w:line="359" w:lineRule="auto"/>
        <w:ind w:right="208" w:firstLine="710"/>
      </w:pPr>
      <w:r>
        <w:rPr>
          <w:b/>
          <w:i/>
        </w:rPr>
        <w:t xml:space="preserve">Синдром Хиппеля–Линдау </w:t>
      </w:r>
      <w:r>
        <w:rPr>
          <w:i/>
        </w:rPr>
        <w:t>(VHL-синдром; OMIM 193300) – аутосомнодоминантный наследственный онкологический синдром с частотой 1:36 тыс. новорожденных и пенетрантностью 90 % к возрасту</w:t>
      </w:r>
      <w:r>
        <w:rPr>
          <w:i/>
        </w:rPr>
        <w:t xml:space="preserve"> 65 лет. Опухоли могут развиваться в органах-мишенях в различном возрасте: наиболее часто встречаются сПКР (нередко мультифокальный и/или билатеральный), кисты почек и поджелудочной железы, гемангиобластомы центральной нервной системы и сетчатки (множестве</w:t>
      </w:r>
      <w:r>
        <w:rPr>
          <w:i/>
        </w:rPr>
        <w:t>нные ангиомы сетчатки), феохромоцитома надпочечника, параганглиома, гораздо реже – нейроэндокринные опухоли, опухоли эндолимфатического протока внутреннего уха, кистозные аденомы придатка яичка. Средний возраст манифестации заболевания – 25–30 лет. Самым ч</w:t>
      </w:r>
      <w:r>
        <w:rPr>
          <w:i/>
        </w:rPr>
        <w:t>астым проявлением VHL-синдрома является сПКР, он выявляется у 75 % пациентов. Выделяют VHL-синдром 1-го типа (без феохромоцитомы и с высоким риском развития ПКР) и 2-го типа (с феохромоцитомой). В свою очередь, VHL-синдром 2-го типа подразделяют на типы 2А</w:t>
      </w:r>
      <w:r>
        <w:rPr>
          <w:i/>
        </w:rPr>
        <w:t xml:space="preserve"> (низкий риск ПКР), 2В (высокий риск ПКР) и 2С (только феохромоцитома). VHL-синдром обусловлен мутациями в гене VHL, который локализован в области 3р25. Молекулярно-генетическая диагностика VHL-синдрома заключается в идентификации инактивирующей герминальн</w:t>
      </w:r>
      <w:r>
        <w:rPr>
          <w:i/>
        </w:rPr>
        <w:t>ой мутации в гене VHL – причины заболевания. Основной метод анализа – полимеразная цепная реакция (ПЦР) с последующим секвенированием по Сэнгеру экзонов 1–3 гена VHL, что позволяет выявить точковую мутацию в 85 % семей с VHL-синдромом. При отрицательном ре</w:t>
      </w:r>
      <w:r>
        <w:rPr>
          <w:i/>
        </w:rPr>
        <w:t>зультате секвенирования проводят поиск делеций VHL методом мультиплексной амплификации лигированных зондов (multiplex ligation-dependent probe amplification, MLPA).</w:t>
      </w:r>
    </w:p>
    <w:p w:rsidR="00C3791F" w:rsidRDefault="00AE1F83">
      <w:pPr>
        <w:numPr>
          <w:ilvl w:val="0"/>
          <w:numId w:val="25"/>
        </w:numPr>
        <w:spacing w:line="359" w:lineRule="auto"/>
        <w:ind w:right="208" w:firstLine="710"/>
      </w:pPr>
      <w:r>
        <w:rPr>
          <w:b/>
          <w:i/>
        </w:rPr>
        <w:t>Синдром Берта–Хогга–Дюбэ</w:t>
      </w:r>
      <w:r>
        <w:rPr>
          <w:i/>
        </w:rPr>
        <w:t xml:space="preserve"> (Birt–Hogg–Dube, BHDS; OMIM 135150) – аутосомно-доминантный онколо</w:t>
      </w:r>
      <w:r>
        <w:rPr>
          <w:i/>
        </w:rPr>
        <w:t>гический синдром, основным проявлением которого более чем в 90 % случаев является развитие множественных фиброфолликулом. Они локализуются преимущественно на лице, шее и верхней части туловища. Примерно у 80 % больных развиваются легочные кисты, что привод</w:t>
      </w:r>
      <w:r>
        <w:rPr>
          <w:i/>
        </w:rPr>
        <w:t>ит к спонтанному пневмотораксу. У 50 % пациентов с BHDS развиваются опухоли почки. В качестве минимальных диагностических критериев, позволяющих поставить предварительный диагноз BHDS, рассматривают: 1) присутствие не менее 2 характерных новообразований ко</w:t>
      </w:r>
      <w:r>
        <w:rPr>
          <w:i/>
        </w:rPr>
        <w:t>жи, из которых как минимум одно гистологически подтверждено как фиброфолликулома после достижения пубертатного периода; 2) билатеральные (мультифокальные) кисты в базальных отделах легких, диагностированные до 40 лет, и наличие семейной истории заболевания</w:t>
      </w:r>
      <w:r>
        <w:rPr>
          <w:i/>
        </w:rPr>
        <w:t>; 3) билатеральные (мультифокальные) хромофобные или гибридные онкоцито-хромофобные опухоли почки при наследственном ПКР; 4) комбинация кожных, легочных и/или почечных симптомов BHDS у пациента и в его родословной. ПКР при этом синдроме часто мультифокальн</w:t>
      </w:r>
      <w:r>
        <w:rPr>
          <w:i/>
        </w:rPr>
        <w:t xml:space="preserve">ый, билатеральный, в большинстве случаев представлен хромофобной карциномой, реже описаны гибридные онкоцито-хромофобные опухоли и другие типы ПКР. Несмотря на то что фиброфолликуломы кожи считают наиболее частым проявлением BHDS, развитие опухолей (в том </w:t>
      </w:r>
      <w:r>
        <w:rPr>
          <w:i/>
        </w:rPr>
        <w:t>числе ПКР) у пациентов с этим синдромом, как правило, начинается лишь в среднем возрасте. У молодых пациентов ведущей BHDS-ассоциированной патологией является развитие легочных кист, которые начинают формироваться уже в подростковом возрасте, и уже к 40 го</w:t>
      </w:r>
      <w:r>
        <w:rPr>
          <w:i/>
        </w:rPr>
        <w:t>дам в 30 % случаев BHDS в анамнезе имеется спонтанный пневмоторакс. BHDS развивается вследствие инактивирующих герминальных мутаций в гене-супрессоре FLCN, локализованном в области 17р11.2 и кодирующем фолликулин. Молекулярно-генетическая диагностика синдр</w:t>
      </w:r>
      <w:r>
        <w:rPr>
          <w:i/>
        </w:rPr>
        <w:t>ома BHDS заключается в идентификации инактивирующей герминальной мутации FLCN – причины заболевания. Основной метод анализа – ПЦР с последующим секвенированием по Сэнгеру экзонов 4–14 гена FLCN, которые кодируют полипептидную цепь. При отрицательном резуль</w:t>
      </w:r>
      <w:r>
        <w:rPr>
          <w:i/>
        </w:rPr>
        <w:t>тате секвенирования анализ может быть дополнен поиском делеций FLCN методом MLPA.</w:t>
      </w:r>
    </w:p>
    <w:p w:rsidR="00C3791F" w:rsidRDefault="00AE1F83">
      <w:pPr>
        <w:numPr>
          <w:ilvl w:val="0"/>
          <w:numId w:val="25"/>
        </w:numPr>
        <w:spacing w:line="359" w:lineRule="auto"/>
        <w:ind w:right="208" w:firstLine="710"/>
      </w:pPr>
      <w:r>
        <w:rPr>
          <w:b/>
          <w:i/>
        </w:rPr>
        <w:t>Наследственная папиллярная карцинома почки 1-го типа</w:t>
      </w:r>
      <w:r>
        <w:rPr>
          <w:i/>
        </w:rPr>
        <w:t xml:space="preserve"> (hereditary papillary renal cancer, HPRC; OMIM 605074) – аутосомно-доминантное заболевание, характеризующееся развитием м</w:t>
      </w:r>
      <w:r>
        <w:rPr>
          <w:i/>
        </w:rPr>
        <w:t>ножественных почечно-клеточных папиллярных карцином 1-го типа. Причина этой формы наследственного ПКР – активирующие мутации в онкогене МЕТ, локализованном в районе 7q31 и кодирующем тирозинкиназный рецептор. Мутации МЕТ при HPRC затрагивают структуру цито</w:t>
      </w:r>
      <w:r>
        <w:rPr>
          <w:i/>
        </w:rPr>
        <w:t>плазматического домена рецептора и приводят к его конститутивной активации. Молекулярногенетическая диагностика HPRC заключается в идентификации активирующей герминальной мутации в экзонах 15–21 гена МЕТ с помощью ПЦР и секвенирования по Сэнгеру.</w:t>
      </w:r>
    </w:p>
    <w:p w:rsidR="00C3791F" w:rsidRDefault="00AE1F83">
      <w:pPr>
        <w:numPr>
          <w:ilvl w:val="0"/>
          <w:numId w:val="25"/>
        </w:numPr>
        <w:spacing w:line="359" w:lineRule="auto"/>
        <w:ind w:right="208" w:firstLine="710"/>
      </w:pPr>
      <w:r>
        <w:rPr>
          <w:b/>
          <w:i/>
        </w:rPr>
        <w:t>Наследств</w:t>
      </w:r>
      <w:r>
        <w:rPr>
          <w:b/>
          <w:i/>
        </w:rPr>
        <w:t>енный лейомиоматоз и почечно-клеточный рак</w:t>
      </w:r>
      <w:r>
        <w:rPr>
          <w:i/>
        </w:rPr>
        <w:t xml:space="preserve"> (hereditary leiomyomatosis and renal cell cancer, HLRCC; OMIM 150800) – аутосомно-доминантный онкологический синдром с частотой 1:200 тыс. новорожденных, основным проявлением которого является развитие множественн</w:t>
      </w:r>
      <w:r>
        <w:rPr>
          <w:i/>
        </w:rPr>
        <w:t>ых лейомиом кожи и матки. Примерно у 15 % больных развивается ПКР, представленный папиллярными карциномами 2-го типа. Несмотря на то что ПКР не является основным проявлением HLRCC, манифестирует он в молодом возрасте – в среднем до 40 лет. В качестве миним</w:t>
      </w:r>
      <w:r>
        <w:rPr>
          <w:i/>
        </w:rPr>
        <w:t>альных диагностических критериев, позволяющих поставить предварительный диагноз HLRCC, рассматривают множественные лейомиомы кожи и матки (у женщин) и семейную историю заболевания, а также сочетание лейомиом и ПКР. HLRCC развивается вследствие инактивирующ</w:t>
      </w:r>
      <w:r>
        <w:rPr>
          <w:i/>
        </w:rPr>
        <w:t>их герминальных мутаций в гене-супрессоре FH, локализованном в области 1q43 и кодирующем фумаратгидратазу – фермент цикла Кребса. Молекулярно-генетическая диагностика HLRCC заключается в идентификации герминальной инактивирующей мутации FH – причины заболе</w:t>
      </w:r>
      <w:r>
        <w:rPr>
          <w:i/>
        </w:rPr>
        <w:t>вания. Основной метод анализа – ПЦР и секвенирование по Сэнгеру экзонов 1–10 гена FH. При отрицательном результате анализ этого гена может быть дополнен поиском делеций с помощью MLPA.</w:t>
      </w:r>
    </w:p>
    <w:p w:rsidR="00C3791F" w:rsidRDefault="00AE1F83">
      <w:pPr>
        <w:numPr>
          <w:ilvl w:val="0"/>
          <w:numId w:val="25"/>
        </w:numPr>
        <w:spacing w:line="359" w:lineRule="auto"/>
        <w:ind w:right="208" w:firstLine="710"/>
      </w:pPr>
      <w:r>
        <w:rPr>
          <w:b/>
          <w:i/>
        </w:rPr>
        <w:t>Наследственная феохромоцитома/параганглиома</w:t>
      </w:r>
      <w:r>
        <w:rPr>
          <w:i/>
        </w:rPr>
        <w:t xml:space="preserve"> – редкий наследственный онк</w:t>
      </w:r>
      <w:r>
        <w:rPr>
          <w:i/>
        </w:rPr>
        <w:t xml:space="preserve">ологический синдром, при котором могут развиваться опухоли почек различных типов. Заболевание обусловлено инактивирующими герминальными мутациями в генах SDHA, SDHB, SDHC, SDHD или SDHAF2, кодирующих сукцинатдегидрогеназный комплекс. Большинство описанных </w:t>
      </w:r>
      <w:r>
        <w:rPr>
          <w:i/>
        </w:rPr>
        <w:t>случаев связаны с мутациями SDHB и SDHD; иммуногистохимическое окрашивание на SDHB применяют в рутинной патоморфологической диагностике. Молекулярно-генетическая диагностика заключается в идентификации мутации – причины заболевания – в указанных выше генах</w:t>
      </w:r>
      <w:r>
        <w:rPr>
          <w:i/>
        </w:rPr>
        <w:t xml:space="preserve"> семейства SDH с помощью ВПС.</w:t>
      </w:r>
    </w:p>
    <w:p w:rsidR="00C3791F" w:rsidRDefault="00AE1F83">
      <w:pPr>
        <w:numPr>
          <w:ilvl w:val="0"/>
          <w:numId w:val="25"/>
        </w:numPr>
        <w:spacing w:after="36" w:line="359" w:lineRule="auto"/>
        <w:ind w:right="208" w:firstLine="710"/>
      </w:pPr>
      <w:r>
        <w:rPr>
          <w:b/>
          <w:i/>
        </w:rPr>
        <w:t>BAP1-ассоциированный онкосиндром</w:t>
      </w:r>
      <w:r>
        <w:rPr>
          <w:i/>
        </w:rPr>
        <w:t xml:space="preserve"> (BAP1 tumor predisposition syndrome, BAP1-TPDS; OMIM 614327) – редкий аутосомно-доминантный онкологический синдром, при котором развиваются мезотелиомы, меланомы, в части случаев – сПКР. BAP1-T</w:t>
      </w:r>
      <w:r>
        <w:rPr>
          <w:i/>
        </w:rPr>
        <w:t>PDS обусловлен герминальной мутацией в гене-супрессоре ВАР1. Молекулярно-генетическая диагностика заключается в идентификации мутации ВАР1 методом ВПС [102].</w:t>
      </w:r>
    </w:p>
    <w:p w:rsidR="00C3791F" w:rsidRDefault="00AE1F83">
      <w:pPr>
        <w:spacing w:after="202" w:line="357" w:lineRule="auto"/>
        <w:ind w:left="224" w:right="137" w:hanging="74"/>
        <w:jc w:val="center"/>
      </w:pPr>
      <w:r>
        <w:rPr>
          <w:b/>
          <w:sz w:val="28"/>
        </w:rPr>
        <w:t>3. Лечение, включая медикаментозную и немедикаментозную терапию, диетотерапию, обезболивание, меди</w:t>
      </w:r>
      <w:r>
        <w:rPr>
          <w:b/>
          <w:sz w:val="28"/>
        </w:rPr>
        <w:t xml:space="preserve">цинские показания и </w:t>
      </w:r>
    </w:p>
    <w:p w:rsidR="00C3791F" w:rsidRDefault="00AE1F83">
      <w:pPr>
        <w:pStyle w:val="Heading1"/>
        <w:spacing w:line="357" w:lineRule="auto"/>
        <w:ind w:left="224" w:right="137" w:hanging="74"/>
      </w:pPr>
      <w:r>
        <w:t>противопоказания к применению методов лечения</w:t>
      </w:r>
    </w:p>
    <w:p w:rsidR="00C3791F" w:rsidRDefault="00AE1F83">
      <w:pPr>
        <w:ind w:left="127" w:right="189" w:firstLine="567"/>
      </w:pPr>
      <w:r>
        <w:t>Термины, описывающие процедуры в клинических рекомендациях, и возможные термины из действующей номенклатуры медицинских услуг приведены в приложении А3-</w:t>
      </w:r>
    </w:p>
    <w:p w:rsidR="00C3791F" w:rsidRDefault="00AE1F83">
      <w:pPr>
        <w:spacing w:after="114" w:line="259" w:lineRule="auto"/>
        <w:ind w:left="137" w:right="189"/>
      </w:pPr>
      <w:r>
        <w:t>2.</w:t>
      </w:r>
    </w:p>
    <w:p w:rsidR="00C3791F" w:rsidRDefault="00AE1F83">
      <w:pPr>
        <w:ind w:left="127" w:right="189" w:firstLine="567"/>
      </w:pPr>
      <w:r>
        <w:t xml:space="preserve">Назначение и применение лекарственных препаратов, указанных в клинических рекомендациях, направлены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w:t>
      </w:r>
      <w:r>
        <w:t>определяется в соответствии с инструкциями по применению конкретных лекарственных препаратов с реализацией представленных в инструкциях мер предосторожности при их применении; также возможна коррекция доз с учетом состояния пациента.</w:t>
      </w:r>
    </w:p>
    <w:p w:rsidR="00C3791F" w:rsidRDefault="00AE1F83">
      <w:pPr>
        <w:ind w:left="127" w:right="189" w:firstLine="709"/>
      </w:pPr>
      <w:r>
        <w:t>Наиболее эффективным м</w:t>
      </w:r>
      <w:r>
        <w:t>етодом лечения ПКР остается хирургический. Клинически локализованные формы ПКР (стадии сТ1-T2N0M0) являются показанием к РП или радикальной нефрэктомии (РН). Новообразования, размер и локализация которых позволяют выполнить органосохраняющие операции, расс</w:t>
      </w:r>
      <w:r>
        <w:t xml:space="preserve">матриваются как показания к РП. Для остальных случаев методом выбора лечения клинически локализованного ПКР является РН. </w:t>
      </w:r>
    </w:p>
    <w:p w:rsidR="00C3791F" w:rsidRDefault="00AE1F83">
      <w:pPr>
        <w:ind w:left="127" w:right="189" w:firstLine="709"/>
      </w:pPr>
      <w:r>
        <w:t>Радикальная нефрэктомия – основной подход к лечению операбельных местнораспространенных форм заболевания (стадии cT3-T4N0-1M0). При ра</w:t>
      </w:r>
      <w:r>
        <w:t xml:space="preserve">спространении опухоли по просвету почечной вены и НПВ (категории сТ3а-Т4) объем операции расширяется до РН с тромбэктомией. Опухолевая инвазия соседних структур и органов (категория cT4) является показанием для их резекции. </w:t>
      </w:r>
    </w:p>
    <w:p w:rsidR="00C3791F" w:rsidRDefault="00AE1F83">
      <w:pPr>
        <w:ind w:left="127" w:right="189" w:firstLine="709"/>
      </w:pPr>
      <w:r>
        <w:t>Отобранным пациентам с солитарн</w:t>
      </w:r>
      <w:r>
        <w:t>ыми и единичными метастазами рака почки рекомендуется полное хирургическое удаление первичной опухоли и метастатических очагов. Пациентам с ПКР с множественными метастазами, относящимся к группе благоприятного прогноза IMDC, показана циторедуктивная нефрэк</w:t>
      </w:r>
      <w:r>
        <w:t>томия (цНЭ) до начала системной противоопухолевой терапии.</w:t>
      </w:r>
    </w:p>
    <w:p w:rsidR="00C3791F" w:rsidRDefault="00AE1F83">
      <w:pPr>
        <w:ind w:left="127" w:right="189" w:firstLine="709"/>
      </w:pPr>
      <w:r>
        <w:t xml:space="preserve">Около 1/3 заболевших на момент выявления опухоли почки имеют отдаленные метастазы. У 30 % пациентов, подвергнутых радикальному хирургическому лечению, в процессе дальнейшего наблюдения развивается </w:t>
      </w:r>
      <w:r>
        <w:t>диссеминация опухолевого процесса. В связи с этим около 50 % пациентов, страдающих ПКР, нуждаются или будут нуждаться в системной противоопухолевой терапии.</w:t>
      </w:r>
    </w:p>
    <w:p w:rsidR="00C3791F" w:rsidRDefault="00AE1F83">
      <w:pPr>
        <w:spacing w:after="447"/>
        <w:ind w:left="127" w:right="189" w:firstLine="709"/>
      </w:pPr>
      <w:r>
        <w:t>Для лечения неоперабельного местно-распространенного и диссеминированного ПКР используются режимы с</w:t>
      </w:r>
      <w:r>
        <w:t>истемной лекарственной терапии, основанные на таргетных ингибиторах фактора роста эндотелия сосудов (VEGF), мультикиназных ингибиторах рецепторов ростовых факторов, мишени рапамицина млекопитающих (mTOR), агентах, блокирующих белок программируемой клеточно</w:t>
      </w:r>
      <w:r>
        <w:t>й смерти лимфоцитов (PD-1) или его лиганд 1-го типа (PD-L1), а также антителах к цитотоксическому Т-лимфоциту 4-го типа (CTLA-4).</w:t>
      </w:r>
    </w:p>
    <w:p w:rsidR="00C3791F" w:rsidRDefault="00AE1F83">
      <w:pPr>
        <w:spacing w:after="148" w:line="265" w:lineRule="auto"/>
        <w:ind w:left="861"/>
      </w:pPr>
      <w:r>
        <w:rPr>
          <w:b/>
        </w:rPr>
        <w:t>3.1. Хирургическое лечение</w:t>
      </w:r>
    </w:p>
    <w:p w:rsidR="00C3791F" w:rsidRDefault="00AE1F83">
      <w:pPr>
        <w:spacing w:after="272" w:line="265" w:lineRule="auto"/>
        <w:ind w:left="861"/>
      </w:pPr>
      <w:r>
        <w:rPr>
          <w:b/>
        </w:rPr>
        <w:t>3.1.1. Резекция почки</w:t>
      </w:r>
    </w:p>
    <w:p w:rsidR="00C3791F" w:rsidRDefault="00AE1F83">
      <w:pPr>
        <w:spacing w:after="0" w:line="359" w:lineRule="auto"/>
        <w:ind w:left="803" w:right="181" w:hanging="89"/>
        <w:jc w:val="right"/>
      </w:pPr>
      <w:r>
        <w:rPr>
          <w:rFonts w:ascii="Segoe UI Symbol" w:eastAsia="Segoe UI Symbol" w:hAnsi="Segoe UI Symbol" w:cs="Segoe UI Symbol"/>
        </w:rPr>
        <w:t xml:space="preserve"> </w:t>
      </w:r>
      <w:r>
        <w:rPr>
          <w:b/>
        </w:rPr>
        <w:t>Рекомендуется</w:t>
      </w:r>
      <w:r>
        <w:t xml:space="preserve"> </w:t>
      </w:r>
      <w:r>
        <w:tab/>
        <w:t xml:space="preserve">выполнение резекции почки (РП), в том числе </w:t>
      </w:r>
      <w:r>
        <w:t>лапароскопической РП, у пациентов с клинически локализованными формами ПКР (стадии сТ1-T2N0M0) в случаях, если размер и локализация опухоли позволяют выполнить органосохраняющие операции [103–108].</w:t>
      </w:r>
    </w:p>
    <w:p w:rsidR="00C3791F" w:rsidRDefault="00AE1F83">
      <w:pPr>
        <w:spacing w:line="357" w:lineRule="auto"/>
        <w:ind w:left="127" w:firstLine="709"/>
      </w:pPr>
      <w:r>
        <w:rPr>
          <w:b/>
        </w:rPr>
        <w:t>Уровень убедительности рекомендаций ‒ А (уровень достоверн</w:t>
      </w:r>
      <w:r>
        <w:rPr>
          <w:b/>
        </w:rPr>
        <w:t>ости доказательств – 1).</w:t>
      </w:r>
    </w:p>
    <w:p w:rsidR="00C3791F" w:rsidRDefault="00AE1F83">
      <w:pPr>
        <w:spacing w:after="39" w:line="359" w:lineRule="auto"/>
        <w:ind w:left="127" w:right="208" w:firstLine="710"/>
      </w:pPr>
      <w:r>
        <w:rPr>
          <w:b/>
          <w:i/>
        </w:rPr>
        <w:t xml:space="preserve">Комментарий (доказательная база): </w:t>
      </w:r>
      <w:r>
        <w:rPr>
          <w:i/>
        </w:rPr>
        <w:t>РП сравнивали с РН в единственном рандомизированном исследовании III фазы, проведенном European Organization for Research and Treatment of Cancer Genito-Urinary Group (EORTC-GU), разработанном в ди</w:t>
      </w:r>
      <w:r>
        <w:rPr>
          <w:i/>
        </w:rPr>
        <w:t>зайне non-inferiority («не хуже») и преждевременно закрытом из-за плохого набора пациентов (541 из 1300 запланированных рекрутов). В исследование включали пациентов с удобными для органосохраняющего вмешательства опухолями почечной паренхимы размерами &lt;4 с</w:t>
      </w:r>
      <w:r>
        <w:rPr>
          <w:i/>
        </w:rPr>
        <w:t>м. Анализ результатов был проведен согласно группе рандомизации и продемонстрировал тенденцию к уменьшению ОВ в группе РП по сравнению с РН при медиане наблюдения 9,3 года (отношение шансов (ОШ) 1,5; 95 % доверительный интервал (ДИ) 1,03‒2,16; р = 0,03). Н</w:t>
      </w:r>
      <w:r>
        <w:rPr>
          <w:i/>
        </w:rPr>
        <w:t>едостаточное количество рецидивов и смертей у незапланированно малого числа пациентов не позволило адекватно провести сравнение безрецидивной (БРВ) и специфической (СВ) выживаемости между группами [103].</w:t>
      </w:r>
    </w:p>
    <w:p w:rsidR="00C3791F" w:rsidRDefault="00AE1F83">
      <w:pPr>
        <w:spacing w:after="39" w:line="359" w:lineRule="auto"/>
        <w:ind w:left="127" w:right="208" w:firstLine="710"/>
      </w:pPr>
      <w:r>
        <w:rPr>
          <w:i/>
        </w:rPr>
        <w:t xml:space="preserve">Проведено несколько метаанализов исследований, сравнивающих РП и РН при клинически локализованных опухолях почечной паренхимы. Рабочая группа Cochrane Database of Systematic Reviews (2017) провела метаанализ данных 541 пациента с клинически локализованным </w:t>
      </w:r>
      <w:r>
        <w:rPr>
          <w:i/>
        </w:rPr>
        <w:t>раком паренхимы почки, подвергнутого органосохраняющему или органоуносящему лечению в рамках протокола EORTC 30904. При медиане наблюдения 9,3 года зарегистрировано увеличение риска смерти от любой причины при выполнении РП (ОШ 1,50; 95 % ДИ 1,03‒2,18). Ур</w:t>
      </w:r>
      <w:r>
        <w:rPr>
          <w:i/>
        </w:rPr>
        <w:t>овень доказательности исследования низкий [104].</w:t>
      </w:r>
    </w:p>
    <w:p w:rsidR="00C3791F" w:rsidRDefault="00AE1F83">
      <w:pPr>
        <w:spacing w:after="39" w:line="359" w:lineRule="auto"/>
        <w:ind w:left="127" w:right="208" w:firstLine="710"/>
      </w:pPr>
      <w:r>
        <w:rPr>
          <w:i/>
        </w:rPr>
        <w:t xml:space="preserve">Канадский метаанализ (2016) индивидуальных данных пациентов с раком паренхимы почки T1N0M0, вошедших в Canadian Kidney Cancer Information System, которым выполняли РП (n = 1615) или РН (n = 2358), не выявил </w:t>
      </w:r>
      <w:r>
        <w:rPr>
          <w:i/>
        </w:rPr>
        <w:t xml:space="preserve">достоверных различий времени до прогрессирования в группах (ОШ 1,17; 95 % ДИ 0,8‒1,72; р = 0,42) [105]. В метаанализе (2017) 21 сравнительного исследования РН (n = 8620) и РП (n = 2584) при ПКР категорий cТ1b-Т2 отмечено снижение риска местного рецидива в </w:t>
      </w:r>
      <w:r>
        <w:rPr>
          <w:i/>
        </w:rPr>
        <w:t>группе РП (отношение рисков (ОР) 0,6; p &lt;0,001), смерти от прогрессирования ПКР (отношение рисков (ОР) 0,58; p = 0,001) и смерти от любой причины (ОР 0,67; p = 0,005).</w:t>
      </w:r>
    </w:p>
    <w:p w:rsidR="00C3791F" w:rsidRDefault="00AE1F83">
      <w:pPr>
        <w:spacing w:line="359" w:lineRule="auto"/>
        <w:ind w:left="127" w:right="208" w:firstLine="710"/>
      </w:pPr>
      <w:r>
        <w:rPr>
          <w:i/>
        </w:rPr>
        <w:t>В субанализе 4 исследований, сравнивавших РП (n = 212) и РН (n = 1792) при категории сТ2</w:t>
      </w:r>
      <w:r>
        <w:rPr>
          <w:i/>
        </w:rPr>
        <w:t>, органосохраняющий подход достоверно снижал риск рецидива (ОР 0,61; p = 0,004) и риск смерти от рака почки (ОР 0,65; p = 0,03) [106]. Последний к настоящему времени метаанализ (2019) 16 исследований, включивший данные 33 117 пациентов с раком паренхимы по</w:t>
      </w:r>
      <w:r>
        <w:rPr>
          <w:i/>
        </w:rPr>
        <w:t>чки сТ1b, показал, что РП обеспечивает сопоставимую с РН 10-летнюю БРВ и ОВ, уступая в отношении СВ (ОР 1,04; р &lt;0,05) [107].</w:t>
      </w:r>
    </w:p>
    <w:p w:rsidR="00C3791F" w:rsidRDefault="00AE1F83">
      <w:pPr>
        <w:spacing w:line="359" w:lineRule="auto"/>
        <w:ind w:left="127" w:right="208" w:firstLine="710"/>
      </w:pPr>
      <w:r>
        <w:rPr>
          <w:i/>
        </w:rPr>
        <w:t>Доказана онкологическая безопасность применения эндоскопического доступа для РП при ПКР. Эндоскопическая РП ассоциирована с уменьш</w:t>
      </w:r>
      <w:r>
        <w:rPr>
          <w:i/>
        </w:rPr>
        <w:t>ением интенсивности и длительности послеоперационного болевого синдрома, потребности в обезболивающих препаратах и длительности пребывания в стационаре [108].</w:t>
      </w:r>
    </w:p>
    <w:p w:rsidR="00C3791F" w:rsidRDefault="00AE1F83">
      <w:pPr>
        <w:spacing w:line="359" w:lineRule="auto"/>
        <w:ind w:left="127" w:right="208" w:firstLine="710"/>
      </w:pPr>
      <w:r>
        <w:rPr>
          <w:b/>
          <w:i/>
        </w:rPr>
        <w:t>Показания к РП.</w:t>
      </w:r>
      <w:r>
        <w:rPr>
          <w:i/>
        </w:rPr>
        <w:t xml:space="preserve"> Выделяют абсолютные, относительные и элективные показания к РП. Абсолютными показ</w:t>
      </w:r>
      <w:r>
        <w:rPr>
          <w:i/>
        </w:rPr>
        <w:t>аниями к органосохраняющему лечению считаются наличие опухоли единственной почки, в том числе единственной функционирующей, или двустороннее опухолевое поражение почек. К относительным показаниям относят опухоль почечной паренхимы при функционирующей контр</w:t>
      </w:r>
      <w:r>
        <w:rPr>
          <w:i/>
        </w:rPr>
        <w:t>алатеральной почке у пациентов с сопутствующими заболеваниями, способными привести к ухудшению почечной функции (хронический пиелонефрит, хронический гломерулонефрит, мочекаменная болезнь, сахарный диабет, АГ, атеросклероз сосудов, нефросклероз и др.). Эле</w:t>
      </w:r>
      <w:r>
        <w:rPr>
          <w:i/>
        </w:rPr>
        <w:t>ктивные показания к органосохраняющему хирургическому лечению имеют пациенты с клинически локализованным ПКР (стадии сТ1-Т2N0M0) с интактной второй почкой.</w:t>
      </w:r>
    </w:p>
    <w:p w:rsidR="00C3791F" w:rsidRDefault="00AE1F83">
      <w:pPr>
        <w:spacing w:line="359" w:lineRule="auto"/>
        <w:ind w:left="127" w:right="208" w:firstLine="710"/>
      </w:pPr>
      <w:r>
        <w:rPr>
          <w:b/>
          <w:i/>
        </w:rPr>
        <w:t>Основные цели</w:t>
      </w:r>
      <w:r>
        <w:rPr>
          <w:i/>
        </w:rPr>
        <w:t xml:space="preserve"> </w:t>
      </w:r>
      <w:r>
        <w:rPr>
          <w:b/>
          <w:i/>
        </w:rPr>
        <w:t>РП:</w:t>
      </w:r>
      <w:r>
        <w:rPr>
          <w:i/>
        </w:rPr>
        <w:t xml:space="preserve"> радикальность, морфологически подтвержденная отсутствием опухолевых клеток по краю</w:t>
      </w:r>
      <w:r>
        <w:rPr>
          <w:i/>
        </w:rPr>
        <w:t xml:space="preserve"> разреза; минимальное снижение почечной функции за счет сохранения максимально возможного объема паренхимы и наименьшего времени ишемии и отсутствие специфичных осложнений, таких как кровотечение из зоны резекции и мочевой затек.</w:t>
      </w:r>
    </w:p>
    <w:p w:rsidR="00C3791F" w:rsidRDefault="00AE1F83">
      <w:pPr>
        <w:spacing w:after="163" w:line="359" w:lineRule="auto"/>
        <w:ind w:left="127" w:right="208" w:firstLine="710"/>
      </w:pPr>
      <w:r>
        <w:rPr>
          <w:b/>
          <w:i/>
        </w:rPr>
        <w:t>При выполнении РП должны с</w:t>
      </w:r>
      <w:r>
        <w:rPr>
          <w:b/>
          <w:i/>
        </w:rPr>
        <w:t>облюдаться следующие принципы:</w:t>
      </w:r>
      <w:r>
        <w:rPr>
          <w:i/>
        </w:rPr>
        <w:t xml:space="preserve"> удобный доступ (допустимо использование открытого лапаротомного или внебрюшинного, эндоскопического – лапароскопического или ретроперитонеоскопического доступов); контроль почечных сосудов; удаление опухоли с прилежащей паран</w:t>
      </w:r>
      <w:r>
        <w:rPr>
          <w:i/>
        </w:rPr>
        <w:t>ефральной клетчаткой в пределах визуально неизмененных тканей; герметичное ушивание собирательной системы и надежный гемостаз.</w:t>
      </w:r>
    </w:p>
    <w:p w:rsidR="00C3791F" w:rsidRDefault="00AE1F83">
      <w:pPr>
        <w:numPr>
          <w:ilvl w:val="0"/>
          <w:numId w:val="27"/>
        </w:numPr>
        <w:ind w:right="189" w:hanging="357"/>
      </w:pPr>
      <w:r>
        <w:t xml:space="preserve">При сложностях выявления интрапаренхиматозных опухолей во время РП </w:t>
      </w:r>
      <w:r>
        <w:rPr>
          <w:b/>
        </w:rPr>
        <w:t>рекомендуется</w:t>
      </w:r>
      <w:r>
        <w:t xml:space="preserve"> использование интраоперационного УЗИ [109–111].</w:t>
      </w:r>
    </w:p>
    <w:p w:rsidR="00C3791F" w:rsidRDefault="00AE1F83">
      <w:pPr>
        <w:spacing w:after="454" w:line="357" w:lineRule="auto"/>
        <w:ind w:left="127" w:firstLine="709"/>
      </w:pPr>
      <w:r>
        <w:rPr>
          <w:b/>
        </w:rPr>
        <w:t>Уровень убедительности рекомендаций ‒ С (уровень достоверности доказательств – 4).</w:t>
      </w:r>
    </w:p>
    <w:p w:rsidR="00C3791F" w:rsidRDefault="00AE1F83">
      <w:pPr>
        <w:spacing w:after="272" w:line="265" w:lineRule="auto"/>
        <w:ind w:left="861"/>
      </w:pPr>
      <w:r>
        <w:rPr>
          <w:b/>
        </w:rPr>
        <w:t>3.1.2. Радикальная нефрэктомия</w:t>
      </w:r>
    </w:p>
    <w:p w:rsidR="00C3791F" w:rsidRDefault="00AE1F83">
      <w:pPr>
        <w:numPr>
          <w:ilvl w:val="0"/>
          <w:numId w:val="27"/>
        </w:numPr>
        <w:ind w:right="189" w:hanging="357"/>
      </w:pPr>
      <w:r>
        <w:rPr>
          <w:b/>
        </w:rPr>
        <w:t>Рекомендуется</w:t>
      </w:r>
      <w:r>
        <w:t xml:space="preserve"> выполнение РН, в том числе лапароскопической РН, у пациентов с клинически локализованным ПКР (стадии сТ1</w:t>
      </w:r>
      <w:r>
        <w:rPr>
          <w:i/>
        </w:rPr>
        <w:t>-</w:t>
      </w:r>
      <w:r>
        <w:t>Т2N0M0) при опухолях, н</w:t>
      </w:r>
      <w:r>
        <w:t>е подходящих для РП, а также у пациентов с местнораспространенным ПКР (стадии сТ3a</w:t>
      </w:r>
      <w:r>
        <w:rPr>
          <w:i/>
        </w:rPr>
        <w:t>-</w:t>
      </w:r>
      <w:r>
        <w:t>T4N0</w:t>
      </w:r>
      <w:r>
        <w:rPr>
          <w:i/>
        </w:rPr>
        <w:t>-</w:t>
      </w:r>
      <w:r>
        <w:t>1M0) [104–107, 112–117].</w:t>
      </w:r>
    </w:p>
    <w:p w:rsidR="00C3791F" w:rsidRDefault="00AE1F83">
      <w:pPr>
        <w:spacing w:line="357" w:lineRule="auto"/>
        <w:ind w:left="127" w:firstLine="709"/>
      </w:pPr>
      <w:r>
        <w:rPr>
          <w:b/>
        </w:rPr>
        <w:t>Уровень убедительности рекомендаций ‒ А (уровень достоверности доказательств – 1).</w:t>
      </w:r>
    </w:p>
    <w:p w:rsidR="00C3791F" w:rsidRDefault="00AE1F83">
      <w:pPr>
        <w:spacing w:after="39" w:line="359" w:lineRule="auto"/>
        <w:ind w:left="127" w:right="208" w:firstLine="710"/>
      </w:pPr>
      <w:r>
        <w:rPr>
          <w:b/>
          <w:i/>
        </w:rPr>
        <w:t xml:space="preserve">Комментарий (доказательная база): </w:t>
      </w:r>
      <w:r>
        <w:rPr>
          <w:i/>
        </w:rPr>
        <w:t>онкологическая эффективнос</w:t>
      </w:r>
      <w:r>
        <w:rPr>
          <w:i/>
        </w:rPr>
        <w:t>ть РН, в течение долгих лет являвшейся стандартом лечения любых опухолей почечной паренхимы, доказана в исторических сериях наблюдений [112], подтверждена результатами рандомизированного исследования EORTC 30904 [104] и последующих метаанализов [105– 107].</w:t>
      </w:r>
    </w:p>
    <w:p w:rsidR="00C3791F" w:rsidRDefault="00AE1F83">
      <w:pPr>
        <w:spacing w:line="359" w:lineRule="auto"/>
        <w:ind w:left="127" w:right="208" w:firstLine="710"/>
      </w:pPr>
      <w:r>
        <w:rPr>
          <w:i/>
        </w:rPr>
        <w:t>Классический объем РН, включающий экстрафасциальное удаление опухолевопораженной почки с паранефральной клетчаткой, ипсилатеральным надпочечником и регионарными ЛУ, остается актуальным только для лечения местнораспространенного ПКР. При клинически локализ</w:t>
      </w:r>
      <w:r>
        <w:rPr>
          <w:i/>
        </w:rPr>
        <w:t>ованном раке паренхимы почки доказано, что удаление ипсилатерального надпочечника не влияет на ОВ и СВ [113, 114]. В связи со значительной вариабельностью путей лимфооттока от почек стандартных границ лимфодиссекции при ПКР не существует. По данным рандоми</w:t>
      </w:r>
      <w:r>
        <w:rPr>
          <w:i/>
        </w:rPr>
        <w:t>зированного исследования EORTC 30881, сравнивающего результаты РН с рутинной лимфодиссекцией и без нее у пациентов с ПКР с визуально неизмененными забрюшинными ЛУ, частота выявления регионарных микрометастазов составила 3,3 %. Выполнение рутинной лимфодисс</w:t>
      </w:r>
      <w:r>
        <w:rPr>
          <w:i/>
        </w:rPr>
        <w:t>екции не влияло на выживаемость, но не приводило к увеличению частоты осложнений [115].</w:t>
      </w:r>
    </w:p>
    <w:p w:rsidR="00C3791F" w:rsidRDefault="00AE1F83">
      <w:pPr>
        <w:spacing w:line="359" w:lineRule="auto"/>
        <w:ind w:left="127" w:right="208" w:firstLine="710"/>
      </w:pPr>
      <w:r>
        <w:rPr>
          <w:i/>
        </w:rPr>
        <w:t>Доказана онкологическая безопасность применения эндоскопического доступа для РН. Лапароскопическая РН ассоциирована с уменьшением интенсивности и длительности послеопер</w:t>
      </w:r>
      <w:r>
        <w:rPr>
          <w:i/>
        </w:rPr>
        <w:t>ационного болевого синдрома, потребности в обезболивающих препаратах и длительности пребывания в стационаре [116, 117].</w:t>
      </w:r>
    </w:p>
    <w:p w:rsidR="00C3791F" w:rsidRDefault="00AE1F83">
      <w:pPr>
        <w:spacing w:line="359" w:lineRule="auto"/>
        <w:ind w:left="127" w:right="208" w:firstLine="710"/>
      </w:pPr>
      <w:r>
        <w:rPr>
          <w:b/>
          <w:i/>
        </w:rPr>
        <w:t>Показания</w:t>
      </w:r>
      <w:r>
        <w:rPr>
          <w:i/>
        </w:rPr>
        <w:t xml:space="preserve"> </w:t>
      </w:r>
      <w:r>
        <w:rPr>
          <w:b/>
          <w:i/>
        </w:rPr>
        <w:t>к РН:</w:t>
      </w:r>
      <w:r>
        <w:rPr>
          <w:i/>
        </w:rPr>
        <w:t xml:space="preserve"> клинически локализованный ПКР (стадии сТ1-Т2N0M0) при опухолях, не подходящих для РП; местно-распространенный рак паренх</w:t>
      </w:r>
      <w:r>
        <w:rPr>
          <w:i/>
        </w:rPr>
        <w:t>имы почки (сТ3aT4N0-1M0).</w:t>
      </w:r>
    </w:p>
    <w:p w:rsidR="00C3791F" w:rsidRDefault="00AE1F83">
      <w:pPr>
        <w:spacing w:after="114" w:line="259" w:lineRule="auto"/>
        <w:ind w:left="851" w:right="208" w:firstLine="0"/>
      </w:pPr>
      <w:r>
        <w:rPr>
          <w:b/>
          <w:i/>
        </w:rPr>
        <w:t>Основная цель РН ‒</w:t>
      </w:r>
      <w:r>
        <w:rPr>
          <w:i/>
        </w:rPr>
        <w:t xml:space="preserve"> полное удаление всех определяемых опухолевых узлов.</w:t>
      </w:r>
    </w:p>
    <w:p w:rsidR="00C3791F" w:rsidRDefault="00AE1F83">
      <w:pPr>
        <w:spacing w:after="114" w:line="259" w:lineRule="auto"/>
        <w:ind w:left="846"/>
        <w:jc w:val="left"/>
      </w:pPr>
      <w:r>
        <w:rPr>
          <w:b/>
          <w:i/>
        </w:rPr>
        <w:t>Принципы</w:t>
      </w:r>
      <w:r>
        <w:rPr>
          <w:i/>
        </w:rPr>
        <w:t xml:space="preserve"> </w:t>
      </w:r>
      <w:r>
        <w:rPr>
          <w:b/>
          <w:i/>
        </w:rPr>
        <w:t>РН зависят от клинической стадии ПКР.</w:t>
      </w:r>
    </w:p>
    <w:p w:rsidR="00C3791F" w:rsidRDefault="00AE1F83">
      <w:pPr>
        <w:spacing w:line="359" w:lineRule="auto"/>
        <w:ind w:left="127" w:right="208" w:firstLine="710"/>
      </w:pPr>
      <w:r>
        <w:rPr>
          <w:i/>
        </w:rPr>
        <w:t>При выполнении РН у пациентов с клинически локализованным ПКР (стадии сТ1Т2N0M0) следует использовать удобный для врача-хирурга доступ (предпочтение должно отдаваться лапароскопическому доступу). Объем операции должен включать удаление почки с паранефральн</w:t>
      </w:r>
      <w:r>
        <w:rPr>
          <w:i/>
        </w:rPr>
        <w:t>ой клетчаткой. При отсутствии радиологически определяемых опухолевых узлов в ипсилатеральном надпочечнике, подтвержденном при интраоперационной ревизии, адреналэктомия со стороны поражения почки не показана. Регионарная лимфаденэктомия может быть выполнена</w:t>
      </w:r>
      <w:r>
        <w:rPr>
          <w:i/>
        </w:rPr>
        <w:t xml:space="preserve"> со стадирующей целью по решению оперирующего врача-хирурга.</w:t>
      </w:r>
    </w:p>
    <w:p w:rsidR="00C3791F" w:rsidRDefault="00AE1F83">
      <w:pPr>
        <w:spacing w:after="634" w:line="359" w:lineRule="auto"/>
        <w:ind w:left="127" w:right="208" w:firstLine="710"/>
      </w:pPr>
      <w:r>
        <w:rPr>
          <w:i/>
        </w:rPr>
        <w:t>При выполнении РН при местно-распространенном раке паренхимы почки (стадии сТ3а-Т4N0-1M0) должен быть использован чрезбрюшинный доступ (предпочтение должно отдаваться лапаротомии). Объем операции</w:t>
      </w:r>
      <w:r>
        <w:rPr>
          <w:i/>
        </w:rPr>
        <w:t xml:space="preserve"> должен включать экстрафасциальное удаление почки с паранефральной клетчаткой и регионарными ЛУ (паракавальными и аортокавальными – при опухоли правой, парааортальными и аортокавальными – при опухоли левой почки). Ипсилатеральная адреналэктомия оправдана п</w:t>
      </w:r>
      <w:r>
        <w:rPr>
          <w:i/>
        </w:rPr>
        <w:t>ри наличии массивных опухолей, поражении верхнего полюса почки, подозрении на метастатическое или местно-инвазивное поражение надпочечника. Врастание опухоли почки в соседние органы служит показанием к их резекции.</w:t>
      </w:r>
    </w:p>
    <w:p w:rsidR="00C3791F" w:rsidRDefault="00AE1F83">
      <w:pPr>
        <w:spacing w:after="272" w:line="265" w:lineRule="auto"/>
        <w:ind w:left="861"/>
      </w:pPr>
      <w:r>
        <w:rPr>
          <w:b/>
        </w:rPr>
        <w:t>3.1.3. Радикальная нефрэктомия, тромбэкто</w:t>
      </w:r>
      <w:r>
        <w:rPr>
          <w:b/>
        </w:rPr>
        <w:t>мия</w:t>
      </w:r>
    </w:p>
    <w:p w:rsidR="00C3791F" w:rsidRDefault="00AE1F83">
      <w:pPr>
        <w:ind w:left="1571" w:right="189" w:hanging="357"/>
      </w:pPr>
      <w:r>
        <w:rPr>
          <w:rFonts w:ascii="Segoe UI Symbol" w:eastAsia="Segoe UI Symbol" w:hAnsi="Segoe UI Symbol" w:cs="Segoe UI Symbol"/>
        </w:rPr>
        <w:t xml:space="preserve"> </w:t>
      </w:r>
      <w:r>
        <w:rPr>
          <w:b/>
        </w:rPr>
        <w:t>Рекомендуется</w:t>
      </w:r>
      <w:r>
        <w:t xml:space="preserve"> проведение РН и тромбэктомии пациентам с местнораспространенным ПКР с опухолевым венозным тромбозом почечной вены, НПВ, правого предсердия, правого желудочка сердца без или с инвазией стенок вен и/или эндокарда (стадии cT3a</w:t>
      </w:r>
      <w:r>
        <w:rPr>
          <w:i/>
        </w:rPr>
        <w:t>-</w:t>
      </w:r>
      <w:r>
        <w:t>T4N0</w:t>
      </w:r>
      <w:r>
        <w:rPr>
          <w:i/>
        </w:rPr>
        <w:t>-</w:t>
      </w:r>
      <w:r>
        <w:t>1M0) [2</w:t>
      </w:r>
      <w:r>
        <w:t>3, 93, 118, 119].</w:t>
      </w:r>
    </w:p>
    <w:p w:rsidR="00C3791F" w:rsidRDefault="00AE1F83">
      <w:pPr>
        <w:spacing w:line="357" w:lineRule="auto"/>
        <w:ind w:left="127" w:firstLine="709"/>
      </w:pPr>
      <w:r>
        <w:rPr>
          <w:b/>
        </w:rPr>
        <w:t>Уровень убедительности рекомендаций – С (уровень достоверности доказательств – 4).</w:t>
      </w:r>
    </w:p>
    <w:p w:rsidR="00C3791F" w:rsidRDefault="00AE1F83">
      <w:pPr>
        <w:spacing w:line="359" w:lineRule="auto"/>
        <w:ind w:left="127" w:right="208" w:firstLine="710"/>
      </w:pPr>
      <w:r>
        <w:rPr>
          <w:b/>
          <w:i/>
        </w:rPr>
        <w:t xml:space="preserve">Комментарий (доказательная база): </w:t>
      </w:r>
      <w:r>
        <w:rPr>
          <w:i/>
        </w:rPr>
        <w:t>онкологическая эффективность РН, тромбэктомии доказана в сериях наблюдений [23, 118].</w:t>
      </w:r>
    </w:p>
    <w:p w:rsidR="00C3791F" w:rsidRDefault="00AE1F83">
      <w:pPr>
        <w:spacing w:line="359" w:lineRule="auto"/>
        <w:ind w:left="127" w:right="208" w:firstLine="710"/>
      </w:pPr>
      <w:r>
        <w:rPr>
          <w:i/>
        </w:rPr>
        <w:t>В многоцентровом исследовании, включающем 63 пациентов, подвергнутых тромбэктомии при ПКР с тромбозом IV уровня по Novick в условиях искусственного кровообращения, было показано, что фармакохолодовая кардиоплегия позволяет снизить частоту осложнений с 37,5</w:t>
      </w:r>
      <w:r>
        <w:rPr>
          <w:i/>
        </w:rPr>
        <w:t xml:space="preserve"> до 8,3 % (р = 0,006) [119].</w:t>
      </w:r>
    </w:p>
    <w:p w:rsidR="00C3791F" w:rsidRDefault="00AE1F83">
      <w:pPr>
        <w:spacing w:line="359" w:lineRule="auto"/>
        <w:ind w:left="127" w:right="208" w:firstLine="710"/>
      </w:pPr>
      <w:r>
        <w:rPr>
          <w:b/>
          <w:i/>
        </w:rPr>
        <w:t>Показания</w:t>
      </w:r>
      <w:r>
        <w:rPr>
          <w:i/>
        </w:rPr>
        <w:t xml:space="preserve"> </w:t>
      </w:r>
      <w:r>
        <w:rPr>
          <w:b/>
          <w:i/>
        </w:rPr>
        <w:t>к РН, тромбэктомии:</w:t>
      </w:r>
      <w:r>
        <w:rPr>
          <w:i/>
        </w:rPr>
        <w:t xml:space="preserve"> местно-распространенный рак почки с опухолевым венозным тромбозом почечной вены, НПВ, правого предсердия, правого желудочка сердца без или с инвазией стенок вен и/или эндокарда (сТ3a-T4N0-1M0).</w:t>
      </w:r>
    </w:p>
    <w:p w:rsidR="00C3791F" w:rsidRDefault="00AE1F83">
      <w:pPr>
        <w:spacing w:line="359" w:lineRule="auto"/>
        <w:ind w:left="127" w:right="208" w:firstLine="710"/>
      </w:pPr>
      <w:r>
        <w:rPr>
          <w:b/>
          <w:i/>
        </w:rPr>
        <w:t>Осн</w:t>
      </w:r>
      <w:r>
        <w:rPr>
          <w:b/>
          <w:i/>
        </w:rPr>
        <w:t>овные</w:t>
      </w:r>
      <w:r>
        <w:rPr>
          <w:i/>
        </w:rPr>
        <w:t xml:space="preserve"> </w:t>
      </w:r>
      <w:r>
        <w:rPr>
          <w:b/>
          <w:i/>
        </w:rPr>
        <w:t>задачи,</w:t>
      </w:r>
      <w:r>
        <w:rPr>
          <w:i/>
        </w:rPr>
        <w:t xml:space="preserve"> стоящие перед операционной бригадой во время РН, тромбэктомии: 1) профилактика тромбоэмболии легочной артерии на этапе мобилизации НПВ; 2) радикальное удаление всех опухолевых масс; 3) профилактика массивной одномоментной кровопотери; 4) восс</w:t>
      </w:r>
      <w:r>
        <w:rPr>
          <w:i/>
        </w:rPr>
        <w:t>тановление адекватного венозного оттока от контралатеральной почки и печени в НПВ, а также из системы НПВ в правое предсердие.</w:t>
      </w:r>
    </w:p>
    <w:p w:rsidR="00C3791F" w:rsidRDefault="00AE1F83">
      <w:pPr>
        <w:spacing w:after="452" w:line="359" w:lineRule="auto"/>
        <w:ind w:left="127" w:right="208" w:firstLine="710"/>
      </w:pPr>
      <w:r>
        <w:rPr>
          <w:i/>
        </w:rPr>
        <w:t xml:space="preserve">Для решения поставленных задач </w:t>
      </w:r>
      <w:r>
        <w:rPr>
          <w:b/>
          <w:i/>
        </w:rPr>
        <w:t>следует соблюдать ряд основных</w:t>
      </w:r>
      <w:r>
        <w:rPr>
          <w:i/>
        </w:rPr>
        <w:t xml:space="preserve"> </w:t>
      </w:r>
      <w:r>
        <w:rPr>
          <w:b/>
          <w:i/>
        </w:rPr>
        <w:t>принципов:</w:t>
      </w:r>
      <w:r>
        <w:rPr>
          <w:i/>
        </w:rPr>
        <w:t xml:space="preserve"> 1) широкий доступ, обеспечивающий экспозицию пораженной </w:t>
      </w:r>
      <w:r>
        <w:rPr>
          <w:i/>
        </w:rPr>
        <w:t>почки и НПВ (с возможностью быстрой мобилизации интраперикардиальной НПВ и правого предсердия при тромбозе III−IV уровней); 2) доступ в забрюшинное пространство справа для контроля НПВ; 3) полная мобилизация почки с паранефрием до тромбэктомии; 3) циркуляр</w:t>
      </w:r>
      <w:r>
        <w:rPr>
          <w:i/>
        </w:rPr>
        <w:t xml:space="preserve">ная мобилизация тромбированной НПВ с перевязкой всех впадающих в нее коллатералей; 4) выполнение кавотомии, тромбэктомии в условиях «сухого» операционного поля за счет пережатия НПВ выше и ниже тромба, а также контралатеральной почечной вены (при тромбозе </w:t>
      </w:r>
      <w:r>
        <w:rPr>
          <w:i/>
        </w:rPr>
        <w:t>III−IV уровней также необходимо пережатие гепатодуоденальной связки); 5) тщательная визуальная ревизия внутренней поверхности НПВ после тромбэктомии и полное удаление резидуальных опухолевых очагов; 6) реконструкция НПВ (с сохранением нормальной анатомии в</w:t>
      </w:r>
      <w:r>
        <w:rPr>
          <w:i/>
        </w:rPr>
        <w:t>енозного русла или без него); 7) для безопасного контроля верхушки тромба, уходящего в правые отделы сердца, целесообразно использование искусственного кровообращения (предпочтительно с холодовой кардиоплегией).</w:t>
      </w:r>
    </w:p>
    <w:p w:rsidR="00C3791F" w:rsidRDefault="00AE1F83">
      <w:pPr>
        <w:spacing w:after="272" w:line="265" w:lineRule="auto"/>
        <w:ind w:left="861"/>
      </w:pPr>
      <w:r>
        <w:rPr>
          <w:b/>
        </w:rPr>
        <w:t>3.1.4. Циторедуктивная нефрэктомия</w:t>
      </w:r>
    </w:p>
    <w:p w:rsidR="00C3791F" w:rsidRDefault="00AE1F83">
      <w:pPr>
        <w:ind w:left="1571" w:right="189" w:hanging="357"/>
      </w:pPr>
      <w:r>
        <w:rPr>
          <w:rFonts w:ascii="Segoe UI Symbol" w:eastAsia="Segoe UI Symbol" w:hAnsi="Segoe UI Symbol" w:cs="Segoe UI Symbol"/>
        </w:rPr>
        <w:t xml:space="preserve"> </w:t>
      </w:r>
      <w:r>
        <w:t>Отобран</w:t>
      </w:r>
      <w:r>
        <w:t xml:space="preserve">ным пациентам с генерализованным ПКР </w:t>
      </w:r>
      <w:r>
        <w:rPr>
          <w:b/>
        </w:rPr>
        <w:t xml:space="preserve">рекомендуется </w:t>
      </w:r>
      <w:r>
        <w:t>выполнение цНЭ, в том числе лапароскопической цНЭ, с полным удалением всех опухолевых очагов в забрюшинном пространстве (нефрэктомии с забрюшинной лимфаденэктомией и/или резекцией соседних органов), с цель</w:t>
      </w:r>
      <w:r>
        <w:t>ю улучшения результатов лекарственной противоопухолевой терапии [120–130].</w:t>
      </w:r>
    </w:p>
    <w:p w:rsidR="00C3791F" w:rsidRDefault="00AE1F83">
      <w:pPr>
        <w:spacing w:line="357" w:lineRule="auto"/>
        <w:ind w:left="127" w:firstLine="709"/>
      </w:pPr>
      <w:r>
        <w:rPr>
          <w:b/>
        </w:rPr>
        <w:t>Уровень убедительности рекомендаций − В (уровень достоверности доказательств – 2).</w:t>
      </w:r>
    </w:p>
    <w:p w:rsidR="00C3791F" w:rsidRDefault="00AE1F83">
      <w:pPr>
        <w:spacing w:line="359" w:lineRule="auto"/>
        <w:ind w:left="127" w:right="208" w:firstLine="710"/>
      </w:pPr>
      <w:r>
        <w:rPr>
          <w:b/>
          <w:i/>
        </w:rPr>
        <w:t xml:space="preserve">Комментарий (доказательная база): </w:t>
      </w:r>
      <w:r>
        <w:rPr>
          <w:i/>
        </w:rPr>
        <w:t xml:space="preserve">в течение 2 десятилетий цНЭ в комбинации с </w:t>
      </w:r>
      <w:r>
        <w:rPr>
          <w:i/>
        </w:rPr>
        <w:t>лекарственной терапией оставалась стандартом лечения мПКР, обеспечивая преимущество в показателях ОВ по сравнению с системной цитокиновой и таргетной терапией, по данным 2 рандомизированных [123, 124] и нескольких крупных ретроспективных исследований [125,</w:t>
      </w:r>
      <w:r>
        <w:rPr>
          <w:i/>
        </w:rPr>
        <w:t xml:space="preserve"> 126]. Ретроспективный анализ (n = 1658) показал, что цНЭ достоверно увеличивает ОВ только у пациентов с 4 факторами риска IMDC или менее [126]. Результаты рандомизированного исследования III фазы CARMENA, включившего 43 % пациентов группы плохого прогноза</w:t>
      </w:r>
      <w:r>
        <w:rPr>
          <w:i/>
        </w:rPr>
        <w:t xml:space="preserve"> по классификации MSKCC, продемонстрировали, что цНЭ с последующим назначением сунитиниба** не уступает таргетной терапии сунитинибом** в отношении ОВ. Медианы ОВ в группах составили 13,9 и 18,4 мес соответственно с ОР смерти 0,89 и 95 % ДИ 0,71−1,10, что </w:t>
      </w:r>
      <w:r>
        <w:rPr>
          <w:i/>
        </w:rPr>
        <w:t>не превышает фиксированный лимит non-inferiority 1,2, заложенный дизайном клинического протокола [127]. Эксплоративный анализ вторичных целей рандомизированного исследования EORTC SURTIМE показал, что отсроченная цНЭ после индукционной терапии сунитинибом*</w:t>
      </w:r>
      <w:r>
        <w:rPr>
          <w:i/>
        </w:rPr>
        <w:t>* у больных группы промежуточного прогноза улучшает показатели ОВ по сравнению с немедленной цНЭ (медиана ОВ 32,4 и 15,0 мес соответственно, ОР 0,57 (95 % ДИ 0,34−0,95), p = 0,032) [128]. Роль цНЭ у пациентов с мПКР, получающих иммунотерапию ингибиторами P</w:t>
      </w:r>
      <w:r>
        <w:rPr>
          <w:i/>
        </w:rPr>
        <w:t>D-(L)1 и CTLA-4, не изучалась.</w:t>
      </w:r>
    </w:p>
    <w:p w:rsidR="00C3791F" w:rsidRDefault="00AE1F83">
      <w:pPr>
        <w:spacing w:line="359" w:lineRule="auto"/>
        <w:ind w:left="127" w:right="208" w:firstLine="710"/>
      </w:pPr>
      <w:r>
        <w:rPr>
          <w:i/>
        </w:rPr>
        <w:t>В ретроспективных сериях наблюдений показано, что удаление максимально возможного объема опухоли во время цНЭ коррелирует с ОВ [129, 130].</w:t>
      </w:r>
    </w:p>
    <w:p w:rsidR="00C3791F" w:rsidRDefault="00AE1F83">
      <w:pPr>
        <w:spacing w:after="42" w:line="359" w:lineRule="auto"/>
        <w:ind w:left="127" w:right="208" w:firstLine="710"/>
      </w:pPr>
      <w:r>
        <w:rPr>
          <w:b/>
          <w:i/>
        </w:rPr>
        <w:t xml:space="preserve">Показания к цНЭ: </w:t>
      </w:r>
      <w:r>
        <w:rPr>
          <w:i/>
        </w:rPr>
        <w:t>наличие технически удаляемой первичной опухоли у пациентов с ПКР, спо</w:t>
      </w:r>
      <w:r>
        <w:rPr>
          <w:i/>
        </w:rPr>
        <w:t>собных перенести хирургическое вмешательство, относящихся к:</w:t>
      </w:r>
    </w:p>
    <w:p w:rsidR="00C3791F" w:rsidRDefault="00AE1F83">
      <w:pPr>
        <w:numPr>
          <w:ilvl w:val="0"/>
          <w:numId w:val="28"/>
        </w:numPr>
        <w:spacing w:after="146" w:line="259" w:lineRule="auto"/>
        <w:ind w:right="208" w:hanging="360"/>
      </w:pPr>
      <w:r>
        <w:rPr>
          <w:i/>
        </w:rPr>
        <w:t>группе хорошего прогноза IMDC;</w:t>
      </w:r>
    </w:p>
    <w:p w:rsidR="00C3791F" w:rsidRDefault="00AE1F83">
      <w:pPr>
        <w:numPr>
          <w:ilvl w:val="0"/>
          <w:numId w:val="28"/>
        </w:numPr>
        <w:spacing w:after="40" w:line="359" w:lineRule="auto"/>
        <w:ind w:right="208" w:hanging="360"/>
      </w:pPr>
      <w:r>
        <w:rPr>
          <w:i/>
        </w:rPr>
        <w:t>группе промежуточного прогноза MSKCC и получавших индукционную таргетную терапию ингибиторами тирозинкиназы (TKI) с эффектом;</w:t>
      </w:r>
    </w:p>
    <w:p w:rsidR="00C3791F" w:rsidRDefault="00AE1F83">
      <w:pPr>
        <w:numPr>
          <w:ilvl w:val="0"/>
          <w:numId w:val="28"/>
        </w:numPr>
        <w:spacing w:line="359" w:lineRule="auto"/>
        <w:ind w:right="208" w:hanging="360"/>
      </w:pPr>
      <w:r>
        <w:rPr>
          <w:i/>
        </w:rPr>
        <w:t>любой прогностической группе при налич</w:t>
      </w:r>
      <w:r>
        <w:rPr>
          <w:i/>
        </w:rPr>
        <w:t>ии симптомов первичной опухоли, угрожающих жизни, или высокого риска развития жизнеугрожающих осложнений со стороны первичной опухоли (некупируемая гематурия, флотирующий опухолевый венозный тромб и др.);</w:t>
      </w:r>
    </w:p>
    <w:p w:rsidR="00C3791F" w:rsidRDefault="00AE1F83">
      <w:pPr>
        <w:numPr>
          <w:ilvl w:val="0"/>
          <w:numId w:val="28"/>
        </w:numPr>
        <w:spacing w:line="359" w:lineRule="auto"/>
        <w:ind w:right="208" w:hanging="360"/>
      </w:pPr>
      <w:r>
        <w:rPr>
          <w:i/>
        </w:rPr>
        <w:t>любой прогностической группе при наличии потенциаль</w:t>
      </w:r>
      <w:r>
        <w:rPr>
          <w:i/>
        </w:rPr>
        <w:t>но удалимых солитарных или единичных метастазов.</w:t>
      </w:r>
    </w:p>
    <w:p w:rsidR="00C3791F" w:rsidRDefault="00AE1F83">
      <w:pPr>
        <w:spacing w:after="114" w:line="259" w:lineRule="auto"/>
        <w:ind w:left="851" w:right="208" w:firstLine="0"/>
      </w:pPr>
      <w:r>
        <w:rPr>
          <w:b/>
          <w:i/>
        </w:rPr>
        <w:t>Цель:</w:t>
      </w:r>
      <w:r>
        <w:rPr>
          <w:i/>
        </w:rPr>
        <w:t xml:space="preserve"> улучшить результаты системного лечения мПКР.</w:t>
      </w:r>
    </w:p>
    <w:p w:rsidR="00C3791F" w:rsidRDefault="00AE1F83">
      <w:pPr>
        <w:spacing w:after="452" w:line="359" w:lineRule="auto"/>
        <w:ind w:left="127" w:right="208" w:firstLine="710"/>
      </w:pPr>
      <w:r>
        <w:rPr>
          <w:b/>
          <w:i/>
        </w:rPr>
        <w:t>Принципы:</w:t>
      </w:r>
      <w:r>
        <w:rPr>
          <w:i/>
        </w:rPr>
        <w:t xml:space="preserve"> во время цНЭ необходимо стремиться к полному удалению всех опухолевых очагов в забрюшинном пространстве, включая опухолево пораженную почку и реги</w:t>
      </w:r>
      <w:r>
        <w:rPr>
          <w:i/>
        </w:rPr>
        <w:t>онарные метастазы.</w:t>
      </w:r>
    </w:p>
    <w:p w:rsidR="00C3791F" w:rsidRDefault="00AE1F83">
      <w:pPr>
        <w:spacing w:after="272" w:line="265" w:lineRule="auto"/>
        <w:ind w:left="861"/>
      </w:pPr>
      <w:r>
        <w:rPr>
          <w:b/>
        </w:rPr>
        <w:t>3.1.5. Удаление местных рецидивов и метастазов рака почки</w:t>
      </w:r>
    </w:p>
    <w:p w:rsidR="00C3791F" w:rsidRDefault="00AE1F83">
      <w:pPr>
        <w:spacing w:after="77" w:line="259" w:lineRule="auto"/>
        <w:ind w:left="1221"/>
      </w:pPr>
      <w:r>
        <w:rPr>
          <w:rFonts w:ascii="Segoe UI Symbol" w:eastAsia="Segoe UI Symbol" w:hAnsi="Segoe UI Symbol" w:cs="Segoe UI Symbol"/>
        </w:rPr>
        <w:t xml:space="preserve"> </w:t>
      </w:r>
      <w:r>
        <w:rPr>
          <w:b/>
        </w:rPr>
        <w:t>Рекомендуется</w:t>
      </w:r>
      <w:r>
        <w:t xml:space="preserve"> хирургическое удаление метастазов рака почки у пациентов с </w:t>
      </w:r>
    </w:p>
    <w:p w:rsidR="00C3791F" w:rsidRDefault="00AE1F83">
      <w:pPr>
        <w:spacing w:line="259" w:lineRule="auto"/>
        <w:ind w:left="1221" w:right="189"/>
      </w:pPr>
      <w:r>
        <w:t xml:space="preserve">ПКР с солитарными или единичными (≤2) метастазами любой локализации, </w:t>
      </w:r>
    </w:p>
    <w:p w:rsidR="00C3791F" w:rsidRDefault="00AE1F83">
      <w:pPr>
        <w:ind w:left="1221" w:right="189"/>
      </w:pPr>
      <w:r>
        <w:t xml:space="preserve">которые могут быть радикально удалены одномоментно или последовательно с первичной опухолью [131–134]. </w:t>
      </w:r>
    </w:p>
    <w:p w:rsidR="00C3791F" w:rsidRDefault="00AE1F83">
      <w:pPr>
        <w:spacing w:line="357" w:lineRule="auto"/>
        <w:ind w:left="127" w:firstLine="709"/>
      </w:pPr>
      <w:r>
        <w:rPr>
          <w:b/>
        </w:rPr>
        <w:t>Уровень убедительности рекомендаций − В (уровень достоверности доказательств − 2).</w:t>
      </w:r>
    </w:p>
    <w:p w:rsidR="00C3791F" w:rsidRDefault="00AE1F83">
      <w:pPr>
        <w:spacing w:line="359" w:lineRule="auto"/>
        <w:ind w:left="127" w:right="208" w:firstLine="710"/>
      </w:pPr>
      <w:r>
        <w:rPr>
          <w:b/>
          <w:i/>
        </w:rPr>
        <w:t>Комментарий (доказательная база):</w:t>
      </w:r>
      <w:r>
        <w:t xml:space="preserve"> </w:t>
      </w:r>
      <w:r>
        <w:rPr>
          <w:i/>
        </w:rPr>
        <w:t>В зависимости от локализации метаст</w:t>
      </w:r>
      <w:r>
        <w:rPr>
          <w:i/>
        </w:rPr>
        <w:t>азов и состояния пациентов могут быть выполнены хирургические вмешательства: адреналэктомия открытая или эндоскопическая (в том числе адреналэктомия, или адреналэктомия с резекцией соседних органов), забрюшинная лимфаденэктомия, резекция печени, резекция л</w:t>
      </w:r>
      <w:r>
        <w:rPr>
          <w:i/>
        </w:rPr>
        <w:t xml:space="preserve">егкого (в том числе видеоассистированная атипичная резекция легкого), медиастинальная лимфаденэктомия (в том числе медиастинальная лимфаденэктомия с использованием видеоэндоскопических технологий), удаление новообразования мягких тканей, удаление костного </w:t>
      </w:r>
      <w:r>
        <w:rPr>
          <w:i/>
        </w:rPr>
        <w:t xml:space="preserve">метастаза, микрохирургическое удаление новообразований головного мозга и др. </w:t>
      </w:r>
    </w:p>
    <w:p w:rsidR="00C3791F" w:rsidRDefault="00AE1F83">
      <w:pPr>
        <w:spacing w:line="359" w:lineRule="auto"/>
        <w:ind w:left="127" w:right="208" w:firstLine="710"/>
      </w:pPr>
      <w:r>
        <w:rPr>
          <w:i/>
        </w:rPr>
        <w:t xml:space="preserve">По данным ретроспективных серий наблюдений и систематизированного обзора публикаций, удаление солитарных и единичных метастазов существенно увеличивает выживаемость по сравнению </w:t>
      </w:r>
      <w:r>
        <w:rPr>
          <w:i/>
        </w:rPr>
        <w:t xml:space="preserve">с историческим контролем и улучшает качество жизни пациентов с ПКР [131–134]. </w:t>
      </w:r>
    </w:p>
    <w:p w:rsidR="00C3791F" w:rsidRDefault="00AE1F83">
      <w:pPr>
        <w:spacing w:line="359" w:lineRule="auto"/>
        <w:ind w:left="127" w:right="208" w:firstLine="710"/>
      </w:pPr>
      <w:r>
        <w:rPr>
          <w:b/>
          <w:i/>
        </w:rPr>
        <w:t xml:space="preserve">Показания: </w:t>
      </w:r>
      <w:r>
        <w:rPr>
          <w:i/>
        </w:rPr>
        <w:t>ПКР с солитарными или единичными (≤2) метастазами любой локализации, которые могут быть радикально удалены одномоментно или последовательно с первичной опухолью. У от</w:t>
      </w:r>
      <w:r>
        <w:rPr>
          <w:i/>
        </w:rPr>
        <w:t>обранных пациентов с диссеминированным ПКР с симптомными метастазами в кости или головной мозг допустимо удаление метастазов данных локализаций с паллиативной целью.</w:t>
      </w:r>
    </w:p>
    <w:p w:rsidR="00C3791F" w:rsidRDefault="00AE1F83">
      <w:pPr>
        <w:spacing w:after="39" w:line="359" w:lineRule="auto"/>
        <w:ind w:left="127" w:right="208" w:firstLine="710"/>
      </w:pPr>
      <w:r>
        <w:rPr>
          <w:b/>
          <w:i/>
        </w:rPr>
        <w:t xml:space="preserve">Основная цель: </w:t>
      </w:r>
      <w:r>
        <w:rPr>
          <w:i/>
        </w:rPr>
        <w:t>удаление всех определяемых опухолевых очагов, вторичная – улучшение качеств</w:t>
      </w:r>
      <w:r>
        <w:rPr>
          <w:i/>
        </w:rPr>
        <w:t>а жизни.</w:t>
      </w:r>
    </w:p>
    <w:p w:rsidR="00C3791F" w:rsidRDefault="00AE1F83">
      <w:pPr>
        <w:spacing w:after="163" w:line="359" w:lineRule="auto"/>
        <w:ind w:left="127" w:right="208" w:firstLine="710"/>
      </w:pPr>
      <w:r>
        <w:rPr>
          <w:i/>
        </w:rPr>
        <w:t>Удаление костных метастазов выполняется для коррекции и предотвращения патологических переломов, сохранения двигательной активности, устранения болей, ликвидации компрессии спинного мозга при метастазах в позвоночник. Удаление метастазов из головн</w:t>
      </w:r>
      <w:r>
        <w:rPr>
          <w:i/>
        </w:rPr>
        <w:t>ого мозга сопровождается практически полным симптоматическим выздоровлением и значимым улучшением качества жизни.</w:t>
      </w:r>
    </w:p>
    <w:p w:rsidR="00C3791F" w:rsidRDefault="00AE1F83">
      <w:pPr>
        <w:numPr>
          <w:ilvl w:val="0"/>
          <w:numId w:val="29"/>
        </w:numPr>
        <w:ind w:right="189" w:hanging="357"/>
      </w:pPr>
      <w:r>
        <w:t>У отобранных пациентов с генерализованным ПКР с симптомными метастазами в кости или головной мозг рекомендуется удаление метастазов данных лок</w:t>
      </w:r>
      <w:r>
        <w:t>ализаций с паллиативной целью [135–138].</w:t>
      </w:r>
    </w:p>
    <w:tbl>
      <w:tblPr>
        <w:tblStyle w:val="TableGrid"/>
        <w:tblpPr w:vertAnchor="text" w:tblpX="849" w:tblpY="-10"/>
        <w:tblOverlap w:val="never"/>
        <w:tblW w:w="8645" w:type="dxa"/>
        <w:tblInd w:w="0" w:type="dxa"/>
        <w:tblCellMar>
          <w:top w:w="10" w:type="dxa"/>
          <w:left w:w="0" w:type="dxa"/>
          <w:bottom w:w="0" w:type="dxa"/>
          <w:right w:w="6" w:type="dxa"/>
        </w:tblCellMar>
        <w:tblLook w:val="04A0" w:firstRow="1" w:lastRow="0" w:firstColumn="1" w:lastColumn="0" w:noHBand="0" w:noVBand="1"/>
      </w:tblPr>
      <w:tblGrid>
        <w:gridCol w:w="1201"/>
        <w:gridCol w:w="7444"/>
      </w:tblGrid>
      <w:tr w:rsidR="00C3791F">
        <w:trPr>
          <w:trHeight w:val="275"/>
        </w:trPr>
        <w:tc>
          <w:tcPr>
            <w:tcW w:w="1201" w:type="dxa"/>
            <w:tcBorders>
              <w:top w:val="nil"/>
              <w:left w:val="nil"/>
              <w:bottom w:val="nil"/>
              <w:right w:val="nil"/>
            </w:tcBorders>
            <w:shd w:val="clear" w:color="auto" w:fill="FCFCFC"/>
          </w:tcPr>
          <w:p w:rsidR="00C3791F" w:rsidRDefault="00AE1F83">
            <w:pPr>
              <w:spacing w:after="0" w:line="259" w:lineRule="auto"/>
              <w:ind w:left="2" w:firstLine="0"/>
              <w:jc w:val="left"/>
            </w:pPr>
            <w:r>
              <w:rPr>
                <w:b/>
              </w:rPr>
              <w:t>Уровень</w:t>
            </w:r>
            <w:r>
              <w:t xml:space="preserve"> </w:t>
            </w:r>
          </w:p>
        </w:tc>
        <w:tc>
          <w:tcPr>
            <w:tcW w:w="7444" w:type="dxa"/>
            <w:tcBorders>
              <w:top w:val="nil"/>
              <w:left w:val="nil"/>
              <w:bottom w:val="nil"/>
              <w:right w:val="nil"/>
            </w:tcBorders>
            <w:shd w:val="clear" w:color="auto" w:fill="FCFCFC"/>
          </w:tcPr>
          <w:p w:rsidR="00C3791F" w:rsidRDefault="00AE1F83">
            <w:pPr>
              <w:spacing w:after="0" w:line="259" w:lineRule="auto"/>
              <w:ind w:left="0" w:firstLine="0"/>
            </w:pPr>
            <w:r>
              <w:rPr>
                <w:b/>
              </w:rPr>
              <w:t>убедительности рекомендаций − В (уровень достоверности</w:t>
            </w:r>
          </w:p>
        </w:tc>
      </w:tr>
    </w:tbl>
    <w:p w:rsidR="00C3791F" w:rsidRDefault="00AE1F83">
      <w:pPr>
        <w:spacing w:after="568" w:line="259" w:lineRule="auto"/>
        <w:ind w:left="10" w:right="7471"/>
        <w:jc w:val="right"/>
      </w:pPr>
      <w:r>
        <w:rPr>
          <w:b/>
          <w:shd w:val="clear" w:color="auto" w:fill="FCFCFC"/>
        </w:rPr>
        <w:t>доказательств − 3).</w:t>
      </w:r>
    </w:p>
    <w:p w:rsidR="00C3791F" w:rsidRDefault="00AE1F83">
      <w:pPr>
        <w:spacing w:after="40" w:line="357" w:lineRule="auto"/>
        <w:ind w:left="127" w:firstLine="709"/>
      </w:pPr>
      <w:r>
        <w:rPr>
          <w:b/>
        </w:rPr>
        <w:t>3.2. Альтернативы хирургическому лечению первичной опухоли у пациентов с почечно-клеточным раком</w:t>
      </w:r>
    </w:p>
    <w:p w:rsidR="00C3791F" w:rsidRDefault="00AE1F83">
      <w:pPr>
        <w:spacing w:after="272" w:line="265" w:lineRule="auto"/>
        <w:ind w:left="861"/>
      </w:pPr>
      <w:r>
        <w:rPr>
          <w:b/>
        </w:rPr>
        <w:t xml:space="preserve">3.2.1. </w:t>
      </w:r>
      <w:r>
        <w:rPr>
          <w:b/>
        </w:rPr>
        <w:t>Динамическое (активное) наблюдение</w:t>
      </w:r>
    </w:p>
    <w:p w:rsidR="00C3791F" w:rsidRDefault="00AE1F83">
      <w:pPr>
        <w:numPr>
          <w:ilvl w:val="0"/>
          <w:numId w:val="29"/>
        </w:numPr>
        <w:ind w:right="189" w:hanging="357"/>
      </w:pPr>
      <w:r>
        <w:rPr>
          <w:b/>
        </w:rPr>
        <w:t>Рекомендуется</w:t>
      </w:r>
      <w:r>
        <w:t xml:space="preserve"> динамическое (активное) наблюдение ПКР стадии cТ1aN0M0 у отдельных пациентов старше 75 лет и/или имеющих тяжелые сопутствующие или конкурирующие заболевания, обусловливающие ожидаемую продолжительность жизни</w:t>
      </w:r>
      <w:r>
        <w:t xml:space="preserve"> &lt;5 лет и/или ассоциированные с высоким операционным риском [139–146].</w:t>
      </w:r>
    </w:p>
    <w:p w:rsidR="00C3791F" w:rsidRDefault="00AE1F83">
      <w:pPr>
        <w:spacing w:line="357" w:lineRule="auto"/>
        <w:ind w:left="127" w:firstLine="709"/>
      </w:pPr>
      <w:r>
        <w:rPr>
          <w:b/>
        </w:rPr>
        <w:t>Уровень убедительности рекомендаций − А</w:t>
      </w:r>
      <w:r>
        <w:t xml:space="preserve"> </w:t>
      </w:r>
      <w:r>
        <w:rPr>
          <w:b/>
        </w:rPr>
        <w:t>(уровень достоверности доказательств – 2).</w:t>
      </w:r>
    </w:p>
    <w:p w:rsidR="00C3791F" w:rsidRDefault="00AE1F83">
      <w:pPr>
        <w:spacing w:after="39" w:line="359" w:lineRule="auto"/>
        <w:ind w:left="127" w:right="208" w:firstLine="710"/>
      </w:pPr>
      <w:r>
        <w:rPr>
          <w:b/>
          <w:i/>
        </w:rPr>
        <w:t>Комментарий (доказательная база):</w:t>
      </w:r>
      <w:r>
        <w:rPr>
          <w:i/>
        </w:rPr>
        <w:t xml:space="preserve"> в популяционных исследованиях </w:t>
      </w:r>
      <w:r>
        <w:rPr>
          <w:i/>
        </w:rPr>
        <w:t>продемонстрировано достоверное увеличение опухолевоспецифической выживаемости у пациентов с ПКР, подвергнутых хирургическому лечению, по сравнению с нехирургическим [141, 142]. Однако у пациентов старше 75 лет удаление опухоли не было ассоциировано с преим</w:t>
      </w:r>
      <w:r>
        <w:rPr>
          <w:i/>
        </w:rPr>
        <w:t>уществом СВ [143–145]. В 1 популяционном исследовании группа пациентов, находившихся под динамическим наблюдением, была старше, имела бóльшую частоту сопутствующих заболеваний, ассоциированных с потенциальным уменьшением функциональной переносимости хирург</w:t>
      </w:r>
      <w:r>
        <w:rPr>
          <w:i/>
        </w:rPr>
        <w:t>ического вмешательства, по сравнению с оперированными пациентами. Летальность, не обусловленная ПКР, была достоверно выше у пациентов, не получавших хирургического лечения, чем у оперированных [142].</w:t>
      </w:r>
    </w:p>
    <w:p w:rsidR="00C3791F" w:rsidRDefault="00AE1F83">
      <w:pPr>
        <w:spacing w:line="359" w:lineRule="auto"/>
        <w:ind w:left="127" w:right="208" w:firstLine="710"/>
      </w:pPr>
      <w:r>
        <w:rPr>
          <w:i/>
        </w:rPr>
        <w:t>Динамическое наблюдение за пациентами с малыми опухолями</w:t>
      </w:r>
      <w:r>
        <w:rPr>
          <w:i/>
        </w:rPr>
        <w:t xml:space="preserve"> почек продемонстрировало низкий темп увеличения новообразований и невысокую частоту метастазирования (1−2 %). При среднесрочном наблюдении не отмечено достоверных различий в показателях ОВ между оперированными и находящимися под динамическим наблюдением п</w:t>
      </w:r>
      <w:r>
        <w:rPr>
          <w:i/>
        </w:rPr>
        <w:t>ациентами. Не зарегистрировано значимого отрицательного влияния динамического наблюдения на частоту и степень тяжести депрессий и тревожности пациентов [146].</w:t>
      </w:r>
    </w:p>
    <w:p w:rsidR="00C3791F" w:rsidRDefault="00AE1F83">
      <w:pPr>
        <w:spacing w:line="359" w:lineRule="auto"/>
        <w:ind w:left="127" w:right="208" w:firstLine="710"/>
      </w:pPr>
      <w:r>
        <w:rPr>
          <w:b/>
          <w:i/>
        </w:rPr>
        <w:t>Показания к динамическому наблюдению:</w:t>
      </w:r>
      <w:r>
        <w:rPr>
          <w:i/>
        </w:rPr>
        <w:t xml:space="preserve"> ПКР cТ1aN0M0 у пациентов старше 75 лет и/или имеющих тяжелы</w:t>
      </w:r>
      <w:r>
        <w:rPr>
          <w:i/>
        </w:rPr>
        <w:t>е сопутствующие или конкурирующие заболевания, обусловливающие ожидаемую продолжительность жизни &lt;5 лет и/или ассоциированные с высоким операционным риском.</w:t>
      </w:r>
    </w:p>
    <w:p w:rsidR="00C3791F" w:rsidRDefault="00AE1F83">
      <w:pPr>
        <w:spacing w:line="359" w:lineRule="auto"/>
        <w:ind w:left="127" w:right="208" w:firstLine="710"/>
      </w:pPr>
      <w:r>
        <w:rPr>
          <w:b/>
          <w:i/>
        </w:rPr>
        <w:t>Цель:</w:t>
      </w:r>
      <w:r>
        <w:rPr>
          <w:i/>
        </w:rPr>
        <w:t xml:space="preserve"> избежать выполнения хирургического вмешательства и ассоциированных с ним рисков осложнений и </w:t>
      </w:r>
      <w:r>
        <w:rPr>
          <w:i/>
        </w:rPr>
        <w:t>смерти у пациентов, для которых ПКР cТ1aN0M0 является клинически незначимым.</w:t>
      </w:r>
    </w:p>
    <w:p w:rsidR="00C3791F" w:rsidRDefault="00AE1F83">
      <w:pPr>
        <w:spacing w:after="452" w:line="359" w:lineRule="auto"/>
        <w:ind w:left="127" w:right="208" w:firstLine="710"/>
      </w:pPr>
      <w:r>
        <w:rPr>
          <w:b/>
          <w:i/>
        </w:rPr>
        <w:t>Принципы:</w:t>
      </w:r>
      <w:r>
        <w:rPr>
          <w:i/>
        </w:rPr>
        <w:t xml:space="preserve"> динамическое наблюдение подразумевает регулярную (1 раз в 12 мес) оценку размеров опухоли почки с помощью одного и того же метода визуализации. Отсутствие изменений позв</w:t>
      </w:r>
      <w:r>
        <w:rPr>
          <w:i/>
        </w:rPr>
        <w:t>оляет продолжать динамическое наблюдение; рост опухоли является показанием к хирургическому лечению.</w:t>
      </w:r>
    </w:p>
    <w:p w:rsidR="00C3791F" w:rsidRDefault="00AE1F83">
      <w:pPr>
        <w:spacing w:after="272" w:line="265" w:lineRule="auto"/>
        <w:ind w:left="861"/>
      </w:pPr>
      <w:r>
        <w:rPr>
          <w:b/>
        </w:rPr>
        <w:t>3.2.2. Выжидательная тактика</w:t>
      </w:r>
    </w:p>
    <w:p w:rsidR="00C3791F" w:rsidRDefault="00AE1F83">
      <w:pPr>
        <w:ind w:left="1571" w:right="189" w:hanging="357"/>
      </w:pPr>
      <w:r>
        <w:rPr>
          <w:rFonts w:ascii="Segoe UI Symbol" w:eastAsia="Segoe UI Symbol" w:hAnsi="Segoe UI Symbol" w:cs="Segoe UI Symbol"/>
        </w:rPr>
        <w:t xml:space="preserve"> </w:t>
      </w:r>
      <w:r>
        <w:rPr>
          <w:b/>
        </w:rPr>
        <w:t>Рекомендуется</w:t>
      </w:r>
      <w:r>
        <w:t xml:space="preserve"> выжидательная тактика при операбельном клинически локализованном или местно-распространенном ПКР стадии сТ1-Т4</w:t>
      </w:r>
      <w:r>
        <w:t xml:space="preserve">N0-1M0 у пациентов, имеющих тяжелые сопутствующие или конкурирующие заболевания, ассоциированные с крайне высоким операционным риском </w:t>
      </w:r>
    </w:p>
    <w:p w:rsidR="00C3791F" w:rsidRDefault="00AE1F83">
      <w:pPr>
        <w:spacing w:after="114" w:line="259" w:lineRule="auto"/>
        <w:ind w:left="1581" w:right="189"/>
      </w:pPr>
      <w:r>
        <w:t>[147].</w:t>
      </w:r>
    </w:p>
    <w:p w:rsidR="00C3791F" w:rsidRDefault="00AE1F83">
      <w:pPr>
        <w:spacing w:line="357" w:lineRule="auto"/>
        <w:ind w:left="127" w:firstLine="709"/>
      </w:pPr>
      <w:r>
        <w:rPr>
          <w:b/>
        </w:rPr>
        <w:t>Уровень убедительности рекомендаций − С</w:t>
      </w:r>
      <w:r>
        <w:t xml:space="preserve"> </w:t>
      </w:r>
      <w:r>
        <w:rPr>
          <w:b/>
        </w:rPr>
        <w:t>(уровень достоверности доказательств – 5).</w:t>
      </w:r>
    </w:p>
    <w:p w:rsidR="00C3791F" w:rsidRDefault="00AE1F83">
      <w:pPr>
        <w:spacing w:line="359" w:lineRule="auto"/>
        <w:ind w:left="127" w:right="208" w:firstLine="710"/>
      </w:pPr>
      <w:r>
        <w:rPr>
          <w:b/>
          <w:i/>
        </w:rPr>
        <w:t>Комментарий (доказательная база</w:t>
      </w:r>
      <w:r>
        <w:rPr>
          <w:b/>
          <w:i/>
        </w:rPr>
        <w:t xml:space="preserve">): </w:t>
      </w:r>
      <w:r>
        <w:rPr>
          <w:i/>
        </w:rPr>
        <w:t>исследований, касающихся оценки результатов применения выжидательной тактики при ПКР, нет. Можно предположить, что они могут перекликаться с данными, касающимися динамического наблюдения у пациентов старше 75 лет.</w:t>
      </w:r>
    </w:p>
    <w:p w:rsidR="00C3791F" w:rsidRDefault="00AE1F83">
      <w:pPr>
        <w:spacing w:line="359" w:lineRule="auto"/>
        <w:ind w:left="127" w:right="208" w:firstLine="710"/>
      </w:pPr>
      <w:r>
        <w:rPr>
          <w:b/>
          <w:i/>
        </w:rPr>
        <w:t>Показания:</w:t>
      </w:r>
      <w:r>
        <w:t xml:space="preserve"> </w:t>
      </w:r>
      <w:r>
        <w:rPr>
          <w:i/>
        </w:rPr>
        <w:t>операбельный клинически лока</w:t>
      </w:r>
      <w:r>
        <w:rPr>
          <w:i/>
        </w:rPr>
        <w:t>лизованный или местнораспространенный ПКР стадий сТ1-Т4N0-1M0 у пациентов, имеющих тяжелые сопутствующие или конкурирующие заболевания, ассоциированные с крайне высоким операционным риском.</w:t>
      </w:r>
    </w:p>
    <w:p w:rsidR="00C3791F" w:rsidRDefault="00AE1F83">
      <w:pPr>
        <w:spacing w:line="359" w:lineRule="auto"/>
        <w:ind w:left="127" w:right="208" w:firstLine="710"/>
      </w:pPr>
      <w:r>
        <w:rPr>
          <w:b/>
          <w:i/>
        </w:rPr>
        <w:t>Цель:</w:t>
      </w:r>
      <w:r>
        <w:t xml:space="preserve"> </w:t>
      </w:r>
      <w:r>
        <w:rPr>
          <w:i/>
        </w:rPr>
        <w:t>избежать выполнения хирургического вмешательства и ассоцииро</w:t>
      </w:r>
      <w:r>
        <w:rPr>
          <w:i/>
        </w:rPr>
        <w:t>ванных с ним рисков осложнений и смерти у пациентов, не имеющих жизнеугрожающих осложнений ПКР.</w:t>
      </w:r>
    </w:p>
    <w:p w:rsidR="00C3791F" w:rsidRDefault="00AE1F83">
      <w:pPr>
        <w:spacing w:after="452" w:line="359" w:lineRule="auto"/>
        <w:ind w:left="127" w:right="208" w:firstLine="710"/>
      </w:pPr>
      <w:r>
        <w:rPr>
          <w:b/>
          <w:i/>
        </w:rPr>
        <w:t xml:space="preserve">Принципы: </w:t>
      </w:r>
      <w:r>
        <w:rPr>
          <w:i/>
        </w:rPr>
        <w:t>после первичной оценки степени распространенности ПКР и определения операционного риска проводится только контроль симптомов опухолевого процесса. Рад</w:t>
      </w:r>
      <w:r>
        <w:rPr>
          <w:i/>
        </w:rPr>
        <w:t>иологическая визуализация требуется только при развитии симптомов опухоли почки, не поддающихся консервативному лечению. Хирургическое лечение выполняется только по жизненным показаниям.</w:t>
      </w:r>
    </w:p>
    <w:p w:rsidR="00C3791F" w:rsidRDefault="00AE1F83">
      <w:pPr>
        <w:spacing w:after="272" w:line="265" w:lineRule="auto"/>
        <w:ind w:left="861"/>
      </w:pPr>
      <w:r>
        <w:rPr>
          <w:b/>
        </w:rPr>
        <w:t>3.2.3.</w:t>
      </w:r>
      <w:r>
        <w:rPr>
          <w:b/>
          <w:i/>
        </w:rPr>
        <w:t xml:space="preserve"> </w:t>
      </w:r>
      <w:r>
        <w:rPr>
          <w:b/>
        </w:rPr>
        <w:t>Аблация</w:t>
      </w:r>
    </w:p>
    <w:p w:rsidR="00C3791F" w:rsidRDefault="00AE1F83">
      <w:pPr>
        <w:ind w:left="1571" w:right="189" w:hanging="360"/>
      </w:pPr>
      <w:r>
        <w:rPr>
          <w:rFonts w:ascii="Segoe UI Symbol" w:eastAsia="Segoe UI Symbol" w:hAnsi="Segoe UI Symbol" w:cs="Segoe UI Symbol"/>
        </w:rPr>
        <w:t xml:space="preserve"> </w:t>
      </w:r>
      <w:r>
        <w:rPr>
          <w:b/>
        </w:rPr>
        <w:t>Рекомендуется</w:t>
      </w:r>
      <w:r>
        <w:t xml:space="preserve"> проведение минимально-инвазивных метод</w:t>
      </w:r>
      <w:r>
        <w:t xml:space="preserve">ов лечения радиочастотной аблации (РЧА) опухоли почки с ультразвуковой и/или КТнавигацией или криоаблации </w:t>
      </w:r>
      <w:r>
        <w:rPr>
          <w:sz w:val="20"/>
        </w:rPr>
        <w:t xml:space="preserve"> </w:t>
      </w:r>
      <w:r>
        <w:t>новообразования почки у отдельных пациентов с ПКР стадии cТ1aN0M0 в возрасте старше 75 лет и/или имеющих тяжелые сопутствующие или конкурирующие забо</w:t>
      </w:r>
      <w:r>
        <w:t>левания, обусловливающие ожидаемую продолжительность жизни &lt;5 лет и/или ассоциированные с высоким операционным риском</w:t>
      </w:r>
      <w:r>
        <w:rPr>
          <w:i/>
        </w:rPr>
        <w:t xml:space="preserve"> </w:t>
      </w:r>
      <w:r>
        <w:t>[148–159].</w:t>
      </w:r>
    </w:p>
    <w:p w:rsidR="00C3791F" w:rsidRDefault="00AE1F83">
      <w:pPr>
        <w:spacing w:line="357" w:lineRule="auto"/>
        <w:ind w:left="127" w:firstLine="709"/>
      </w:pPr>
      <w:r>
        <w:rPr>
          <w:b/>
        </w:rPr>
        <w:t>Уровень убедительности рекомендаций − А</w:t>
      </w:r>
      <w:r>
        <w:t xml:space="preserve"> </w:t>
      </w:r>
      <w:r>
        <w:rPr>
          <w:b/>
        </w:rPr>
        <w:t>(уровень достоверности доказательств – 2).</w:t>
      </w:r>
    </w:p>
    <w:p w:rsidR="00C3791F" w:rsidRDefault="00AE1F83">
      <w:pPr>
        <w:spacing w:line="359" w:lineRule="auto"/>
        <w:ind w:left="127" w:right="208" w:firstLine="710"/>
      </w:pPr>
      <w:r>
        <w:rPr>
          <w:b/>
          <w:i/>
        </w:rPr>
        <w:t>Комментарий (доказательная база):</w:t>
      </w:r>
      <w:r>
        <w:rPr>
          <w:i/>
        </w:rPr>
        <w:t xml:space="preserve"> метаанализ данных 3974 пациентов, подвергнутых аблации (РЧА или криоаблации) или РП, показал бóльшую летальность от любых причин (ОР 2,11) и от рака почки (ОР 3,84) при использовании аблативного лечения. Частота местных рецидивов и метастазирования в груп</w:t>
      </w:r>
      <w:r>
        <w:rPr>
          <w:i/>
        </w:rPr>
        <w:t>пах не различалась. Частота осложнений была ниже в группе аблации по сравнению с РП (13 и 17,6 % соответственно, p &lt;0,05). РП оказалась ассоциированной с достоверно бóльшим снижением скорости клубочковой фильтрации по сравнению с аблацией [148].</w:t>
      </w:r>
    </w:p>
    <w:p w:rsidR="00C3791F" w:rsidRDefault="00AE1F83">
      <w:pPr>
        <w:spacing w:line="359" w:lineRule="auto"/>
        <w:ind w:left="127" w:right="208" w:firstLine="710"/>
      </w:pPr>
      <w:r>
        <w:rPr>
          <w:i/>
        </w:rPr>
        <w:t>В другом м</w:t>
      </w:r>
      <w:r>
        <w:rPr>
          <w:i/>
        </w:rPr>
        <w:t>етаанализе продемонстрирована сопоставимая частота осложнений и снижения скорости клубочковой фильтрации у пациентов, подвергнутых РП и РЧА. Частота местных рецидивов была выше после РЧА, чем после хирургического лечения (ОР 1,81), а частота развития метас</w:t>
      </w:r>
      <w:r>
        <w:rPr>
          <w:i/>
        </w:rPr>
        <w:t>тазов в группах оказалась одинаковой [149].</w:t>
      </w:r>
    </w:p>
    <w:p w:rsidR="00C3791F" w:rsidRDefault="00AE1F83">
      <w:pPr>
        <w:spacing w:line="359" w:lineRule="auto"/>
        <w:ind w:left="127" w:right="208" w:firstLine="710"/>
      </w:pPr>
      <w:r>
        <w:rPr>
          <w:i/>
        </w:rPr>
        <w:t xml:space="preserve">В 3 ретроспективных исследованиях сравнивали РЧА и хирургическое лечение при ПКР стадии сТ1а и не выявили различий выживаемости между группами [150–152]. В </w:t>
      </w:r>
      <w:r>
        <w:rPr>
          <w:i/>
        </w:rPr>
        <w:t>ретроспективном исследовании, сравнивавшем РЧА и РП при ПКР T1b, результаты аблативного лечения при медиане наблюдения 78 мес уступали таковым при хирургическом вмешательстве [153].</w:t>
      </w:r>
    </w:p>
    <w:p w:rsidR="00C3791F" w:rsidRDefault="00AE1F83">
      <w:pPr>
        <w:spacing w:line="359" w:lineRule="auto"/>
        <w:ind w:left="127" w:right="208" w:firstLine="710"/>
      </w:pPr>
      <w:r>
        <w:rPr>
          <w:i/>
        </w:rPr>
        <w:t>В 4 исследованиях сравнивали результаты перкутанной и лапароскопической РЧ</w:t>
      </w:r>
      <w:r>
        <w:rPr>
          <w:i/>
        </w:rPr>
        <w:t>А при ПКР. Частота осложнений процедуры не зависела от доступа. В 3 исследованиях не выявлены различия в частоте рецидивов и СВ между группами [154–156], в 1 серии наблюдений отмечено увеличение частоты неполной аблации при использовании перкутанного досту</w:t>
      </w:r>
      <w:r>
        <w:rPr>
          <w:i/>
        </w:rPr>
        <w:t>па [157]. Однако в 3 сравнительных исследованиях не было обнаружено различий по рецидивам или опухолевоспецифической выживаемости.</w:t>
      </w:r>
    </w:p>
    <w:p w:rsidR="00C3791F" w:rsidRDefault="00AE1F83">
      <w:pPr>
        <w:spacing w:line="359" w:lineRule="auto"/>
        <w:ind w:left="127" w:right="208" w:firstLine="710"/>
      </w:pPr>
      <w:r>
        <w:rPr>
          <w:i/>
        </w:rPr>
        <w:t>В 2 исследованиях сравнивали РЧА и криоаблацию и не выявили различий частоты осложнений, а также ОВ, СВ и БРВ между группами;</w:t>
      </w:r>
      <w:r>
        <w:rPr>
          <w:i/>
        </w:rPr>
        <w:t xml:space="preserve"> в одной серии наблюдений частота длительного местного контроля над опухолью оказалась выше после РЧА, во второй, напротив, − после криоаблации [158, 159].</w:t>
      </w:r>
    </w:p>
    <w:p w:rsidR="00C3791F" w:rsidRDefault="00AE1F83">
      <w:pPr>
        <w:spacing w:line="359" w:lineRule="auto"/>
        <w:ind w:left="127" w:right="208" w:firstLine="710"/>
      </w:pPr>
      <w:r>
        <w:rPr>
          <w:i/>
        </w:rPr>
        <w:t>Доказана техническая возможность выполнения микроволновой термоаблации, лазерной аблации и аблации ф</w:t>
      </w:r>
      <w:r>
        <w:rPr>
          <w:i/>
        </w:rPr>
        <w:t>окусированной ультразвуковой волной высокой интенсивности. Эти методики являются экспериментальными и в широкой клинической практике применяться не должны.</w:t>
      </w:r>
    </w:p>
    <w:p w:rsidR="00C3791F" w:rsidRDefault="00AE1F83">
      <w:pPr>
        <w:spacing w:line="359" w:lineRule="auto"/>
        <w:ind w:left="127" w:right="208" w:firstLine="710"/>
      </w:pPr>
      <w:r>
        <w:rPr>
          <w:b/>
          <w:i/>
        </w:rPr>
        <w:t>Показания:</w:t>
      </w:r>
      <w:r>
        <w:rPr>
          <w:i/>
        </w:rPr>
        <w:t xml:space="preserve"> ПКР cТ1aN0M0 у пациентов старше 75 лет и/или имеющих тяжелые сопутствующие или конкурирую</w:t>
      </w:r>
      <w:r>
        <w:rPr>
          <w:i/>
        </w:rPr>
        <w:t>щие заболевания, обусловливающие ожидаемую продолжительность жизни &lt;5 лет и/или ассоциированные с высоким операционным риском.</w:t>
      </w:r>
    </w:p>
    <w:p w:rsidR="00C3791F" w:rsidRDefault="00AE1F83">
      <w:pPr>
        <w:spacing w:line="359" w:lineRule="auto"/>
        <w:ind w:left="127" w:right="208" w:firstLine="710"/>
      </w:pPr>
      <w:r>
        <w:rPr>
          <w:b/>
          <w:i/>
        </w:rPr>
        <w:t>Цель:</w:t>
      </w:r>
      <w:r>
        <w:rPr>
          <w:i/>
        </w:rPr>
        <w:t xml:space="preserve"> достичь длительного локального контроля над опухолью, избежав выполнения хирургического вмешательства и ассоциированных с н</w:t>
      </w:r>
      <w:r>
        <w:rPr>
          <w:i/>
        </w:rPr>
        <w:t>им рисков осложнений и смерти.</w:t>
      </w:r>
    </w:p>
    <w:p w:rsidR="00C3791F" w:rsidRDefault="00AE1F83">
      <w:pPr>
        <w:spacing w:after="163" w:line="359" w:lineRule="auto"/>
        <w:ind w:left="127" w:right="208" w:firstLine="710"/>
      </w:pPr>
      <w:r>
        <w:rPr>
          <w:b/>
          <w:i/>
        </w:rPr>
        <w:t>Принципы:</w:t>
      </w:r>
      <w:r>
        <w:rPr>
          <w:i/>
        </w:rPr>
        <w:t xml:space="preserve"> возможно применение РЧА и криоаблации ПКР. Другие методы аблации опухоли (микроволновая, лазерная или аблация высокоинтенсивным сфокусированным ультразвуком) могут применяться только в рамках клинических исследовани</w:t>
      </w:r>
      <w:r>
        <w:rPr>
          <w:i/>
        </w:rPr>
        <w:t>й. Аблативное лечение может осуществляться перкутанным или лапароскопическим доступом. Перед выполнением аблативной операции необходима биопсия опухоли. Контроль процедуры производится путем визуализации зоны воздействия с помощью камеры, введенной в брюшн</w:t>
      </w:r>
      <w:r>
        <w:rPr>
          <w:i/>
        </w:rPr>
        <w:t>ую полость, или лучевой навигации (УЗИ, КТ или МРТ). В опухоль вводятся зонды, обеспечивающие охлаждение/оттаивание при криоаблации или перегревание при РЧА.</w:t>
      </w:r>
    </w:p>
    <w:p w:rsidR="00C3791F" w:rsidRDefault="00AE1F83">
      <w:pPr>
        <w:ind w:left="1571" w:right="189" w:hanging="357"/>
      </w:pPr>
      <w:r>
        <w:rPr>
          <w:rFonts w:ascii="Segoe UI Symbol" w:eastAsia="Segoe UI Symbol" w:hAnsi="Segoe UI Symbol" w:cs="Segoe UI Symbol"/>
        </w:rPr>
        <w:t xml:space="preserve"> </w:t>
      </w:r>
      <w:r>
        <w:t xml:space="preserve">При проведении аблации опухолей почки </w:t>
      </w:r>
      <w:r>
        <w:rPr>
          <w:b/>
        </w:rPr>
        <w:t xml:space="preserve">рекомендуется </w:t>
      </w:r>
      <w:r>
        <w:t>использование интраоперационного УЗИ для выя</w:t>
      </w:r>
      <w:r>
        <w:t>вления интрапаренхиматозных опухолей и/или дополнительных опухолей почек [160, 161].</w:t>
      </w:r>
    </w:p>
    <w:p w:rsidR="00C3791F" w:rsidRDefault="00AE1F83">
      <w:pPr>
        <w:spacing w:line="357" w:lineRule="auto"/>
        <w:ind w:left="127" w:firstLine="709"/>
      </w:pPr>
      <w:r>
        <w:rPr>
          <w:b/>
        </w:rPr>
        <w:t>Уровень убедительности рекомендаций − С (уровень достоверности доказательств – 5).</w:t>
      </w:r>
    </w:p>
    <w:p w:rsidR="00C3791F" w:rsidRDefault="00AE1F83">
      <w:pPr>
        <w:pStyle w:val="Heading2"/>
        <w:spacing w:after="271"/>
        <w:ind w:left="861" w:right="163"/>
      </w:pPr>
      <w:r>
        <w:t>3.3. Лучевая терапия</w:t>
      </w:r>
    </w:p>
    <w:p w:rsidR="00C3791F" w:rsidRDefault="00AE1F83">
      <w:pPr>
        <w:numPr>
          <w:ilvl w:val="0"/>
          <w:numId w:val="30"/>
        </w:numPr>
        <w:ind w:right="189" w:hanging="360"/>
      </w:pPr>
      <w:r>
        <w:rPr>
          <w:b/>
        </w:rPr>
        <w:t>Не рекомендуется</w:t>
      </w:r>
      <w:r>
        <w:t xml:space="preserve"> проведение стереотаксической лучевой терапии (СТЛТ</w:t>
      </w:r>
      <w:r>
        <w:t>) первичной опухоли и экстракраниальных метастазов ПКР в рутинной клинической практике вне клинических исследований [134].</w:t>
      </w:r>
    </w:p>
    <w:p w:rsidR="00C3791F" w:rsidRDefault="00AE1F83">
      <w:pPr>
        <w:spacing w:line="357" w:lineRule="auto"/>
        <w:ind w:left="127" w:firstLine="709"/>
      </w:pPr>
      <w:r>
        <w:rPr>
          <w:b/>
        </w:rPr>
        <w:t>Уровень убедительности рекомендаций − В</w:t>
      </w:r>
      <w:r>
        <w:t xml:space="preserve"> </w:t>
      </w:r>
      <w:r>
        <w:rPr>
          <w:b/>
        </w:rPr>
        <w:t>(уровень достоверности доказательств – 2).</w:t>
      </w:r>
    </w:p>
    <w:p w:rsidR="00C3791F" w:rsidRDefault="00AE1F83">
      <w:pPr>
        <w:spacing w:after="452" w:line="359" w:lineRule="auto"/>
        <w:ind w:left="127" w:right="208" w:firstLine="710"/>
      </w:pPr>
      <w:r>
        <w:rPr>
          <w:b/>
          <w:i/>
        </w:rPr>
        <w:t>Комментарий:</w:t>
      </w:r>
      <w:r>
        <w:t xml:space="preserve"> </w:t>
      </w:r>
      <w:r>
        <w:rPr>
          <w:i/>
        </w:rPr>
        <w:t>конвенционная лучевая терапия неэффек</w:t>
      </w:r>
      <w:r>
        <w:rPr>
          <w:i/>
        </w:rPr>
        <w:t>тивна при ПКР. Роль СТЛТ в лечении метастазов рака почки изучена недостаточно, в связи с чем рекомендуется только при метастазировании в головной мозг (см. ниже).</w:t>
      </w:r>
    </w:p>
    <w:p w:rsidR="00C3791F" w:rsidRDefault="00AE1F83">
      <w:pPr>
        <w:spacing w:after="164" w:line="357" w:lineRule="auto"/>
        <w:ind w:left="127" w:firstLine="709"/>
      </w:pPr>
      <w:r>
        <w:rPr>
          <w:b/>
        </w:rPr>
        <w:t xml:space="preserve">3.3.1. Стереотаксическая лучевая терапия у больных почечно-клеточным </w:t>
      </w:r>
      <w:r>
        <w:rPr>
          <w:b/>
        </w:rPr>
        <w:t>раком с метастазами в головной мозг</w:t>
      </w:r>
    </w:p>
    <w:p w:rsidR="00C3791F" w:rsidRDefault="00AE1F83">
      <w:pPr>
        <w:numPr>
          <w:ilvl w:val="0"/>
          <w:numId w:val="30"/>
        </w:numPr>
        <w:ind w:right="189" w:hanging="360"/>
      </w:pPr>
      <w:r>
        <w:rPr>
          <w:b/>
        </w:rPr>
        <w:t>Рекомендуется</w:t>
      </w:r>
      <w:r>
        <w:t xml:space="preserve"> СТЛТ на область солитарных или единичных метастазов ПКР в головном мозге у пациентов без экстракраниальных метастазов или с возможностью контроля метастазов других локализаций с помощью лекарственной против</w:t>
      </w:r>
      <w:r>
        <w:t>оопухолевой терапии [134, 162, 163]</w:t>
      </w:r>
      <w:r>
        <w:rPr>
          <w:i/>
        </w:rPr>
        <w:t>.</w:t>
      </w:r>
    </w:p>
    <w:p w:rsidR="00C3791F" w:rsidRDefault="00AE1F83">
      <w:pPr>
        <w:spacing w:line="357" w:lineRule="auto"/>
        <w:ind w:left="127" w:firstLine="709"/>
      </w:pPr>
      <w:r>
        <w:rPr>
          <w:b/>
        </w:rPr>
        <w:t>Уровень убедительности рекомендаций – B (уровень достоверности доказательств – 2).</w:t>
      </w:r>
    </w:p>
    <w:p w:rsidR="00C3791F" w:rsidRDefault="00AE1F83">
      <w:pPr>
        <w:spacing w:line="359" w:lineRule="auto"/>
        <w:ind w:left="127" w:right="208" w:firstLine="710"/>
      </w:pPr>
      <w:r>
        <w:rPr>
          <w:b/>
          <w:i/>
        </w:rPr>
        <w:t xml:space="preserve">Комментарий (доказательная база): </w:t>
      </w:r>
      <w:r>
        <w:rPr>
          <w:i/>
        </w:rPr>
        <w:t xml:space="preserve">в исследовании, включившем 88 пациентов ПКР с метастазами в головной мозг, сравнивали СТЛТ, облучение </w:t>
      </w:r>
      <w:r>
        <w:rPr>
          <w:i/>
        </w:rPr>
        <w:t>всего головного мозга и их комбинацию. СТЛТ обеспечивала бóльшую частоту интрацеребрального контроля над опухолью и ОВ. Дополнительное облучение всего головного мозга после СТЛТ не увеличивало частоту локального контроля и 2-летнюю ОВ [162].</w:t>
      </w:r>
    </w:p>
    <w:p w:rsidR="00C3791F" w:rsidRDefault="00AE1F83">
      <w:pPr>
        <w:spacing w:line="359" w:lineRule="auto"/>
        <w:ind w:left="127" w:right="208" w:firstLine="710"/>
      </w:pPr>
      <w:r>
        <w:rPr>
          <w:i/>
        </w:rPr>
        <w:t>В другом иссле</w:t>
      </w:r>
      <w:r>
        <w:rPr>
          <w:i/>
        </w:rPr>
        <w:t>довании сравнивали фракционированную СТЛТ и удаление метастазов из головного мозга с последующей его лучевой терапией. Выживаемость пациентов, получавших СТЛТ, была недостоверно выше, чем в хирургической группе; частота локального контроля в лечебных групп</w:t>
      </w:r>
      <w:r>
        <w:rPr>
          <w:i/>
        </w:rPr>
        <w:t>ах была одинаковой [163].</w:t>
      </w:r>
    </w:p>
    <w:p w:rsidR="00C3791F" w:rsidRDefault="00AE1F83">
      <w:pPr>
        <w:spacing w:line="359" w:lineRule="auto"/>
        <w:ind w:left="127" w:right="208" w:firstLine="710"/>
      </w:pPr>
      <w:r>
        <w:rPr>
          <w:b/>
          <w:i/>
        </w:rPr>
        <w:t xml:space="preserve">Показания: </w:t>
      </w:r>
      <w:r>
        <w:rPr>
          <w:i/>
        </w:rPr>
        <w:t>солитарные</w:t>
      </w:r>
      <w:r>
        <w:rPr>
          <w:b/>
          <w:i/>
        </w:rPr>
        <w:t xml:space="preserve"> </w:t>
      </w:r>
      <w:r>
        <w:rPr>
          <w:i/>
        </w:rPr>
        <w:t xml:space="preserve">или единичные метастазы в головном мозге у пациентов без экстракраниальных метастазов или с возможностью контроля метастазов других локализаций с помощью лекарственной противоопухолевой терапии. </w:t>
      </w:r>
    </w:p>
    <w:p w:rsidR="00C3791F" w:rsidRDefault="00AE1F83">
      <w:pPr>
        <w:spacing w:after="452" w:line="359" w:lineRule="auto"/>
        <w:ind w:left="127" w:right="208" w:firstLine="710"/>
      </w:pPr>
      <w:r>
        <w:rPr>
          <w:b/>
          <w:i/>
        </w:rPr>
        <w:t xml:space="preserve">Цель: </w:t>
      </w:r>
      <w:r>
        <w:rPr>
          <w:i/>
        </w:rPr>
        <w:t>длител</w:t>
      </w:r>
      <w:r>
        <w:rPr>
          <w:i/>
        </w:rPr>
        <w:t>ьный контроль над интракраниальными метастазами и ликвидация или снижение интенсивности обусловленных ими неврологических симптомов.</w:t>
      </w:r>
    </w:p>
    <w:p w:rsidR="00C3791F" w:rsidRDefault="00AE1F83">
      <w:pPr>
        <w:spacing w:after="164" w:line="357" w:lineRule="auto"/>
        <w:ind w:left="127" w:firstLine="709"/>
      </w:pPr>
      <w:r>
        <w:rPr>
          <w:b/>
        </w:rPr>
        <w:t>3.3.2. Лучевая терапия у пациентов с почечно-клеточным раком с метастазами в кости</w:t>
      </w:r>
    </w:p>
    <w:p w:rsidR="00C3791F" w:rsidRDefault="00AE1F83">
      <w:pPr>
        <w:ind w:left="1571" w:right="189" w:hanging="357"/>
      </w:pPr>
      <w:r>
        <w:rPr>
          <w:rFonts w:ascii="Segoe UI Symbol" w:eastAsia="Segoe UI Symbol" w:hAnsi="Segoe UI Symbol" w:cs="Segoe UI Symbol"/>
        </w:rPr>
        <w:t xml:space="preserve"> </w:t>
      </w:r>
      <w:r>
        <w:rPr>
          <w:b/>
        </w:rPr>
        <w:t>Рекомендуется</w:t>
      </w:r>
      <w:r>
        <w:t xml:space="preserve"> лучевая терапия у пациен</w:t>
      </w:r>
      <w:r>
        <w:t>тов с генерализованным ПКР с интенсивным болевым синдромом, обусловленным костными метастазами, с целью снижения интенсивности боли и улучшения качества жизни [134, 164, 165].</w:t>
      </w:r>
    </w:p>
    <w:p w:rsidR="00C3791F" w:rsidRDefault="00AE1F83">
      <w:pPr>
        <w:spacing w:line="357" w:lineRule="auto"/>
        <w:ind w:left="127" w:firstLine="709"/>
      </w:pPr>
      <w:r>
        <w:rPr>
          <w:b/>
        </w:rPr>
        <w:t>Уровень убедительности рекомендаций – B (уровень достоверности доказательств − 2</w:t>
      </w:r>
      <w:r>
        <w:rPr>
          <w:b/>
        </w:rPr>
        <w:t>).</w:t>
      </w:r>
    </w:p>
    <w:p w:rsidR="00C3791F" w:rsidRDefault="00AE1F83">
      <w:pPr>
        <w:spacing w:line="359" w:lineRule="auto"/>
        <w:ind w:left="127" w:right="208" w:firstLine="710"/>
      </w:pPr>
      <w:r>
        <w:rPr>
          <w:b/>
          <w:i/>
        </w:rPr>
        <w:t xml:space="preserve">Комментарий (доказательная база): </w:t>
      </w:r>
      <w:r>
        <w:rPr>
          <w:i/>
        </w:rPr>
        <w:t>в исследовании, сравнивавшем однократное облучение (в суммарной очаговой дозе &gt;24 Гр) и гипофракционное облучение пациентов с ПКР с метастазами в кости, отмечено достоверное увеличение 3-летней выживаемости без местного</w:t>
      </w:r>
      <w:r>
        <w:rPr>
          <w:i/>
        </w:rPr>
        <w:t xml:space="preserve"> прогрессирования в группе, получившей лучевую терапию в 1 фракции [164]. В другой серии наблюдений сравнивали СТЛТ и конвенционную лучевую терапию у пациентов с метастазами ПКР в позвоночник. Выраженность болей, частота объективных ответов (ЧОО), время до</w:t>
      </w:r>
      <w:r>
        <w:rPr>
          <w:i/>
        </w:rPr>
        <w:t xml:space="preserve"> снижения интенсивности болей в группах не различались [165]</w:t>
      </w:r>
      <w:r>
        <w:t>.</w:t>
      </w:r>
    </w:p>
    <w:p w:rsidR="00C3791F" w:rsidRDefault="00AE1F83">
      <w:pPr>
        <w:spacing w:line="359" w:lineRule="auto"/>
        <w:ind w:left="127" w:right="208" w:firstLine="710"/>
      </w:pPr>
      <w:r>
        <w:rPr>
          <w:b/>
          <w:i/>
        </w:rPr>
        <w:t xml:space="preserve">Показания: </w:t>
      </w:r>
      <w:r>
        <w:rPr>
          <w:i/>
        </w:rPr>
        <w:t>интенсивные костные боли, обусловленные метастазами, у пациентов с ПКР.</w:t>
      </w:r>
    </w:p>
    <w:p w:rsidR="00C3791F" w:rsidRDefault="00AE1F83">
      <w:pPr>
        <w:spacing w:after="114" w:line="259" w:lineRule="auto"/>
        <w:ind w:left="851" w:right="208" w:firstLine="0"/>
      </w:pPr>
      <w:r>
        <w:rPr>
          <w:b/>
          <w:i/>
        </w:rPr>
        <w:t xml:space="preserve">Цель: </w:t>
      </w:r>
      <w:r>
        <w:rPr>
          <w:i/>
        </w:rPr>
        <w:t>снизить интенсивность болей и улучшить качество жизни.</w:t>
      </w:r>
    </w:p>
    <w:p w:rsidR="00C3791F" w:rsidRDefault="00AE1F83">
      <w:pPr>
        <w:spacing w:after="490" w:line="359" w:lineRule="auto"/>
        <w:ind w:left="127" w:right="208" w:firstLine="710"/>
      </w:pPr>
      <w:r>
        <w:rPr>
          <w:b/>
          <w:i/>
        </w:rPr>
        <w:t xml:space="preserve">Принципы: </w:t>
      </w:r>
      <w:r>
        <w:rPr>
          <w:i/>
        </w:rPr>
        <w:t>СТЛТ не является методом контроля над оп</w:t>
      </w:r>
      <w:r>
        <w:rPr>
          <w:i/>
        </w:rPr>
        <w:t>ухолью и должна быть дополнена системной противоопухолевой терапией.</w:t>
      </w:r>
    </w:p>
    <w:p w:rsidR="00C3791F" w:rsidRDefault="00AE1F83">
      <w:pPr>
        <w:pStyle w:val="Heading2"/>
        <w:ind w:left="861" w:right="163"/>
      </w:pPr>
      <w:r>
        <w:t>3.4. Лекарственная терапия</w:t>
      </w:r>
    </w:p>
    <w:p w:rsidR="00C3791F" w:rsidRDefault="00AE1F83">
      <w:pPr>
        <w:ind w:left="127" w:right="189" w:firstLine="709"/>
      </w:pPr>
      <w:r>
        <w:t xml:space="preserve">ПКР – гетерогенная группа новообразований, исходящих из коркового слоя почки, </w:t>
      </w:r>
      <w:r>
        <w:t>составляющая около 90 % всех опухолей данной локализации. В настоящее время выделено несколько вариантов рака паренхимы почки, характеризующихся специфическими молекулярно-генетическими особенностями, среди которых доминирует светлоклеточный тип (сПКР) (80</w:t>
      </w:r>
      <w:r>
        <w:t xml:space="preserve"> %); гораздо реже встречаются несветлоклеточные варианты рака паренхимы почки (нПКР) (папиллярный (10−15 %), хромофобный (5 %) и редкие разновидности ПКР (&lt;1 %)). Поэтому сПКР был выбран в качестве основного объекта для изучения особенностей туморогенеза и</w:t>
      </w:r>
      <w:r>
        <w:t xml:space="preserve"> поиска потенциальных мишеней для системного противоопухолевого лечения.</w:t>
      </w:r>
    </w:p>
    <w:p w:rsidR="00C3791F" w:rsidRDefault="00AE1F83">
      <w:pPr>
        <w:ind w:left="127" w:right="189" w:firstLine="709"/>
      </w:pPr>
      <w:r>
        <w:t xml:space="preserve">Поиск эффективных режимов терапии ПКР долго был безрезультатным в связи с химиорезистентностью данной опухоли, обусловленной гиперэкспрессией белка </w:t>
      </w:r>
      <w:r>
        <w:t>множественной лекарственной устойчивости. Рак паренхимы почки – иммуногенная опухоль, и до 2005 г. стандартным подходом к лечению неоперабельных местнораспространенных и диссеминированных форм заболевания являлась цитокиновая иммунотерапия (интерферон альф</w:t>
      </w:r>
      <w:r>
        <w:t>а-2b** (ИФН-α**), интерлейкин-2), ассоциированная с низкой ЧОО и короткой беспрогрессивной выживаемостью (БПВ) [166]. Популяция пациентов с ПКР прогностически разнородна. По данным MSKCC прогноз пациентов, получающих цитокиновую терапию, определяется колич</w:t>
      </w:r>
      <w:r>
        <w:t>еством независимых факторов риска ОВ (соматический статус, время от диагноза до лечения, уровни гемоглобина, лактатдегидрогеназы и скорректированного по альбумину кальция), и все пациенты могут быть разделены на группы хорошего (0 факторов), промежуточного</w:t>
      </w:r>
      <w:r>
        <w:t xml:space="preserve"> (1−2 фактора) и плохого (&gt;2) прогноза [14].</w:t>
      </w:r>
    </w:p>
    <w:p w:rsidR="00C3791F" w:rsidRDefault="00AE1F83">
      <w:pPr>
        <w:ind w:left="127" w:right="189" w:firstLine="709"/>
      </w:pPr>
      <w:r>
        <w:t>Изучение специфики путей внутриклеточной передачи сигнала при сПКР позволило разработать антитела к VEGF (бевацизумаб**) и тирозинкиназным доменам рецепторов VEGF и других ростовых факторов (TKI) (сунитиниб**, п</w:t>
      </w:r>
      <w:r>
        <w:t xml:space="preserve">азопаниб**, сорафениб**, акситиниб**, ленватиниб**, кабозантиниб**), а также препараты, ингибирующие mTOR (эверолимус**), которые начали входить в стандарты лечения распространенного сПКР с 2005 г. Анализ данных 645 получавших таргетную терапию пациентов, </w:t>
      </w:r>
      <w:r>
        <w:t>проведенный IMDC, позволил разработать прогностическую шкалу, основанную на наличии и количестве факторов риска ОВ (уровни гемоглобина, скорректированного по альбумину кальция, нейтрофилов и тромбоцитов, соматический статус и время от диагноза до лечения).</w:t>
      </w:r>
      <w:r>
        <w:t xml:space="preserve"> Пациенты, не имеющие (0) факторов риска, относятся к группе хорошего, 1−2 фактора – промежуточного и &gt;2 факторов – плохого прогноза [15]. В настоящее время именно данная классификация является одним из основных критериев выбора лечебной тактики.</w:t>
      </w:r>
    </w:p>
    <w:p w:rsidR="00C3791F" w:rsidRDefault="00AE1F83">
      <w:pPr>
        <w:ind w:left="127" w:right="189" w:firstLine="709"/>
      </w:pPr>
      <w:r>
        <w:t>Дальнейши</w:t>
      </w:r>
      <w:r>
        <w:t>е исследования привели к разработке эффективных режимов, основанных на иммуноонкологических препаратах, способных точечно блокировать межклеточную передачу противоиммуногенного сигнала (ингибировать рецептор программируемой клеточной смерти 1-го типа (PD-1</w:t>
      </w:r>
      <w:r>
        <w:t>) (ниволумаб**, пембролизумаб**) или его лиганд 1-го типа (PD-L1) (авелумаб**) и CTLA-4 (ипилимумаб**)).</w:t>
      </w:r>
    </w:p>
    <w:p w:rsidR="00C3791F" w:rsidRDefault="00AE1F83">
      <w:pPr>
        <w:spacing w:after="647"/>
        <w:ind w:left="127" w:right="189" w:firstLine="709"/>
      </w:pPr>
      <w:r>
        <w:t>Результаты последних исследований, продемонстрировавших увеличение ОВ больных сПКР, получавших новые режимы терапии, по сравнению с предшествующим стан</w:t>
      </w:r>
      <w:r>
        <w:t>дартом привели к коренному пересмотру клинических рекомендаций.</w:t>
      </w:r>
    </w:p>
    <w:p w:rsidR="00C3791F" w:rsidRDefault="00AE1F83">
      <w:pPr>
        <w:spacing w:line="357" w:lineRule="auto"/>
        <w:ind w:left="127" w:right="195" w:firstLine="709"/>
      </w:pPr>
      <w:r>
        <w:rPr>
          <w:b/>
        </w:rPr>
        <w:t>3.4.1. Лекарственные препараты с доказанной эффективностью у пациентов с почечно-клеточным раком, зарегистрированные на территории Российской Федерации, и режимы их дозирования</w:t>
      </w:r>
    </w:p>
    <w:p w:rsidR="00C3791F" w:rsidRDefault="00AE1F83">
      <w:pPr>
        <w:ind w:left="127" w:right="189" w:firstLine="709"/>
      </w:pPr>
      <w:r>
        <w:t>Рекомендации по</w:t>
      </w:r>
      <w:r>
        <w:t xml:space="preserve"> назначению и применению указанных ниже лекарственных препаратов представлены в подразделе 3.4.2.</w:t>
      </w:r>
    </w:p>
    <w:p w:rsidR="00C3791F" w:rsidRDefault="00AE1F83">
      <w:pPr>
        <w:tabs>
          <w:tab w:val="center" w:pos="658"/>
          <w:tab w:val="center" w:pos="2422"/>
        </w:tabs>
        <w:spacing w:after="120" w:line="259" w:lineRule="auto"/>
        <w:ind w:left="0" w:firstLine="0"/>
        <w:jc w:val="left"/>
      </w:pPr>
      <w:r>
        <w:rPr>
          <w:rFonts w:ascii="Calibri" w:eastAsia="Calibri" w:hAnsi="Calibri" w:cs="Calibri"/>
          <w:sz w:val="22"/>
        </w:rPr>
        <w:tab/>
      </w:r>
      <w:r>
        <w:t>1.</w:t>
      </w:r>
      <w:r>
        <w:tab/>
        <w:t>Антиангиогенные препараты</w:t>
      </w:r>
    </w:p>
    <w:p w:rsidR="00C3791F" w:rsidRDefault="00AE1F83">
      <w:pPr>
        <w:numPr>
          <w:ilvl w:val="0"/>
          <w:numId w:val="31"/>
        </w:numPr>
        <w:spacing w:after="360" w:line="259" w:lineRule="auto"/>
        <w:ind w:right="189" w:hanging="731"/>
      </w:pPr>
      <w:r>
        <w:t>Моноклональные антитела (антитела к VEGF)</w:t>
      </w:r>
    </w:p>
    <w:p w:rsidR="00C3791F" w:rsidRDefault="00AE1F83">
      <w:pPr>
        <w:spacing w:after="114" w:line="259" w:lineRule="auto"/>
        <w:ind w:left="734" w:right="189"/>
      </w:pPr>
      <w:r>
        <w:t>i.Бевацизумаб**</w:t>
      </w:r>
    </w:p>
    <w:p w:rsidR="00C3791F" w:rsidRDefault="00AE1F83">
      <w:pPr>
        <w:ind w:left="127" w:right="189" w:firstLine="709"/>
      </w:pPr>
      <w:r>
        <w:t>Бевацизумаб** − гуманизированные антитела, связывающие изоформы VEGF-A</w:t>
      </w:r>
      <w:r>
        <w:t>. Доза бевацизумаба** 10 мг/кг в/в капельно 1 раз в 2 нед. Препарат назначается в сочетании с ИФН-α** с постепенной эскалацией дозы последнего от 3 млн ЕД 3 раза в нед подкожно в течение 1-й недели терапии, до 6 млн ЕД 3 раза в нед подкожно в течение 2-й н</w:t>
      </w:r>
      <w:r>
        <w:t>едели терапии и до 9 млн ЕД 3 раза в нед подкожно в течение 3-й и последующих нед терапии. При плохой переносимости ИФН-α** разовая доза его может быть снижена до 6 млн ЕД или 3 млн ЕД.</w:t>
      </w:r>
    </w:p>
    <w:p w:rsidR="00C3791F" w:rsidRDefault="00AE1F83">
      <w:pPr>
        <w:numPr>
          <w:ilvl w:val="0"/>
          <w:numId w:val="31"/>
        </w:numPr>
        <w:spacing w:after="360" w:line="259" w:lineRule="auto"/>
        <w:ind w:right="189" w:hanging="731"/>
      </w:pPr>
      <w:r>
        <w:t>Ингибиторы протеинкиназы (мультикиназные ингибиторы)</w:t>
      </w:r>
    </w:p>
    <w:p w:rsidR="00C3791F" w:rsidRDefault="00AE1F83">
      <w:pPr>
        <w:spacing w:after="114" w:line="259" w:lineRule="auto"/>
        <w:ind w:left="734" w:right="189"/>
      </w:pPr>
      <w:r>
        <w:t>i.Сорафениб**</w:t>
      </w:r>
    </w:p>
    <w:p w:rsidR="00C3791F" w:rsidRDefault="00AE1F83">
      <w:pPr>
        <w:spacing w:after="233"/>
        <w:ind w:left="127" w:right="189" w:firstLine="709"/>
      </w:pPr>
      <w:r>
        <w:t>Сорафениб** – пероральный мультикиназный ингибитор, угнетающий активность серин-треониновой киназы Raf-1, B-Raf, рецепторов VEGF 2-го типа (VEGFR2) и PDGF (PDGFR), FMS-подобной тирозинкиназы-3 и c-KIT. Препарат назначается в монорежиме, суточная доза соста</w:t>
      </w:r>
      <w:r>
        <w:t>вляет</w:t>
      </w:r>
      <w:r>
        <w:rPr>
          <w:shd w:val="clear" w:color="auto" w:fill="F7F7F7"/>
        </w:rPr>
        <w:t xml:space="preserve"> 800 мг (4 таблетки по 200 мг). Она назначается в 2 приема (2</w:t>
      </w:r>
      <w:r>
        <w:t xml:space="preserve"> </w:t>
      </w:r>
      <w:r>
        <w:rPr>
          <w:shd w:val="clear" w:color="auto" w:fill="F7F7F7"/>
        </w:rPr>
        <w:t>таблетки 2 раза в сутки). При необходимости доза препарата может быть снижена до 400 мг 1 раз в сутки или до 400 мг через день.</w:t>
      </w:r>
    </w:p>
    <w:p w:rsidR="00C3791F" w:rsidRDefault="00AE1F83">
      <w:pPr>
        <w:spacing w:after="114" w:line="259" w:lineRule="auto"/>
        <w:ind w:left="668" w:right="189"/>
      </w:pPr>
      <w:r>
        <w:t>ii.Сунитиниб**</w:t>
      </w:r>
    </w:p>
    <w:p w:rsidR="00C3791F" w:rsidRDefault="00AE1F83">
      <w:pPr>
        <w:spacing w:after="240" w:line="357" w:lineRule="auto"/>
        <w:ind w:left="127" w:right="180" w:firstLine="699"/>
      </w:pPr>
      <w:r>
        <w:t>Сунитиниб** – пероральный мультикиназный ингиб</w:t>
      </w:r>
      <w:r>
        <w:t>итор ростовых факторов PDGFR, VEGFR, с-KIT и FMS-подобной тирозинкиназы 3, обладающий противоопухолевой и антиангиогенной активностью. Препарат назначается в монорежиме, его доза составляет</w:t>
      </w:r>
      <w:r>
        <w:rPr>
          <w:shd w:val="clear" w:color="auto" w:fill="F7F7F7"/>
        </w:rPr>
        <w:t xml:space="preserve"> 50 мг/сут в течение 4 нед с последующим перерывом в течение 2 нед </w:t>
      </w:r>
      <w:r>
        <w:rPr>
          <w:shd w:val="clear" w:color="auto" w:fill="F7F7F7"/>
        </w:rPr>
        <w:t>(режим 4/2). Полный цикл терапии составляет 6 нед. При необходимости доза препарата</w:t>
      </w:r>
      <w:r>
        <w:t xml:space="preserve"> </w:t>
      </w:r>
      <w:r>
        <w:rPr>
          <w:shd w:val="clear" w:color="auto" w:fill="F7F7F7"/>
        </w:rPr>
        <w:t>может быть снижена на 12,5 мг, до 37,5 мг/сут. У пациентов с плохой индивидуальной</w:t>
      </w:r>
      <w:r>
        <w:t xml:space="preserve"> </w:t>
      </w:r>
      <w:r>
        <w:rPr>
          <w:shd w:val="clear" w:color="auto" w:fill="F7F7F7"/>
        </w:rPr>
        <w:t>переносимостью режима 4/2 допустимо назначение сунитиниба** в дозе 50 мг/сут в</w:t>
      </w:r>
      <w:r>
        <w:t xml:space="preserve"> </w:t>
      </w:r>
      <w:r>
        <w:rPr>
          <w:shd w:val="clear" w:color="auto" w:fill="F7F7F7"/>
        </w:rPr>
        <w:t xml:space="preserve">течение 2 </w:t>
      </w:r>
      <w:r>
        <w:rPr>
          <w:shd w:val="clear" w:color="auto" w:fill="F7F7F7"/>
        </w:rPr>
        <w:t>нед с последующим перерывом в течение 1 нед (режим 2/1).</w:t>
      </w:r>
    </w:p>
    <w:p w:rsidR="00C3791F" w:rsidRDefault="00AE1F83">
      <w:pPr>
        <w:spacing w:after="114" w:line="259" w:lineRule="auto"/>
        <w:ind w:left="601" w:right="189"/>
      </w:pPr>
      <w:r>
        <w:t>iii.Пазопаниб**</w:t>
      </w:r>
    </w:p>
    <w:p w:rsidR="00C3791F" w:rsidRDefault="00AE1F83">
      <w:pPr>
        <w:spacing w:after="233"/>
        <w:ind w:left="127" w:right="189" w:firstLine="709"/>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4371975</wp:posOffset>
                </wp:positionH>
                <wp:positionV relativeFrom="paragraph">
                  <wp:posOffset>256456</wp:posOffset>
                </wp:positionV>
                <wp:extent cx="37465" cy="174625"/>
                <wp:effectExtent l="0" t="0" r="0" b="0"/>
                <wp:wrapNone/>
                <wp:docPr id="103417" name="Group 103417"/>
                <wp:cNvGraphicFramePr/>
                <a:graphic xmlns:a="http://schemas.openxmlformats.org/drawingml/2006/main">
                  <a:graphicData uri="http://schemas.microsoft.com/office/word/2010/wordprocessingGroup">
                    <wpg:wgp>
                      <wpg:cNvGrpSpPr/>
                      <wpg:grpSpPr>
                        <a:xfrm>
                          <a:off x="0" y="0"/>
                          <a:ext cx="37465" cy="174625"/>
                          <a:chOff x="0" y="0"/>
                          <a:chExt cx="37465" cy="174625"/>
                        </a:xfrm>
                      </wpg:grpSpPr>
                      <wps:wsp>
                        <wps:cNvPr id="130648" name="Shape 130648"/>
                        <wps:cNvSpPr/>
                        <wps:spPr>
                          <a:xfrm>
                            <a:off x="0" y="0"/>
                            <a:ext cx="37465" cy="174625"/>
                          </a:xfrm>
                          <a:custGeom>
                            <a:avLst/>
                            <a:gdLst/>
                            <a:ahLst/>
                            <a:cxnLst/>
                            <a:rect l="0" t="0" r="0" b="0"/>
                            <a:pathLst>
                              <a:path w="37465" h="174625">
                                <a:moveTo>
                                  <a:pt x="0" y="0"/>
                                </a:moveTo>
                                <a:lnTo>
                                  <a:pt x="37465" y="0"/>
                                </a:lnTo>
                                <a:lnTo>
                                  <a:pt x="37465" y="174625"/>
                                </a:lnTo>
                                <a:lnTo>
                                  <a:pt x="0" y="174625"/>
                                </a:lnTo>
                                <a:lnTo>
                                  <a:pt x="0" y="0"/>
                                </a:lnTo>
                              </a:path>
                            </a:pathLst>
                          </a:custGeom>
                          <a:ln w="0" cap="flat">
                            <a:miter lim="127000"/>
                          </a:ln>
                        </wps:spPr>
                        <wps:style>
                          <a:lnRef idx="0">
                            <a:srgbClr val="000000">
                              <a:alpha val="0"/>
                            </a:srgbClr>
                          </a:lnRef>
                          <a:fillRef idx="1">
                            <a:srgbClr val="F7F7F7"/>
                          </a:fillRef>
                          <a:effectRef idx="0">
                            <a:scrgbClr r="0" g="0" b="0"/>
                          </a:effectRef>
                          <a:fontRef idx="none"/>
                        </wps:style>
                        <wps:bodyPr/>
                      </wps:wsp>
                    </wpg:wgp>
                  </a:graphicData>
                </a:graphic>
              </wp:anchor>
            </w:drawing>
          </mc:Choice>
          <mc:Fallback xmlns:a="http://schemas.openxmlformats.org/drawingml/2006/main">
            <w:pict>
              <v:group id="Group 103417" style="width:2.95001pt;height:13.75pt;position:absolute;z-index:-2147483625;mso-position-horizontal-relative:text;mso-position-horizontal:absolute;margin-left:344.25pt;mso-position-vertical-relative:text;margin-top:20.1934pt;" coordsize="374,1746">
                <v:shape id="Shape 130649" style="position:absolute;width:374;height:1746;left:0;top:0;" coordsize="37465,174625" path="m0,0l37465,0l37465,174625l0,174625l0,0">
                  <v:stroke weight="0pt" endcap="flat" joinstyle="miter" miterlimit="10" on="false" color="#000000" opacity="0"/>
                  <v:fill on="true" color="#f7f7f7"/>
                </v:shape>
              </v:group>
            </w:pict>
          </mc:Fallback>
        </mc:AlternateContent>
      </w:r>
      <w:r>
        <w:t>Пазопаниб** − пероральный селективный ингибитор тирозинкиназ, VEGFR, PDGFR и c-KIT. Препарат назначается в монорежиме, его доза составляет 800 мг 1 раз в сутки. При необходимости сут</w:t>
      </w:r>
      <w:r>
        <w:t>очная доза препарата может быть уменьшена или увеличена с шагом 200 мг, при этом максимальная суточная доза не должна превышать 800 мг и минимальная суточная доза не должна быть ниже 400 мг.</w:t>
      </w:r>
    </w:p>
    <w:p w:rsidR="00C3791F" w:rsidRDefault="00AE1F83">
      <w:pPr>
        <w:spacing w:after="114" w:line="259" w:lineRule="auto"/>
        <w:ind w:left="614" w:right="189"/>
      </w:pPr>
      <w:r>
        <w:t>iv.Акситиниб**</w:t>
      </w:r>
    </w:p>
    <w:p w:rsidR="00C3791F" w:rsidRDefault="00AE1F83">
      <w:pPr>
        <w:spacing w:after="233"/>
        <w:ind w:left="127" w:right="189" w:firstLine="709"/>
      </w:pPr>
      <w:r>
        <w:t>Акситиниб** – пероральный высокоаффинный ингибитор</w:t>
      </w:r>
      <w:r>
        <w:t xml:space="preserve"> тирозинкиназ, блокирующий VEGFR1–3. Препарат назначается в монорежиме или в комбинации с ингибиторами PD(L)-1 (пембролизумаб** 200 мг 1 раз в 3 нед или 400 мг 1 раз в 6 нед или #авелумаб** 10 мг/кг или авелумаб** 800 мг 1 раз в 2 нед). Как при назначении </w:t>
      </w:r>
      <w:r>
        <w:t>монотерапии акситинибом**, так и при использовании комбинаций на основе данного препарата начальная доза акситиниба** составляет 5 мг 2 раза в сутки с интервалом между приемами 12 ч. Пациентам, переносящим препарат в начальной дозе (5 мг 2 раза в сутки) бе</w:t>
      </w:r>
      <w:r>
        <w:t>з развития нежелательных явлений (НЯ) выше II степени тяжести согласно Общим критериям оценки степени тяжести нежелательных явлений (Common Terminology Criteria for Adverse Events, CTCAE) в течение 2 последовательных недель, при условии, что артериальное д</w:t>
      </w:r>
      <w:r>
        <w:t>авление не превышает 150/90 мм рт. ст. и нет необходимости в приеме стандартной гипотензивной терапии, возможно повышение дозы до 7 мг 2 раза в сутки. Затем с использованием тех же критериев пациентам, переносящим акситиниб** в дозе 7 мг 2 раза в сутки, во</w:t>
      </w:r>
      <w:r>
        <w:t xml:space="preserve">зможно дальнейшее повышение дозы препарата до максимальной ‒ 10 мг 2 раза в сутки. При необходимости допускается снижение дозы акситиниба** до 3 мг 2 раза в сутки, затем – до 2 мг 2 раза в сутки. </w:t>
      </w:r>
    </w:p>
    <w:p w:rsidR="00C3791F" w:rsidRDefault="00AE1F83">
      <w:pPr>
        <w:spacing w:line="259" w:lineRule="auto"/>
        <w:ind w:left="681" w:right="189"/>
      </w:pPr>
      <w:r>
        <w:t>v.Ленватиниб**</w:t>
      </w:r>
    </w:p>
    <w:p w:rsidR="00C3791F" w:rsidRDefault="00AE1F83">
      <w:pPr>
        <w:spacing w:after="233"/>
        <w:ind w:left="127" w:right="189" w:firstLine="709"/>
      </w:pPr>
      <w:r>
        <w:t>Ленватиниб** – пероральный мультикиназный ин</w:t>
      </w:r>
      <w:r>
        <w:t xml:space="preserve">гибитор FGFR1–4, VEGFR1–3, PDGFR-α, а также рецепторов RET, KIT. Суточная доза ленватиниба** зависит от состава назначаемой комбинации. </w:t>
      </w:r>
    </w:p>
    <w:p w:rsidR="00C3791F" w:rsidRDefault="00AE1F83">
      <w:pPr>
        <w:spacing w:after="233"/>
        <w:ind w:left="127" w:right="189" w:firstLine="709"/>
      </w:pPr>
      <w:r>
        <w:t xml:space="preserve">В комбинации с эверолимусом** 5 мг/сут суточная доза ленватиниба** составляет 18 мг (1 капсула 10 мг и 2 капсулы 4 мг) </w:t>
      </w:r>
      <w:r>
        <w:t>1 раз в сутки. При необходимости суточная доза препарата может быть уменьшена или увеличена с шагом 4 мг, при этом максимальная суточная доза не должна превышать 18 мг, а минимальная суточная доза не должна быть ниже 10 мг.</w:t>
      </w:r>
    </w:p>
    <w:p w:rsidR="00C3791F" w:rsidRDefault="00AE1F83">
      <w:pPr>
        <w:spacing w:after="233"/>
        <w:ind w:left="127" w:right="189" w:firstLine="709"/>
      </w:pPr>
      <w:r>
        <w:t>В комбинации с пембролизумабом**</w:t>
      </w:r>
      <w:r>
        <w:t xml:space="preserve"> 200 мг 1 раз в 3 нед или 400 мг 1 раз в 6 нед суточная доза ленватиниба** составляет 20 мг (2 капсулы 10 мг) 1 раз в сутки. При необходимости суточная доза препарата может быть уменьшена или увеличена с шагом 4 мг, при этом максимальная суточная доза не д</w:t>
      </w:r>
      <w:r>
        <w:t>олжна превышать 20 мг, а минимальная суточная доза не должна быть ниже 10 мг.</w:t>
      </w:r>
    </w:p>
    <w:p w:rsidR="00C3791F" w:rsidRDefault="00AE1F83">
      <w:pPr>
        <w:spacing w:after="114" w:line="259" w:lineRule="auto"/>
        <w:ind w:left="614" w:right="189"/>
      </w:pPr>
      <w:r>
        <w:t>vi.Кабозантиниб**</w:t>
      </w:r>
    </w:p>
    <w:p w:rsidR="00C3791F" w:rsidRDefault="00AE1F83">
      <w:pPr>
        <w:spacing w:after="233"/>
        <w:ind w:left="127" w:right="189" w:firstLine="709"/>
      </w:pPr>
      <w:r>
        <w:t xml:space="preserve">Кабозантиниб** – пероральный мультикиназный ингибитор VEGFR1–3, AXL, MET (рецептор фактора роста гепатоцитов), а также RET, рецепторов факторов роста стволовых </w:t>
      </w:r>
      <w:r>
        <w:t>клеток KIT, FLT3, ROS1, MER, TYRO3, TRKB и TIE-2. При назначении монотерапии кабозантинибом** суточная доза составляет 60 мг 1 раз в сутки. При необходимости доза препарата может быть уменьшена или увеличена с шагом 20 мг, при этом максимальная суточная до</w:t>
      </w:r>
      <w:r>
        <w:t>за не должна превышать 60 мг, и минимальная суточная доза не должна быть ниже 20 мг.</w:t>
      </w:r>
    </w:p>
    <w:p w:rsidR="00C3791F" w:rsidRDefault="00AE1F83">
      <w:pPr>
        <w:spacing w:after="233"/>
        <w:ind w:left="127" w:right="189" w:firstLine="709"/>
      </w:pPr>
      <w:r>
        <w:t>При назначении в комбинации с ниволумабом** 240 мг 1 раз в 2 нед или 480 мг 1 раз в 4 нед суточная доза кабозантиниба** составляет 40 мг 1 раз в сутки. При необходимости д</w:t>
      </w:r>
      <w:r>
        <w:t>оза препарата может быть уменьшена до 20 мг.</w:t>
      </w:r>
    </w:p>
    <w:p w:rsidR="00C3791F" w:rsidRDefault="00AE1F83">
      <w:pPr>
        <w:numPr>
          <w:ilvl w:val="0"/>
          <w:numId w:val="32"/>
        </w:numPr>
        <w:spacing w:after="120" w:line="259" w:lineRule="auto"/>
        <w:ind w:right="189" w:hanging="731"/>
      </w:pPr>
      <w:r>
        <w:t>Селективные иммунодепрессанты, ингибирующие mTOR</w:t>
      </w:r>
    </w:p>
    <w:p w:rsidR="00C3791F" w:rsidRDefault="00AE1F83">
      <w:pPr>
        <w:tabs>
          <w:tab w:val="center" w:pos="934"/>
          <w:tab w:val="center" w:pos="2324"/>
        </w:tabs>
        <w:spacing w:after="120" w:line="259" w:lineRule="auto"/>
        <w:ind w:left="0" w:firstLine="0"/>
        <w:jc w:val="left"/>
      </w:pPr>
      <w:r>
        <w:rPr>
          <w:rFonts w:ascii="Calibri" w:eastAsia="Calibri" w:hAnsi="Calibri" w:cs="Calibri"/>
          <w:sz w:val="22"/>
        </w:rPr>
        <w:tab/>
      </w:r>
      <w:r>
        <w:t>a.</w:t>
      </w:r>
      <w:r>
        <w:tab/>
        <w:t>Эверолимус**</w:t>
      </w:r>
    </w:p>
    <w:p w:rsidR="00C3791F" w:rsidRDefault="00AE1F83">
      <w:pPr>
        <w:ind w:left="127" w:right="189" w:firstLine="709"/>
      </w:pPr>
      <w:r>
        <w:t xml:space="preserve">Эверолимус** – пероральный ингибитор mTOR, блокирующий белковый комплекс </w:t>
      </w:r>
      <w:r>
        <w:t xml:space="preserve">TORC-1. Препарат назначается как в монорежиме, так и в комбинации с ленватинибом**. Рекомендуемая доза для монотерапии составляет 10 мг 1 раз в сутки. При необходимости доза препарата может быть снижена до 5 мг/сут. </w:t>
      </w:r>
    </w:p>
    <w:p w:rsidR="00C3791F" w:rsidRDefault="00AE1F83">
      <w:pPr>
        <w:spacing w:after="114" w:line="259" w:lineRule="auto"/>
        <w:ind w:left="861" w:right="189"/>
      </w:pPr>
      <w:r>
        <w:t>В комбинации с ленватинибом** эверолиму</w:t>
      </w:r>
      <w:r>
        <w:t>с** назначается в дозе 5 мг/сут.</w:t>
      </w:r>
    </w:p>
    <w:p w:rsidR="00C3791F" w:rsidRDefault="00AE1F83">
      <w:pPr>
        <w:spacing w:after="423"/>
        <w:ind w:left="137" w:right="189"/>
      </w:pPr>
      <w:r>
        <w:t>Редукция дозы не предусмотрена.</w:t>
      </w:r>
    </w:p>
    <w:p w:rsidR="00C3791F" w:rsidRDefault="00AE1F83">
      <w:pPr>
        <w:numPr>
          <w:ilvl w:val="0"/>
          <w:numId w:val="32"/>
        </w:numPr>
        <w:spacing w:after="120" w:line="259" w:lineRule="auto"/>
        <w:ind w:right="189" w:hanging="731"/>
      </w:pPr>
      <w:r>
        <w:t>Иммуномодуляторы</w:t>
      </w:r>
    </w:p>
    <w:p w:rsidR="00C3791F" w:rsidRDefault="00AE1F83">
      <w:pPr>
        <w:numPr>
          <w:ilvl w:val="0"/>
          <w:numId w:val="33"/>
        </w:numPr>
        <w:spacing w:after="120" w:line="259" w:lineRule="auto"/>
        <w:ind w:right="189" w:hanging="731"/>
      </w:pPr>
      <w:r>
        <w:t>Иммуностимуляторы: интерфероны</w:t>
      </w:r>
    </w:p>
    <w:p w:rsidR="00C3791F" w:rsidRDefault="00AE1F83">
      <w:pPr>
        <w:tabs>
          <w:tab w:val="center" w:pos="2058"/>
          <w:tab w:val="center" w:pos="2793"/>
        </w:tabs>
        <w:spacing w:after="360" w:line="259" w:lineRule="auto"/>
        <w:ind w:left="0" w:firstLine="0"/>
        <w:jc w:val="left"/>
      </w:pPr>
      <w:r>
        <w:rPr>
          <w:rFonts w:ascii="Calibri" w:eastAsia="Calibri" w:hAnsi="Calibri" w:cs="Calibri"/>
          <w:sz w:val="22"/>
        </w:rPr>
        <w:tab/>
      </w:r>
      <w:r>
        <w:t>i.</w:t>
      </w:r>
      <w:r>
        <w:tab/>
        <w:t>ИФН-α**</w:t>
      </w:r>
    </w:p>
    <w:p w:rsidR="00C3791F" w:rsidRDefault="00AE1F83">
      <w:pPr>
        <w:spacing w:after="233"/>
        <w:ind w:left="127" w:right="189" w:firstLine="709"/>
      </w:pPr>
      <w:r>
        <w:t xml:space="preserve"> ИФН-α** – провоспалительный цитокин, назначается в комбинации с </w:t>
      </w:r>
      <w:r>
        <w:t xml:space="preserve">бевацизумабом**. ИФН-α** назначается в стартовой дозе 3 млн ЕД 3 раза в нед подкожно в течение 1-й недели терапии. При отсутствии тяжелых НЯ доза повышается до 6 млн ЕД 3 раза в нед подкожно в течение 2-й недели терапии и до 9 млн ЕД 3 раза в нед подкожно </w:t>
      </w:r>
      <w:r>
        <w:t>в течение 3-й и последующих недели терапии. При плохой переносимости ИФН-α** разовая доза препарата может быть снижена до 6 млн ЕД или 3 млн ЕД.</w:t>
      </w:r>
    </w:p>
    <w:p w:rsidR="00C3791F" w:rsidRDefault="00AE1F83">
      <w:pPr>
        <w:numPr>
          <w:ilvl w:val="0"/>
          <w:numId w:val="33"/>
        </w:numPr>
        <w:spacing w:after="120" w:line="259" w:lineRule="auto"/>
        <w:ind w:right="189" w:hanging="731"/>
      </w:pPr>
      <w:r>
        <w:t>Ингибиторы PD-1</w:t>
      </w:r>
    </w:p>
    <w:p w:rsidR="00C3791F" w:rsidRDefault="00AE1F83">
      <w:pPr>
        <w:tabs>
          <w:tab w:val="center" w:pos="1032"/>
          <w:tab w:val="center" w:pos="1973"/>
        </w:tabs>
        <w:spacing w:after="120" w:line="259" w:lineRule="auto"/>
        <w:ind w:left="0" w:firstLine="0"/>
        <w:jc w:val="left"/>
      </w:pPr>
      <w:r>
        <w:rPr>
          <w:rFonts w:ascii="Calibri" w:eastAsia="Calibri" w:hAnsi="Calibri" w:cs="Calibri"/>
          <w:sz w:val="22"/>
        </w:rPr>
        <w:tab/>
      </w:r>
      <w:r>
        <w:t>i.</w:t>
      </w:r>
      <w:r>
        <w:tab/>
        <w:t>Ниволумаб**</w:t>
      </w:r>
    </w:p>
    <w:p w:rsidR="00C3791F" w:rsidRDefault="00AE1F83">
      <w:pPr>
        <w:ind w:left="127" w:right="189" w:firstLine="709"/>
      </w:pPr>
      <w:r>
        <w:t xml:space="preserve">Ниволумаб** – моноклональное антитело к PD-1. Препарат может назначаться в </w:t>
      </w:r>
      <w:r>
        <w:t xml:space="preserve">монорежиме или в составе комбинаций с ипилимумабом** или кабозантинибом**. </w:t>
      </w:r>
    </w:p>
    <w:p w:rsidR="00C3791F" w:rsidRDefault="00AE1F83">
      <w:pPr>
        <w:ind w:left="127" w:right="189" w:firstLine="709"/>
      </w:pPr>
      <w:r>
        <w:t xml:space="preserve">В качестве монотерапии ниволумаб** вводится в дозе 3 мг/кг или 240 мг каждые 2 нед или 480 мг каждые 4 нед в/в в виде 30-минутной или 60-минутной инфузии. </w:t>
      </w:r>
    </w:p>
    <w:p w:rsidR="00C3791F" w:rsidRDefault="00AE1F83">
      <w:pPr>
        <w:ind w:left="127" w:right="189" w:firstLine="709"/>
      </w:pPr>
      <w:r>
        <w:t>В комбинации с ипилимума</w:t>
      </w:r>
      <w:r>
        <w:t>бом** ниволумаб** вводится в дозе 3 мг/кг с последующим введением ипилимумаба** в дозе 1 мг/кг в тот же день в виде 30-минутной в/в инфузии, каждые 3 нед, всего 4 введения. Далее проводится монотерапия препаратом ниволумаб** в дозе 3 мг/кг или 240 мг – 1-е</w:t>
      </w:r>
      <w:r>
        <w:t xml:space="preserve"> введение через 3 нед после последнего совместного введения, далее каждые 2 нед или в дозе 480 мг – 1-е введение через 6 нед после последнего совместного введения, далее каждые 4 нед. </w:t>
      </w:r>
    </w:p>
    <w:p w:rsidR="00C3791F" w:rsidRDefault="00AE1F83">
      <w:pPr>
        <w:ind w:left="127" w:right="189" w:firstLine="709"/>
      </w:pPr>
      <w:r>
        <w:t>В комбинации с кабозантинибом** 40 мг/сут ниволумаб** назначается в доз</w:t>
      </w:r>
      <w:r>
        <w:t xml:space="preserve">е 240 мг каждые 2 нед или 480 мг каждые 4 нед в/в капельно. </w:t>
      </w:r>
    </w:p>
    <w:p w:rsidR="00C3791F" w:rsidRDefault="00AE1F83">
      <w:pPr>
        <w:spacing w:after="423"/>
        <w:ind w:left="861" w:right="189"/>
      </w:pPr>
      <w:r>
        <w:t>Редукция дозы ниволумаба** не предусмотрена.</w:t>
      </w:r>
    </w:p>
    <w:p w:rsidR="00C3791F" w:rsidRDefault="00AE1F83">
      <w:pPr>
        <w:tabs>
          <w:tab w:val="center" w:pos="716"/>
          <w:tab w:val="center" w:pos="1931"/>
        </w:tabs>
        <w:spacing w:after="120" w:line="259" w:lineRule="auto"/>
        <w:ind w:left="0" w:firstLine="0"/>
        <w:jc w:val="left"/>
      </w:pPr>
      <w:r>
        <w:rPr>
          <w:rFonts w:ascii="Calibri" w:eastAsia="Calibri" w:hAnsi="Calibri" w:cs="Calibri"/>
          <w:sz w:val="22"/>
        </w:rPr>
        <w:tab/>
      </w:r>
      <w:r>
        <w:t>ii.</w:t>
      </w:r>
      <w:r>
        <w:tab/>
        <w:t>Пембролизумаб**</w:t>
      </w:r>
    </w:p>
    <w:p w:rsidR="00C3791F" w:rsidRDefault="00AE1F83">
      <w:pPr>
        <w:spacing w:after="647"/>
        <w:ind w:left="127" w:right="189" w:firstLine="709"/>
      </w:pPr>
      <w:r>
        <w:t>Пембролизумаб** – моноклональное антитело к PD-1. Препарат может использоваться в составе комбинаций с акситинибом** (5 мг 2 раза</w:t>
      </w:r>
      <w:r>
        <w:t xml:space="preserve"> в сутки) или ленватинибом** (20 мг/сут).  Пембролизумаб** назначается в дозе 200 мг в/в капельно 1 раз в 3 нед или 400 мг 1 раз в 6 нед. Редукция дозы пембролизумаба** не предусмотрена. </w:t>
      </w:r>
    </w:p>
    <w:p w:rsidR="00C3791F" w:rsidRDefault="00AE1F83">
      <w:pPr>
        <w:tabs>
          <w:tab w:val="center" w:pos="934"/>
          <w:tab w:val="center" w:pos="2581"/>
        </w:tabs>
        <w:spacing w:after="120" w:line="259" w:lineRule="auto"/>
        <w:ind w:left="0" w:firstLine="0"/>
        <w:jc w:val="left"/>
      </w:pPr>
      <w:r>
        <w:rPr>
          <w:rFonts w:ascii="Calibri" w:eastAsia="Calibri" w:hAnsi="Calibri" w:cs="Calibri"/>
          <w:sz w:val="22"/>
        </w:rPr>
        <w:tab/>
      </w:r>
      <w:r>
        <w:t>c.</w:t>
      </w:r>
      <w:r>
        <w:tab/>
        <w:t>Ингибиторы PD-L1</w:t>
      </w:r>
    </w:p>
    <w:p w:rsidR="00C3791F" w:rsidRDefault="00AE1F83">
      <w:pPr>
        <w:tabs>
          <w:tab w:val="center" w:pos="891"/>
          <w:tab w:val="center" w:pos="1761"/>
        </w:tabs>
        <w:spacing w:after="360" w:line="259" w:lineRule="auto"/>
        <w:ind w:left="0" w:firstLine="0"/>
        <w:jc w:val="left"/>
      </w:pPr>
      <w:r>
        <w:rPr>
          <w:rFonts w:ascii="Calibri" w:eastAsia="Calibri" w:hAnsi="Calibri" w:cs="Calibri"/>
          <w:sz w:val="22"/>
        </w:rPr>
        <w:tab/>
      </w:r>
      <w:r>
        <w:t>i.</w:t>
      </w:r>
      <w:r>
        <w:tab/>
        <w:t>Авелумаб**</w:t>
      </w:r>
    </w:p>
    <w:p w:rsidR="00C3791F" w:rsidRDefault="00AE1F83">
      <w:pPr>
        <w:spacing w:after="233"/>
        <w:ind w:left="127" w:right="189" w:firstLine="709"/>
      </w:pPr>
      <w:r>
        <w:t>Авелумаб** – человеческий иммуно</w:t>
      </w:r>
      <w:r>
        <w:t>глобулин G1 (IgGl), моноклональное антитело, направленное против PD-L1. Препарат назначается в дозе 800 мг в/в капельно в течение 1 ч 1 раз в 2 нед или в эквивалентной дозировке согласно инструкции по применению в комбинации с акситинибом** 5 мг 2 раза в с</w:t>
      </w:r>
      <w:r>
        <w:t xml:space="preserve">утки перорально. Редукция дозы авелумаба** не предусмотрена. </w:t>
      </w:r>
    </w:p>
    <w:p w:rsidR="00C3791F" w:rsidRDefault="00AE1F83">
      <w:pPr>
        <w:tabs>
          <w:tab w:val="center" w:pos="865"/>
          <w:tab w:val="center" w:pos="2220"/>
        </w:tabs>
        <w:spacing w:after="360" w:line="259" w:lineRule="auto"/>
        <w:ind w:left="0" w:firstLine="0"/>
        <w:jc w:val="left"/>
      </w:pPr>
      <w:r>
        <w:rPr>
          <w:rFonts w:ascii="Calibri" w:eastAsia="Calibri" w:hAnsi="Calibri" w:cs="Calibri"/>
          <w:sz w:val="22"/>
        </w:rPr>
        <w:tab/>
      </w:r>
      <w:r>
        <w:t>d.</w:t>
      </w:r>
      <w:r>
        <w:tab/>
        <w:t>Ингибиторы CTLA-4</w:t>
      </w:r>
    </w:p>
    <w:p w:rsidR="00C3791F" w:rsidRDefault="00AE1F83">
      <w:pPr>
        <w:tabs>
          <w:tab w:val="center" w:pos="749"/>
          <w:tab w:val="center" w:pos="1778"/>
        </w:tabs>
        <w:spacing w:after="120" w:line="259" w:lineRule="auto"/>
        <w:ind w:left="0" w:firstLine="0"/>
        <w:jc w:val="left"/>
      </w:pPr>
      <w:r>
        <w:rPr>
          <w:rFonts w:ascii="Calibri" w:eastAsia="Calibri" w:hAnsi="Calibri" w:cs="Calibri"/>
          <w:sz w:val="22"/>
        </w:rPr>
        <w:tab/>
      </w:r>
      <w:r>
        <w:t>i.</w:t>
      </w:r>
      <w:r>
        <w:tab/>
        <w:t>Ипилимумаб**</w:t>
      </w:r>
    </w:p>
    <w:p w:rsidR="00C3791F" w:rsidRDefault="00AE1F83">
      <w:pPr>
        <w:spacing w:after="447"/>
        <w:ind w:left="127" w:right="189" w:firstLine="709"/>
      </w:pPr>
      <w:r>
        <w:t xml:space="preserve">Ипилимумаб** – моноклональное тело к CTLA-4. Рекомендуемая доза ипилимумаба** − 1 мг/кг в/в капельно 1 раз в 3 нед, 4 введения. Назначается в комбинации с </w:t>
      </w:r>
      <w:r>
        <w:t>ниволумабом** в дозе 3 мг/кг или ниволумабом** #240 мг 1 раз в 3 нед в/в капельно, 4 введения. Далее проводится монотерапия препаратом ниволумаб** в дозе 3 мг/кг или 240 мг – 1-е введение через 3 нед после последнего совместного введения, далее каждые 2 не</w:t>
      </w:r>
      <w:r>
        <w:t>д или в дозе 480 мг – 1-е введение через 6 нед после последнего совместного введения, далее каждые 4 нед. Редукция дозы ипилимумаба** не предусмотрена.</w:t>
      </w:r>
    </w:p>
    <w:p w:rsidR="00C3791F" w:rsidRDefault="00AE1F83">
      <w:pPr>
        <w:spacing w:after="40" w:line="357" w:lineRule="auto"/>
        <w:ind w:left="127" w:firstLine="709"/>
      </w:pPr>
      <w:r>
        <w:rPr>
          <w:b/>
        </w:rPr>
        <w:t>3.4.2. Принципы назначения лекарственной терапии у пациентов с почечноклеточным раком</w:t>
      </w:r>
    </w:p>
    <w:p w:rsidR="00C3791F" w:rsidRDefault="00AE1F83">
      <w:pPr>
        <w:spacing w:after="272" w:line="265" w:lineRule="auto"/>
        <w:ind w:left="861"/>
      </w:pPr>
      <w:r>
        <w:rPr>
          <w:b/>
        </w:rPr>
        <w:t>3.4.2.1. Неоадъюва</w:t>
      </w:r>
      <w:r>
        <w:rPr>
          <w:b/>
        </w:rPr>
        <w:t>нтная системная терапия</w:t>
      </w:r>
    </w:p>
    <w:p w:rsidR="00C3791F" w:rsidRDefault="00AE1F83">
      <w:pPr>
        <w:numPr>
          <w:ilvl w:val="0"/>
          <w:numId w:val="34"/>
        </w:numPr>
        <w:ind w:right="189" w:hanging="357"/>
      </w:pPr>
      <w:r>
        <w:t xml:space="preserve">Неоадъювантная системная терапия ПКР </w:t>
      </w:r>
      <w:r>
        <w:rPr>
          <w:b/>
        </w:rPr>
        <w:t>не рекомендуется</w:t>
      </w:r>
      <w:r>
        <w:t xml:space="preserve"> к применению в рутинной клинической практике вне клинических исследований в связи с тем, что в настоящее время отсутствуют рандомизированные клинические исследования по данному в</w:t>
      </w:r>
      <w:r>
        <w:t>опросу [167−169].</w:t>
      </w:r>
    </w:p>
    <w:p w:rsidR="00C3791F" w:rsidRDefault="00AE1F83">
      <w:pPr>
        <w:spacing w:line="357" w:lineRule="auto"/>
        <w:ind w:left="127" w:firstLine="709"/>
      </w:pPr>
      <w:r>
        <w:rPr>
          <w:b/>
        </w:rPr>
        <w:t>Уровень убедительности рекомендаций − C (уровень достоверности доказательств – 4).</w:t>
      </w:r>
    </w:p>
    <w:p w:rsidR="00C3791F" w:rsidRDefault="00AE1F83">
      <w:pPr>
        <w:spacing w:after="452" w:line="359" w:lineRule="auto"/>
        <w:ind w:left="127" w:right="208" w:firstLine="710"/>
      </w:pPr>
      <w:r>
        <w:rPr>
          <w:b/>
          <w:i/>
        </w:rPr>
        <w:t>Комментарий: (доказательная база):</w:t>
      </w:r>
      <w:r>
        <w:rPr>
          <w:i/>
        </w:rPr>
        <w:t xml:space="preserve"> неоадъювантная таргетная терапия при клинически локализованном и местно-распространенном ПКР направлена на уменьшение ра</w:t>
      </w:r>
      <w:r>
        <w:rPr>
          <w:i/>
        </w:rPr>
        <w:t>змеров первичной опухоли для увеличения шансов выполнить органосохраняющее вмешательство или радикально удалить почку с опухолью. В ряде серий наблюдений и рандомизированных исследованиях продемонстрировано уменьшение размеров опухолевых узлов на фоне неоа</w:t>
      </w:r>
      <w:r>
        <w:rPr>
          <w:i/>
        </w:rPr>
        <w:t>дъювантного лечения TKI [168, 169]. Однако группы пациентов, получавших таргетную терапию до операции, малы, а клинические исследования включали небольшое число больных и относились ко II фазе испытаний. Ингибиторы иммунных контрольных точек в неоадъювантн</w:t>
      </w:r>
      <w:r>
        <w:rPr>
          <w:i/>
        </w:rPr>
        <w:t>ом режиме не изучены. Для подтверждения эффективности и безопасности данной лечебной тактики необходимы крупные рандомизированные исследования.</w:t>
      </w:r>
    </w:p>
    <w:p w:rsidR="00C3791F" w:rsidRDefault="00AE1F83">
      <w:pPr>
        <w:spacing w:after="272" w:line="265" w:lineRule="auto"/>
        <w:ind w:left="861"/>
      </w:pPr>
      <w:r>
        <w:rPr>
          <w:b/>
        </w:rPr>
        <w:t>3.4.2.2. Адъювантная системная терапия</w:t>
      </w:r>
    </w:p>
    <w:p w:rsidR="00C3791F" w:rsidRDefault="00AE1F83">
      <w:pPr>
        <w:numPr>
          <w:ilvl w:val="0"/>
          <w:numId w:val="34"/>
        </w:numPr>
        <w:ind w:right="189" w:hanging="357"/>
      </w:pPr>
      <w:r>
        <w:t>После радикального хирургического лечения больных светлоклеточным ПКР про</w:t>
      </w:r>
      <w:r>
        <w:t>межуточного и высокого риска рецидива (T2N0M0G4, T34NлюбаяM0Gлюбая, TлюбаяN1M0Gлюбая), а также после радикального хирургического лечения пациентов с отдаленными метастазами светлоклеточного ПКР в качестве альтернативы динамическому  наблюдению рекомендован</w:t>
      </w:r>
      <w:r>
        <w:t>о проведение адъювантной иммунотерапии пембролизумабом** 200 мг каждые 3 недели в течение 12 месяцев. Решение принимается индивидуально исходя из клинической ситуации. [262].</w:t>
      </w:r>
    </w:p>
    <w:p w:rsidR="00C3791F" w:rsidRDefault="00AE1F83">
      <w:pPr>
        <w:spacing w:line="357" w:lineRule="auto"/>
        <w:ind w:left="127" w:firstLine="709"/>
      </w:pPr>
      <w:r>
        <w:rPr>
          <w:b/>
        </w:rPr>
        <w:t xml:space="preserve">Уровень убедительности рекомендаций </w:t>
      </w:r>
      <w:r>
        <w:t>−</w:t>
      </w:r>
      <w:r>
        <w:rPr>
          <w:b/>
        </w:rPr>
        <w:t xml:space="preserve"> А (уровень достоверности доказательств – 1)</w:t>
      </w:r>
      <w:r>
        <w:rPr>
          <w:b/>
        </w:rPr>
        <w:t>.</w:t>
      </w:r>
    </w:p>
    <w:p w:rsidR="00C3791F" w:rsidRDefault="00AE1F83">
      <w:pPr>
        <w:spacing w:line="359" w:lineRule="auto"/>
        <w:ind w:left="127" w:right="208" w:firstLine="710"/>
      </w:pPr>
      <w:r>
        <w:rPr>
          <w:b/>
          <w:i/>
        </w:rPr>
        <w:t xml:space="preserve">Комментарий (доказательная база): </w:t>
      </w:r>
      <w:r>
        <w:rPr>
          <w:i/>
        </w:rPr>
        <w:t>проведение адъювантной терапии цитокинами пациентам после РН не способствует улучшению их выживаемости. Адъювантная терапия ИФН-α** у радикально оперированных пациентов с неметастатическим ПКР не оказывала влияния на БРВ</w:t>
      </w:r>
      <w:r>
        <w:rPr>
          <w:i/>
        </w:rPr>
        <w:t xml:space="preserve"> и ОВ по данным 2 рандомизированных исследований [</w:t>
      </w:r>
      <w:r>
        <w:rPr>
          <w:i/>
          <w:shd w:val="clear" w:color="auto" w:fill="FCFCFC"/>
        </w:rPr>
        <w:t xml:space="preserve">172, 173]. </w:t>
      </w:r>
      <w:r>
        <w:rPr>
          <w:i/>
        </w:rPr>
        <w:t xml:space="preserve">Целесообразность проведения адъювантной терапии таргетными препаратами изучали в нескольких рандомизированных исследованиях, однако ни в одном из них не было продемонстрировано преимуществ как в </w:t>
      </w:r>
      <w:r>
        <w:rPr>
          <w:i/>
        </w:rPr>
        <w:t xml:space="preserve">ОВ, так и в БПВ. </w:t>
      </w:r>
      <w:r>
        <w:rPr>
          <w:i/>
          <w:shd w:val="clear" w:color="auto" w:fill="FCFCFC"/>
        </w:rPr>
        <w:t>Только в 1 из 4 рандомизированных исследований, сравнивавших</w:t>
      </w:r>
      <w:r>
        <w:rPr>
          <w:i/>
        </w:rPr>
        <w:t xml:space="preserve"> </w:t>
      </w:r>
      <w:r>
        <w:rPr>
          <w:i/>
          <w:shd w:val="clear" w:color="auto" w:fill="FCFCFC"/>
        </w:rPr>
        <w:t>адъювантную терапию TKI и наблюдение, была достигнута первичная цель. В</w:t>
      </w:r>
      <w:r>
        <w:rPr>
          <w:i/>
        </w:rPr>
        <w:t xml:space="preserve"> </w:t>
      </w:r>
      <w:r>
        <w:rPr>
          <w:i/>
          <w:shd w:val="clear" w:color="auto" w:fill="FCFCFC"/>
        </w:rPr>
        <w:t xml:space="preserve">исследовании </w:t>
      </w:r>
      <w:r>
        <w:rPr>
          <w:i/>
        </w:rPr>
        <w:t>S-TRAC продемонстрировано достоверное увеличение БРВ у радикально оперированных пациентов с П</w:t>
      </w:r>
      <w:r>
        <w:rPr>
          <w:i/>
        </w:rPr>
        <w:t>КР группы высокого риска прогрессирования, получавших адъювантную терапию сунитинибом**, по сравнению с плацебо [</w:t>
      </w:r>
      <w:r>
        <w:rPr>
          <w:i/>
          <w:shd w:val="clear" w:color="auto" w:fill="FCFCFC"/>
        </w:rPr>
        <w:t>174</w:t>
      </w:r>
      <w:r>
        <w:rPr>
          <w:i/>
        </w:rPr>
        <w:t>]. Однако ранее опубликованное исследование ASSURE не подтвердило увеличение БРВ и ОВ при использовании адъювантной терапии сунитинибом** ил</w:t>
      </w:r>
      <w:r>
        <w:rPr>
          <w:i/>
        </w:rPr>
        <w:t xml:space="preserve">и сорафенибом** по сравнению с плацебо [175]. Коренные различия данных 2 рандомизированных исследований, а также отрицательные результаты рандомизированных исследований пазопаниба** и акситиниба** в адъювантном режиме </w:t>
      </w:r>
      <w:r>
        <w:rPr>
          <w:i/>
          <w:shd w:val="clear" w:color="auto" w:fill="FCFCFC"/>
        </w:rPr>
        <w:t>наряду с отсутствием преимуществ ОВ во</w:t>
      </w:r>
      <w:r>
        <w:rPr>
          <w:i/>
          <w:shd w:val="clear" w:color="auto" w:fill="FCFCFC"/>
        </w:rPr>
        <w:t xml:space="preserve"> всех</w:t>
      </w:r>
      <w:r>
        <w:rPr>
          <w:i/>
        </w:rPr>
        <w:t xml:space="preserve"> </w:t>
      </w:r>
      <w:r>
        <w:rPr>
          <w:i/>
          <w:shd w:val="clear" w:color="auto" w:fill="FCFCFC"/>
        </w:rPr>
        <w:t>исследованиях и высокой частотой НЯ, ассоциированных с терапией сунитинибом**,</w:t>
      </w:r>
      <w:r>
        <w:rPr>
          <w:i/>
        </w:rPr>
        <w:t xml:space="preserve"> </w:t>
      </w:r>
      <w:r>
        <w:rPr>
          <w:i/>
          <w:shd w:val="clear" w:color="auto" w:fill="FCFCFC"/>
        </w:rPr>
        <w:t>ставят под сомнение целесообразность и безопасность использования адъювантной</w:t>
      </w:r>
      <w:r>
        <w:rPr>
          <w:i/>
        </w:rPr>
        <w:t xml:space="preserve"> </w:t>
      </w:r>
      <w:r>
        <w:rPr>
          <w:i/>
          <w:shd w:val="clear" w:color="auto" w:fill="FCFCFC"/>
        </w:rPr>
        <w:t xml:space="preserve">антиангиогенной терапии </w:t>
      </w:r>
      <w:r>
        <w:rPr>
          <w:i/>
        </w:rPr>
        <w:t>[176, 177</w:t>
      </w:r>
      <w:r>
        <w:rPr>
          <w:i/>
          <w:shd w:val="clear" w:color="auto" w:fill="FCFCFC"/>
        </w:rPr>
        <w:t>]. Адъювантная иммунотерапия ингибиторами</w:t>
      </w:r>
      <w:r>
        <w:rPr>
          <w:i/>
        </w:rPr>
        <w:t xml:space="preserve"> </w:t>
      </w:r>
      <w:r>
        <w:rPr>
          <w:i/>
          <w:shd w:val="clear" w:color="auto" w:fill="FCFCFC"/>
        </w:rPr>
        <w:t>контрольных точек противоопухолевого иммунного ответа (ниволумаб**,</w:t>
      </w:r>
      <w:r>
        <w:rPr>
          <w:i/>
        </w:rPr>
        <w:t xml:space="preserve"> </w:t>
      </w:r>
    </w:p>
    <w:tbl>
      <w:tblPr>
        <w:tblStyle w:val="TableGrid"/>
        <w:tblW w:w="9355" w:type="dxa"/>
        <w:tblInd w:w="141" w:type="dxa"/>
        <w:tblCellMar>
          <w:top w:w="10" w:type="dxa"/>
          <w:left w:w="0" w:type="dxa"/>
          <w:bottom w:w="0" w:type="dxa"/>
          <w:right w:w="0" w:type="dxa"/>
        </w:tblCellMar>
        <w:tblLook w:val="04A0" w:firstRow="1" w:lastRow="0" w:firstColumn="1" w:lastColumn="0" w:noHBand="0" w:noVBand="1"/>
      </w:tblPr>
      <w:tblGrid>
        <w:gridCol w:w="4246"/>
        <w:gridCol w:w="4177"/>
        <w:gridCol w:w="932"/>
      </w:tblGrid>
      <w:tr w:rsidR="00C3791F">
        <w:trPr>
          <w:trHeight w:val="275"/>
        </w:trPr>
        <w:tc>
          <w:tcPr>
            <w:tcW w:w="4246" w:type="dxa"/>
            <w:tcBorders>
              <w:top w:val="nil"/>
              <w:left w:val="nil"/>
              <w:bottom w:val="nil"/>
              <w:right w:val="nil"/>
            </w:tcBorders>
            <w:shd w:val="clear" w:color="auto" w:fill="FCFCFC"/>
          </w:tcPr>
          <w:p w:rsidR="00C3791F" w:rsidRDefault="00AE1F83">
            <w:pPr>
              <w:spacing w:after="0" w:line="259" w:lineRule="auto"/>
              <w:ind w:left="1" w:firstLine="0"/>
            </w:pPr>
            <w:r>
              <w:rPr>
                <w:i/>
              </w:rPr>
              <w:t xml:space="preserve">пембролизумаб**) изучалась в трех РКИ </w:t>
            </w:r>
          </w:p>
        </w:tc>
        <w:tc>
          <w:tcPr>
            <w:tcW w:w="4177" w:type="dxa"/>
            <w:tcBorders>
              <w:top w:val="nil"/>
              <w:left w:val="nil"/>
              <w:bottom w:val="nil"/>
              <w:right w:val="nil"/>
            </w:tcBorders>
            <w:shd w:val="clear" w:color="auto" w:fill="FCFCFC"/>
          </w:tcPr>
          <w:p w:rsidR="00C3791F" w:rsidRDefault="00AE1F83">
            <w:pPr>
              <w:spacing w:after="0" w:line="259" w:lineRule="auto"/>
              <w:ind w:left="-17" w:firstLine="0"/>
            </w:pPr>
            <w:r>
              <w:rPr>
                <w:i/>
              </w:rPr>
              <w:t>III фаз. Исследования атезолизумаба** (</w:t>
            </w:r>
          </w:p>
        </w:tc>
        <w:tc>
          <w:tcPr>
            <w:tcW w:w="932" w:type="dxa"/>
            <w:tcBorders>
              <w:top w:val="nil"/>
              <w:left w:val="nil"/>
              <w:bottom w:val="nil"/>
              <w:right w:val="nil"/>
            </w:tcBorders>
            <w:shd w:val="clear" w:color="auto" w:fill="FCFCFC"/>
          </w:tcPr>
          <w:p w:rsidR="00C3791F" w:rsidRDefault="00AE1F83">
            <w:pPr>
              <w:spacing w:after="0" w:line="259" w:lineRule="auto"/>
              <w:ind w:left="-13" w:right="-1" w:firstLine="0"/>
            </w:pPr>
            <w:r>
              <w:rPr>
                <w:i/>
              </w:rPr>
              <w:t>IMmotion</w:t>
            </w:r>
          </w:p>
        </w:tc>
      </w:tr>
    </w:tbl>
    <w:tbl>
      <w:tblPr>
        <w:tblStyle w:val="TableGrid"/>
        <w:tblpPr w:vertAnchor="text" w:tblpX="3873" w:tblpY="-10"/>
        <w:tblOverlap w:val="never"/>
        <w:tblW w:w="5637" w:type="dxa"/>
        <w:tblInd w:w="0" w:type="dxa"/>
        <w:tblCellMar>
          <w:top w:w="10" w:type="dxa"/>
          <w:left w:w="0" w:type="dxa"/>
          <w:bottom w:w="0" w:type="dxa"/>
          <w:right w:w="12" w:type="dxa"/>
        </w:tblCellMar>
        <w:tblLook w:val="04A0" w:firstRow="1" w:lastRow="0" w:firstColumn="1" w:lastColumn="0" w:noHBand="0" w:noVBand="1"/>
      </w:tblPr>
      <w:tblGrid>
        <w:gridCol w:w="4753"/>
        <w:gridCol w:w="884"/>
      </w:tblGrid>
      <w:tr w:rsidR="00C3791F">
        <w:trPr>
          <w:trHeight w:val="275"/>
        </w:trPr>
        <w:tc>
          <w:tcPr>
            <w:tcW w:w="4753" w:type="dxa"/>
            <w:tcBorders>
              <w:top w:val="nil"/>
              <w:left w:val="nil"/>
              <w:bottom w:val="nil"/>
              <w:right w:val="nil"/>
            </w:tcBorders>
            <w:shd w:val="clear" w:color="auto" w:fill="FCFCFC"/>
          </w:tcPr>
          <w:p w:rsidR="00C3791F" w:rsidRDefault="00AE1F83">
            <w:pPr>
              <w:spacing w:after="0" w:line="259" w:lineRule="auto"/>
              <w:ind w:left="2" w:firstLine="0"/>
            </w:pPr>
            <w:r>
              <w:rPr>
                <w:i/>
              </w:rPr>
              <w:t xml:space="preserve">) оказались отрицательными [260, 261]. РКИ </w:t>
            </w:r>
          </w:p>
        </w:tc>
        <w:tc>
          <w:tcPr>
            <w:tcW w:w="884" w:type="dxa"/>
            <w:tcBorders>
              <w:top w:val="nil"/>
              <w:left w:val="nil"/>
              <w:bottom w:val="nil"/>
              <w:right w:val="nil"/>
            </w:tcBorders>
            <w:shd w:val="clear" w:color="auto" w:fill="FCFCFC"/>
          </w:tcPr>
          <w:p w:rsidR="00C3791F" w:rsidRDefault="00AE1F83">
            <w:pPr>
              <w:spacing w:after="0" w:line="259" w:lineRule="auto"/>
              <w:ind w:left="-20" w:firstLine="0"/>
            </w:pPr>
            <w:r>
              <w:rPr>
                <w:i/>
              </w:rPr>
              <w:t xml:space="preserve">III фазы </w:t>
            </w:r>
          </w:p>
        </w:tc>
      </w:tr>
    </w:tbl>
    <w:p w:rsidR="00C3791F" w:rsidRDefault="00AE1F83">
      <w:pPr>
        <w:spacing w:after="0" w:line="259" w:lineRule="auto"/>
        <w:ind w:left="137" w:right="197"/>
      </w:pPr>
      <w:r>
        <w:rPr>
          <w:i/>
          <w:shd w:val="clear" w:color="auto" w:fill="FCFCFC"/>
        </w:rPr>
        <w:t>010) и ниволумаба** (</w:t>
      </w:r>
      <w:r>
        <w:rPr>
          <w:i/>
        </w:rPr>
        <w:t>CheckMate 914</w:t>
      </w:r>
    </w:p>
    <w:tbl>
      <w:tblPr>
        <w:tblStyle w:val="TableGrid"/>
        <w:tblpPr w:vertAnchor="text" w:tblpX="141" w:tblpY="-10"/>
        <w:tblOverlap w:val="never"/>
        <w:tblW w:w="9353" w:type="dxa"/>
        <w:tblInd w:w="0" w:type="dxa"/>
        <w:tblCellMar>
          <w:top w:w="10" w:type="dxa"/>
          <w:left w:w="1" w:type="dxa"/>
          <w:bottom w:w="0" w:type="dxa"/>
          <w:right w:w="0" w:type="dxa"/>
        </w:tblCellMar>
        <w:tblLook w:val="04A0" w:firstRow="1" w:lastRow="0" w:firstColumn="1" w:lastColumn="0" w:noHBand="0" w:noVBand="1"/>
      </w:tblPr>
      <w:tblGrid>
        <w:gridCol w:w="1737"/>
        <w:gridCol w:w="121"/>
        <w:gridCol w:w="7495"/>
      </w:tblGrid>
      <w:tr w:rsidR="00C3791F">
        <w:trPr>
          <w:trHeight w:val="275"/>
        </w:trPr>
        <w:tc>
          <w:tcPr>
            <w:tcW w:w="1737" w:type="dxa"/>
            <w:tcBorders>
              <w:top w:val="nil"/>
              <w:left w:val="nil"/>
              <w:bottom w:val="nil"/>
              <w:right w:val="nil"/>
            </w:tcBorders>
            <w:shd w:val="clear" w:color="auto" w:fill="FCFCFC"/>
          </w:tcPr>
          <w:p w:rsidR="00C3791F" w:rsidRDefault="00AE1F83">
            <w:pPr>
              <w:spacing w:after="0" w:line="259" w:lineRule="auto"/>
              <w:ind w:left="0" w:right="-2" w:firstLine="0"/>
            </w:pPr>
            <w:r>
              <w:rPr>
                <w:i/>
              </w:rPr>
              <w:t>KEYNOTE</w:t>
            </w:r>
            <w:r>
              <w:rPr>
                <w:i/>
              </w:rPr>
              <w:t>-564 (</w:t>
            </w:r>
          </w:p>
        </w:tc>
        <w:tc>
          <w:tcPr>
            <w:tcW w:w="121" w:type="dxa"/>
            <w:tcBorders>
              <w:top w:val="nil"/>
              <w:left w:val="nil"/>
              <w:bottom w:val="nil"/>
              <w:right w:val="nil"/>
            </w:tcBorders>
          </w:tcPr>
          <w:p w:rsidR="00C3791F" w:rsidRDefault="00AE1F83">
            <w:pPr>
              <w:spacing w:after="0" w:line="259" w:lineRule="auto"/>
              <w:ind w:left="2" w:right="-2" w:firstLine="0"/>
            </w:pPr>
            <w:r>
              <w:rPr>
                <w:i/>
                <w:shd w:val="clear" w:color="auto" w:fill="FCFCFC"/>
              </w:rPr>
              <w:t>n</w:t>
            </w:r>
          </w:p>
        </w:tc>
        <w:tc>
          <w:tcPr>
            <w:tcW w:w="7495" w:type="dxa"/>
            <w:tcBorders>
              <w:top w:val="nil"/>
              <w:left w:val="nil"/>
              <w:bottom w:val="nil"/>
              <w:right w:val="nil"/>
            </w:tcBorders>
            <w:shd w:val="clear" w:color="auto" w:fill="FCFCFC"/>
          </w:tcPr>
          <w:p w:rsidR="00C3791F" w:rsidRDefault="00AE1F83">
            <w:pPr>
              <w:spacing w:after="0" w:line="259" w:lineRule="auto"/>
              <w:ind w:left="1" w:firstLine="0"/>
            </w:pPr>
            <w:r>
              <w:rPr>
                <w:i/>
              </w:rPr>
              <w:t xml:space="preserve"> 994), сравнивавшее адъювантную терапию пембролизумабом** и</w:t>
            </w:r>
          </w:p>
        </w:tc>
      </w:tr>
    </w:tbl>
    <w:p w:rsidR="00C3791F" w:rsidRDefault="00AE1F83">
      <w:pPr>
        <w:spacing w:after="0" w:line="357" w:lineRule="auto"/>
        <w:ind w:left="137" w:right="197"/>
      </w:pPr>
      <w:r>
        <w:rPr>
          <w:i/>
          <w:shd w:val="clear" w:color="auto" w:fill="FCFCFC"/>
        </w:rPr>
        <w:t>наблюдение у пациентов со светлоклеточном ПКР групп промежуточного и высокого</w:t>
      </w:r>
      <w:r>
        <w:rPr>
          <w:i/>
        </w:rPr>
        <w:t xml:space="preserve"> </w:t>
      </w:r>
      <w:r>
        <w:rPr>
          <w:i/>
          <w:shd w:val="clear" w:color="auto" w:fill="FCFCFC"/>
        </w:rPr>
        <w:t>риска прогрессирования, продемонстрировало значимое преимущество БРВ (</w:t>
      </w:r>
      <w:r>
        <w:rPr>
          <w:i/>
        </w:rPr>
        <w:t xml:space="preserve">ОШ 0,68; </w:t>
      </w:r>
      <w:r>
        <w:rPr>
          <w:i/>
        </w:rPr>
        <w:t xml:space="preserve">95% ДИ 0,53-0,87) и ОВ (ОШ 0,54; 95% ДИ: 0,30-0,96) в группе активного лечения. </w:t>
      </w:r>
    </w:p>
    <w:p w:rsidR="00C3791F" w:rsidRDefault="00AE1F83">
      <w:pPr>
        <w:spacing w:line="359" w:lineRule="auto"/>
        <w:ind w:left="127" w:right="208" w:firstLine="0"/>
      </w:pPr>
      <w:r>
        <w:rPr>
          <w:i/>
        </w:rPr>
        <w:t xml:space="preserve">Частота НЯ 3 степени и выше в группах пембролизумаба** и наблюдения составила 32,4% и 17,7% соответственно [262]. </w:t>
      </w:r>
    </w:p>
    <w:p w:rsidR="00C3791F" w:rsidRDefault="00AE1F83">
      <w:pPr>
        <w:spacing w:line="359" w:lineRule="auto"/>
        <w:ind w:left="127" w:right="208" w:firstLine="710"/>
      </w:pPr>
      <w:r>
        <w:rPr>
          <w:b/>
          <w:i/>
        </w:rPr>
        <w:t>Показания к динамическому наблюдению:</w:t>
      </w:r>
      <w:r>
        <w:rPr>
          <w:i/>
        </w:rPr>
        <w:t xml:space="preserve"> пациенты со светлоклет</w:t>
      </w:r>
      <w:r>
        <w:rPr>
          <w:i/>
        </w:rPr>
        <w:t>очным ПКР групп промежуточного риска рецидива (T2N0M0G4, T3-4N</w:t>
      </w:r>
      <w:r>
        <w:rPr>
          <w:i/>
          <w:sz w:val="22"/>
          <w:vertAlign w:val="subscript"/>
        </w:rPr>
        <w:t>любая</w:t>
      </w:r>
      <w:r>
        <w:rPr>
          <w:i/>
        </w:rPr>
        <w:t>M0G</w:t>
      </w:r>
      <w:r>
        <w:rPr>
          <w:i/>
          <w:sz w:val="22"/>
          <w:vertAlign w:val="subscript"/>
        </w:rPr>
        <w:t>любая</w:t>
      </w:r>
      <w:r>
        <w:rPr>
          <w:i/>
        </w:rPr>
        <w:t xml:space="preserve">) подлежат диспансерному наблюдению. </w:t>
      </w:r>
    </w:p>
    <w:p w:rsidR="00C3791F" w:rsidRDefault="00AE1F83">
      <w:pPr>
        <w:spacing w:after="114" w:line="259" w:lineRule="auto"/>
        <w:ind w:left="851" w:right="208" w:firstLine="0"/>
      </w:pPr>
      <w:r>
        <w:rPr>
          <w:b/>
          <w:i/>
        </w:rPr>
        <w:t>Цель:</w:t>
      </w:r>
      <w:r>
        <w:rPr>
          <w:i/>
        </w:rPr>
        <w:t xml:space="preserve"> избежать раннего прогрессирования.</w:t>
      </w:r>
    </w:p>
    <w:p w:rsidR="00C3791F" w:rsidRDefault="00AE1F83">
      <w:pPr>
        <w:spacing w:line="359" w:lineRule="auto"/>
        <w:ind w:left="127" w:right="208" w:firstLine="710"/>
      </w:pPr>
      <w:r>
        <w:rPr>
          <w:b/>
          <w:i/>
        </w:rPr>
        <w:t>Принципы:</w:t>
      </w:r>
      <w:r>
        <w:rPr>
          <w:i/>
        </w:rPr>
        <w:t xml:space="preserve"> динамическое наблюдение подразумевает регулярное (через 3, 6 и 12 мес. после радикального хи</w:t>
      </w:r>
      <w:r>
        <w:rPr>
          <w:i/>
        </w:rPr>
        <w:t>рургического лечения.) контрольное обследование с помощью одного и того же метода визуализации. Отсутствие изменений позволяет продолжать динамическое наблюдение.</w:t>
      </w:r>
    </w:p>
    <w:p w:rsidR="00C3791F" w:rsidRDefault="00AE1F83">
      <w:pPr>
        <w:spacing w:after="40" w:line="357" w:lineRule="auto"/>
        <w:ind w:left="127" w:firstLine="709"/>
      </w:pPr>
      <w:r>
        <w:rPr>
          <w:b/>
        </w:rPr>
        <w:t>3.4.2.3. Системная терапия местно-распространенного неоперабельного и генерализованного почеч</w:t>
      </w:r>
      <w:r>
        <w:rPr>
          <w:b/>
        </w:rPr>
        <w:t>но-клеточного рака</w:t>
      </w:r>
    </w:p>
    <w:p w:rsidR="00C3791F" w:rsidRDefault="00AE1F83">
      <w:pPr>
        <w:spacing w:after="240" w:line="357" w:lineRule="auto"/>
        <w:ind w:left="127" w:firstLine="709"/>
      </w:pPr>
      <w:r>
        <w:rPr>
          <w:b/>
        </w:rPr>
        <w:t>3.4.2.3.1. Результаты исследований системной противоопухолевой терапии, обосновывающие выбор лечебного режима у пациентов с почечно-клеточным раком</w:t>
      </w:r>
    </w:p>
    <w:p w:rsidR="00C3791F" w:rsidRDefault="00AE1F83">
      <w:pPr>
        <w:spacing w:after="108" w:line="265" w:lineRule="auto"/>
        <w:ind w:left="861"/>
      </w:pPr>
      <w:r>
        <w:rPr>
          <w:b/>
        </w:rPr>
        <w:t>Исследования терапии 1-й линии</w:t>
      </w:r>
    </w:p>
    <w:p w:rsidR="00C3791F" w:rsidRDefault="00AE1F83">
      <w:pPr>
        <w:ind w:left="127" w:right="189" w:firstLine="709"/>
      </w:pPr>
      <w:r>
        <w:t xml:space="preserve">В 2 рандомизированных исследованиях III фазы, сравнивавших комбинацию бевацизумаба** и ИФН-α** с монотерапией ИФН-α** в 1-й линии терапии распространенного сПКР у пациентов групп благоприятного и промежуточного прогноза MSKCC, перенесших нефрэктомию, было </w:t>
      </w:r>
      <w:r>
        <w:t xml:space="preserve">продемонстрировано преимущество БПВ в группе комбинированного лечения (8,4 мес против 4,9 мес и 10,4 мес против 5,5 мес соответственно) [178, 179]. Однако ни в одном протоколе достоверного различия в показателях ОВ между группами отмечено не было. Терапия </w:t>
      </w:r>
      <w:r>
        <w:t xml:space="preserve">бевацизумабом** была ассоциирована с развитием НЯ, свойственных антиангиогенным препаратам, таких как слабость (76 %) и АГ (13 %). Специфичным для бевацизумаба** НЯ оказалась протеинурия (22 %) [179]. </w:t>
      </w:r>
    </w:p>
    <w:p w:rsidR="00C3791F" w:rsidRDefault="00AE1F83">
      <w:pPr>
        <w:ind w:left="127" w:right="189" w:firstLine="709"/>
      </w:pPr>
      <w:r>
        <w:t>В исследовании III фазы, сравнивавшем сунитиниб** и ИФ</w:t>
      </w:r>
      <w:r>
        <w:t>Н-α** в 1-й линии терапии диссеминированного сПКР у пациентов групп благоприятного и промежуточного прогноза MSKCC после удаления первичной опухоли, было продемонстрировано достоверное преимущество сунитиниба** в отношении времени до прогрессирования (11 и</w:t>
      </w:r>
      <w:r>
        <w:t xml:space="preserve"> 5 мес соответственно; </w:t>
      </w:r>
      <w:r>
        <w:rPr>
          <w:i/>
        </w:rPr>
        <w:t>p</w:t>
      </w:r>
      <w:r>
        <w:t xml:space="preserve"> &lt;0,000 001). Показатели ОВ в группах не достигли статистически значимых различий (26,4 и 21,8 мес соответственно; </w:t>
      </w:r>
      <w:r>
        <w:rPr>
          <w:i/>
        </w:rPr>
        <w:t>p</w:t>
      </w:r>
      <w:r>
        <w:t xml:space="preserve"> = 0,05). Помимо АГ (24 %), диареи (53 %) и ладонно-подошвенного синдрома (20 %) терапия сунитинибом** оказалась асс</w:t>
      </w:r>
      <w:r>
        <w:t xml:space="preserve">оциирована с несколько бóльшим риском развития гематологической токсичности, чем при использовании другой антиангиогенной терапии (нейтропения – 37 %) [180]. </w:t>
      </w:r>
    </w:p>
    <w:p w:rsidR="00C3791F" w:rsidRDefault="00AE1F83">
      <w:pPr>
        <w:ind w:left="127" w:right="189" w:firstLine="709"/>
      </w:pPr>
      <w:r>
        <w:t xml:space="preserve">Пазопаниб** сравнивали с плацебо в рандомизированном исследовании III фазы, включившем пациентов </w:t>
      </w:r>
      <w:r>
        <w:t>с распространенным сПКР групп промежуточного и хорошего прогноза MSKCC, перенесших нефрэктомию с терапией ИФН-α** или без нее. В группе пазопаниба** было достигнуто достоверное преимущество БПВ по сравнению с группой плацебо как у пациентов, ранее не получ</w:t>
      </w:r>
      <w:r>
        <w:t>авших терапии (11,1 и 2,8 мес соответственно), так и у пациентов с опухолями, резистентными к цитокинам (9,2 и 4,2 мес соответственно) [181]. Назначение пазопаниба** не увеличивало ОВ. Терапия пазопанибом** была ассоциирована с развитием характерных для TK</w:t>
      </w:r>
      <w:r>
        <w:t xml:space="preserve">I НЯ, таких как диарея (63 %), слабость (55 %) и АГ (46 %). Специфичным НЯ, ассоциированным с терапией пазопанибом**, являлась печеночная токсичность (элевация активности аланинаминотрансферазы – 31 %) [182]. </w:t>
      </w:r>
    </w:p>
    <w:p w:rsidR="00C3791F" w:rsidRDefault="00AE1F83">
      <w:pPr>
        <w:ind w:left="127" w:right="189" w:firstLine="709"/>
      </w:pPr>
      <w:r>
        <w:t>Открытое рандомизированное клиническое исследо</w:t>
      </w:r>
      <w:r>
        <w:t>вание II фазы CABOSUN (</w:t>
      </w:r>
      <w:r>
        <w:rPr>
          <w:i/>
        </w:rPr>
        <w:t xml:space="preserve">n </w:t>
      </w:r>
      <w:r>
        <w:t>= 157) было направлено на изучение сравнительной эффективности и безопасности кабозантиниба** и сунитиниба** в 1-й линии терапии диссеминированного сПКР у пациентов групп плохого и промежуточного прогноза IMDC. Кабозантиниб** досто</w:t>
      </w:r>
      <w:r>
        <w:t>верно увеличивал БПВ по сравнению с сунитинибом** (8,6 мес против 5,3 мес соответственно). ЧОО достигла 20 % в группе кабозантиниба** и 9 % в группе сунитиниба**. Все подтвержденные объективные ответы были частичными. При медиане наблюдения 30,8 мес медиан</w:t>
      </w:r>
      <w:r>
        <w:t>а ОВ достоверно не различалась между группами, хотя оказалась несколько выше в группе кабозантиниба** по сравнению с сунитинибом** (26,6 мес против 21,2 мес соответственно). Частота НЯ III−IV степеней тяжести была сопоставима между группами кабозантиниба**</w:t>
      </w:r>
      <w:r>
        <w:t xml:space="preserve"> и сунитиниба** (68 и 65 % соответственно). Редукция дозы кабозантиниба** (58 %) требовалась чаще, чем дозы сунитиниба** (49 %), однако отмена лечения вследствие тяжелой токсичности была показана равной доле пациентов в обеих группах (21 и 22 % соответстве</w:t>
      </w:r>
      <w:r>
        <w:t xml:space="preserve">нно) [184]. </w:t>
      </w:r>
    </w:p>
    <w:p w:rsidR="00C3791F" w:rsidRDefault="00AE1F83">
      <w:pPr>
        <w:ind w:left="127" w:right="189" w:firstLine="709"/>
      </w:pPr>
      <w:r>
        <w:t>Ниволумаб** в комбинации с ипилимумабом** сравнивали с сунитинибом** в 1-й линии терапии распространенного сПКР в рандомизированном исследовании III фазы CheckMate 214, первичными целями которого являлись ОВ, БПВ и ЧОО у пациентов групп промеж</w:t>
      </w:r>
      <w:r>
        <w:t xml:space="preserve">уточного и плохого прогноза IMDC. У данной категории больных при медиане наблюдения 48 мес комбинированная иммунотерапия продемонстрировала достоверное преимущество ОВ (медиана 48,1 и 26,6 мес соответственно), БПВ (медиана 11,2 и 8,3 мес соответственно) и </w:t>
      </w:r>
      <w:r>
        <w:t>ЧОО (42 и 27 %, включая полный ответ у 10,4 и 1,4 % больных соответственно) по сравнению с группой контроля. У подгруппы больных с саркоматоидной дифференцировкой опухоли комбинация обеспечивала значимое преимущество ОВ (</w:t>
      </w:r>
      <w:r>
        <w:rPr>
          <w:i/>
        </w:rPr>
        <w:t>р</w:t>
      </w:r>
      <w:r>
        <w:t xml:space="preserve"> = 0,0004) и БПВ (</w:t>
      </w:r>
      <w:r>
        <w:rPr>
          <w:i/>
        </w:rPr>
        <w:t>р</w:t>
      </w:r>
      <w:r>
        <w:t xml:space="preserve"> = 0,0093) по сравнению с сунитинибом** [185]. НЯ, ассоциированные с комбинированной иммунотерапией или монотерапией сунитинибом**, были зарегистрированы у 94 и 97,4 %, достигли III−IV степеней тяжести у 48 и 64 %, являлись поводом для отмены лечения у 22 </w:t>
      </w:r>
      <w:r>
        <w:t>и 12 % и были сочетаны с причиной смерти 8 и 4 пациентов соответственно [186].</w:t>
      </w:r>
    </w:p>
    <w:p w:rsidR="00C3791F" w:rsidRDefault="00AE1F83">
      <w:pPr>
        <w:ind w:left="127" w:right="189" w:firstLine="709"/>
      </w:pPr>
      <w:r>
        <w:t xml:space="preserve">Пембролизумаб** в комбинации с акситинибом** сравнивали с сунитинибом** в 1й линии терапии распространенного сПКР в рамках рандомизированного исследования III фазы KEYNOTE-426. </w:t>
      </w:r>
      <w:r>
        <w:t xml:space="preserve">Комбинированная терапия обеспечивала убедительное преимущество ОВ (медиана 45,7 и 40,1 мес соответственно; </w:t>
      </w:r>
      <w:r>
        <w:rPr>
          <w:i/>
        </w:rPr>
        <w:t>р</w:t>
      </w:r>
      <w:r>
        <w:t xml:space="preserve"> &lt;0,001), БПВ (медиана 15,7 и 11,1 мес соответственно; </w:t>
      </w:r>
      <w:r>
        <w:rPr>
          <w:i/>
        </w:rPr>
        <w:t>р</w:t>
      </w:r>
      <w:r>
        <w:t xml:space="preserve"> &lt;0,0001) по сравнению с сунитинибом**. Различия выживаемости достигли статистической значим</w:t>
      </w:r>
      <w:r>
        <w:t xml:space="preserve">ости в группах промежуточного и плохого прогноза. ЧОО в группе пембролизумаба** с акситинибом** оказалась значимо выше, чем в группе контроля (60,4 и 39,6 %, включая полный ответ у 10,0 и 3,5 % больных соответственно). У подгруппы больных с саркоматоидной </w:t>
      </w:r>
      <w:r>
        <w:t>дифференцировкой опухоли комбинация по сравнению с сунитинибом** обеспечивала значимое преимущество ЧОО (58,8 и 31,5 %), БПВ (медиана не достигнута и 8,4 мес), но не ОВ. НЯ регистрировали в группах комбинации и сунитиниба** с одинаковой частотой (96,3 и 97</w:t>
      </w:r>
      <w:r>
        <w:t xml:space="preserve">,6 % соответственно), включая НЯ III−V степеней тяжести (62,9 и 58,1 % соответственно). Наиболее частыми тяжелыми НЯ, ассоциированными с терапией пембролизумабом** и акситинибом**, являлись АГ, элевация активности трансаминаз и диарея [187]. </w:t>
      </w:r>
    </w:p>
    <w:p w:rsidR="00C3791F" w:rsidRDefault="00AE1F83">
      <w:pPr>
        <w:spacing w:after="0" w:line="357" w:lineRule="auto"/>
        <w:ind w:left="127" w:right="180" w:firstLine="699"/>
      </w:pPr>
      <w:r>
        <w:t xml:space="preserve">Авелумаб** в </w:t>
      </w:r>
      <w:r>
        <w:t xml:space="preserve">комбинации с акситинибом** сравнивали с сунитинибом** в 1-й линии терапии распространенного сПКР в рамках рандомизированного исследования III фазы </w:t>
      </w:r>
      <w:r>
        <w:rPr>
          <w:shd w:val="clear" w:color="auto" w:fill="F7F7F7"/>
        </w:rPr>
        <w:t>JAVELIN Renal 101. Первичными целями являлись БПВ и ОВ у больных с PD-L1позитивными опухолями (PD-L1+), втори</w:t>
      </w:r>
      <w:r>
        <w:rPr>
          <w:shd w:val="clear" w:color="auto" w:fill="F7F7F7"/>
        </w:rPr>
        <w:t>чными – БПВ и ОВ у всех пациентов.</w:t>
      </w:r>
      <w:r>
        <w:t xml:space="preserve"> </w:t>
      </w:r>
      <w:r>
        <w:rPr>
          <w:shd w:val="clear" w:color="auto" w:fill="F7F7F7"/>
        </w:rPr>
        <w:t>Комбинированная терапия обеспечивала значимое преимущество БПВ как у больных с</w:t>
      </w:r>
      <w:r>
        <w:t xml:space="preserve"> </w:t>
      </w:r>
      <w:r>
        <w:rPr>
          <w:shd w:val="clear" w:color="auto" w:fill="F7F7F7"/>
        </w:rPr>
        <w:t>опухолями PD-L1+ (ОР 0,57; 95 % ДИ 0,47–0,70), так и во всей популяции исследования</w:t>
      </w:r>
      <w:r>
        <w:t xml:space="preserve"> </w:t>
      </w:r>
    </w:p>
    <w:p w:rsidR="00C3791F" w:rsidRDefault="00AE1F83">
      <w:pPr>
        <w:shd w:val="clear" w:color="auto" w:fill="F7F7F7"/>
        <w:spacing w:after="114" w:line="259" w:lineRule="auto"/>
        <w:ind w:left="137"/>
        <w:jc w:val="left"/>
      </w:pPr>
      <w:r>
        <w:t xml:space="preserve">(медиана БПВ 13,9 и 8,5 мес соответственно; ОР 0,66; </w:t>
      </w:r>
      <w:r>
        <w:rPr>
          <w:i/>
        </w:rPr>
        <w:t xml:space="preserve">p </w:t>
      </w:r>
      <w:r>
        <w:t>&lt;0</w:t>
      </w:r>
      <w:r>
        <w:t xml:space="preserve">,0001). ОВ была сопоставима в </w:t>
      </w:r>
    </w:p>
    <w:p w:rsidR="00C3791F" w:rsidRDefault="00AE1F83">
      <w:pPr>
        <w:spacing w:after="0" w:line="357" w:lineRule="auto"/>
        <w:ind w:left="127" w:right="180" w:firstLine="0"/>
      </w:pPr>
      <w:r>
        <w:rPr>
          <w:shd w:val="clear" w:color="auto" w:fill="F7F7F7"/>
        </w:rPr>
        <w:t>группах исследования, как во всей популяции (ОР 0,88; 95% ДИ 0,75-1,04), так и у</w:t>
      </w:r>
      <w:r>
        <w:t xml:space="preserve"> </w:t>
      </w:r>
      <w:r>
        <w:rPr>
          <w:shd w:val="clear" w:color="auto" w:fill="F7F7F7"/>
        </w:rPr>
        <w:t xml:space="preserve">пациентов с ПКР PD-L1+ (ОР 0,86; 95% ДИ 0,70-1,06). ЧОО в группе комбинации достигла 59,7%, что превышает 32,0% в группе сунитиниба**. </w:t>
      </w:r>
      <w:r>
        <w:t>У больных</w:t>
      </w:r>
      <w:r>
        <w:t xml:space="preserve"> с саркоматоидным компонентом в опухоли авелумаб** с акситинибом** по сравнению с сунитинибом** значимо увеличивали ЧОО [188].</w:t>
      </w:r>
      <w:r>
        <w:rPr>
          <w:shd w:val="clear" w:color="auto" w:fill="F7F7F7"/>
        </w:rPr>
        <w:t xml:space="preserve"> Наиболее частыми НЯ у больных, получавших</w:t>
      </w:r>
      <w:r>
        <w:t xml:space="preserve"> </w:t>
      </w:r>
      <w:r>
        <w:rPr>
          <w:shd w:val="clear" w:color="auto" w:fill="F7F7F7"/>
        </w:rPr>
        <w:t>авелумаб** с акситинибом**, являлись диарея (62 %), слабость (53 %), гипертензия (50%),</w:t>
      </w:r>
      <w:r>
        <w:t xml:space="preserve"> </w:t>
      </w:r>
      <w:r>
        <w:rPr>
          <w:shd w:val="clear" w:color="auto" w:fill="F7F7F7"/>
        </w:rPr>
        <w:t>костно-мышечная боль (40 %), тошнота (34 %), мукозиты (34 %), ладонно-подошвенный</w:t>
      </w:r>
      <w:r>
        <w:t xml:space="preserve"> </w:t>
      </w:r>
      <w:r>
        <w:rPr>
          <w:shd w:val="clear" w:color="auto" w:fill="F7F7F7"/>
        </w:rPr>
        <w:t>синдром (33 %) и дисфония (31 %). Чаще всего III–IV степеней тяжести достигали АГ (26 %) гепатотоксичность (9 %) и диарея (8 %) [189].</w:t>
      </w:r>
    </w:p>
    <w:p w:rsidR="00C3791F" w:rsidRDefault="00AE1F83">
      <w:pPr>
        <w:ind w:left="127" w:right="189" w:firstLine="709"/>
      </w:pPr>
      <w:r>
        <w:t>Пембролизумаб** в комбинации с ленвати</w:t>
      </w:r>
      <w:r>
        <w:t>нибом** и ленватиниб** в комбинации с эверолимусом** сравнивали с сунитинибом** в 1-й линии терапии распространенного сПКР в рандомизированном исследовании III фазы KEYNOTE-581/CLEAR. Первичной целью исследования являлась БПВ, вторичными – ОВ и ЧОО. БПВ бы</w:t>
      </w:r>
      <w:r>
        <w:t xml:space="preserve">ла значимо выше в группе больных, получавших пембролизумаб** c ленватинибом**, по сравнению с пациентами, получавшими сунитиниб** (медиана 23,9 и 9,2 мес соответственно; </w:t>
      </w:r>
      <w:r>
        <w:rPr>
          <w:i/>
        </w:rPr>
        <w:t>р</w:t>
      </w:r>
      <w:r>
        <w:t xml:space="preserve"> &lt;0.001), а также в группе больных, получавших ленватиниб** в комбинации с эверолимус</w:t>
      </w:r>
      <w:r>
        <w:t xml:space="preserve">ом**, по сравнению с пациентами, получавшими сунитиниб** (медиана 14,7 и 9,2 мес соответственно; </w:t>
      </w:r>
      <w:r>
        <w:rPr>
          <w:i/>
        </w:rPr>
        <w:t>р</w:t>
      </w:r>
      <w:r>
        <w:t xml:space="preserve"> &lt;0.001). ОВ оказалась выше при использовании пембролизумаба** c ленватинибом** по сравнению с назначением сунитиниба** (</w:t>
      </w:r>
      <w:r>
        <w:rPr>
          <w:i/>
        </w:rPr>
        <w:t>р</w:t>
      </w:r>
      <w:r>
        <w:t xml:space="preserve"> = 0,005); различия результатов межд</w:t>
      </w:r>
      <w:r>
        <w:t>у группами ленватиниба** с эверолимусом** и сунитиниба** не достигли статистической значимости (</w:t>
      </w:r>
      <w:r>
        <w:rPr>
          <w:i/>
        </w:rPr>
        <w:t>р</w:t>
      </w:r>
      <w:r>
        <w:t xml:space="preserve"> = 0,30). ЧОО была значимо выше у больных, получавших комбинации пембролизумаба** c ленватинибом** (71 %) и ленватиниба** с эверолимусом** (53,5 %), по сравнен</w:t>
      </w:r>
      <w:r>
        <w:t>ию с пациентами, получавшими сунитиниб** (36,1 %) (</w:t>
      </w:r>
      <w:r>
        <w:rPr>
          <w:i/>
        </w:rPr>
        <w:t>р</w:t>
      </w:r>
      <w:r>
        <w:t xml:space="preserve"> &lt;0,0001 для всех). Наиболее частыми НЯ у больных, получавших пембролизумаб** c ленватинибом**, являлись диарея (61,4 %), гипертензия (55,4 %), гипотиреоз (47,2 %), снижение аппетита (40,3 %), слабость (4</w:t>
      </w:r>
      <w:r>
        <w:t>0,1 %) и тошнота (35,8 %). НЯ достигли III степени тяжести и выше у 82,4 % пациентов данной группы [190].</w:t>
      </w:r>
    </w:p>
    <w:p w:rsidR="00C3791F" w:rsidRDefault="00AE1F83">
      <w:pPr>
        <w:spacing w:after="233"/>
        <w:ind w:left="127" w:right="189" w:firstLine="709"/>
      </w:pPr>
      <w:r>
        <w:t>Ниволумаб** в комбинации с кабозантинибом** сравнивали с сунитинибом** в 1-й линии терапии сПКР в рамках рандомизированного исследования III фазы Chec</w:t>
      </w:r>
      <w:r>
        <w:t>kMate 9ER, первичной конечной точкой которого являлась БПВ, вторичными – ОВ и ЧОО. При медиане наблюдения 18,1 мес медиана БПВ составила 16,6 мес в группе комбинации и 8,3 мес в группе сунитиниба** (</w:t>
      </w:r>
      <w:r>
        <w:rPr>
          <w:i/>
        </w:rPr>
        <w:t>р</w:t>
      </w:r>
      <w:r>
        <w:t xml:space="preserve"> &lt;0,001); 12-месячная ОВ достигла 85,7 и 75,6 % соответс</w:t>
      </w:r>
      <w:r>
        <w:t>твенно (</w:t>
      </w:r>
      <w:r>
        <w:rPr>
          <w:i/>
        </w:rPr>
        <w:t>р</w:t>
      </w:r>
      <w:r>
        <w:t xml:space="preserve"> = 0,001). Объективный ответ был зарегистрирован у 55,7 % больных, получавших ниволумаб** с кабозантинибом**, и у 27,1 % пациентов, которым назначалcя сунитиниб** (</w:t>
      </w:r>
      <w:r>
        <w:rPr>
          <w:i/>
        </w:rPr>
        <w:t>р</w:t>
      </w:r>
      <w:r>
        <w:t xml:space="preserve"> &lt;0,001). У больных с саркоматоидным компонентом в опухоли ниволумаб** с кабозанти</w:t>
      </w:r>
      <w:r>
        <w:t>нибом** по сравнению с сунитинибом** значимо увеличивали ОВ, БПВ и ЧОО. НЯ III степени тяжести и выше отмечены у 75,3 % больных в группе комбинации. Наиболее распространенными видами токсичности, ассоциированными с терапией ниволумабом** с кабозантинибом**</w:t>
      </w:r>
      <w:r>
        <w:t>, являлись диарея (57 %), ладонноподошвенный синдром (38 %), гипотиреоз (33 %), АГ (30 %) и слабость (27 %); самыми частыми тяжелыми НЯ – АГ (11 %), ладонно-подошвенный синдром (8 %) и диарея (6 %) [191].</w:t>
      </w:r>
    </w:p>
    <w:p w:rsidR="00C3791F" w:rsidRDefault="00AE1F83">
      <w:pPr>
        <w:spacing w:after="108" w:line="265" w:lineRule="auto"/>
        <w:ind w:left="861"/>
      </w:pPr>
      <w:r>
        <w:rPr>
          <w:b/>
        </w:rPr>
        <w:t>Исследования 2-й линии терапии</w:t>
      </w:r>
    </w:p>
    <w:p w:rsidR="00C3791F" w:rsidRDefault="00AE1F83">
      <w:pPr>
        <w:ind w:left="127" w:right="189" w:firstLine="709"/>
      </w:pPr>
      <w:r>
        <w:t>Пазопаниб** и сорафе</w:t>
      </w:r>
      <w:r>
        <w:t>ниб** продемонстрировали преимущество БПВ по сравнению с плацебо в рандомизированных исследованиях III фазы, сунитиниб** – в исследовании II фазы [181, 192, 193].</w:t>
      </w:r>
    </w:p>
    <w:p w:rsidR="00C3791F" w:rsidRDefault="00AE1F83">
      <w:pPr>
        <w:ind w:left="127" w:right="189" w:firstLine="709"/>
      </w:pPr>
      <w:r>
        <w:t>В исследовании III фазы сравнивали эффективность применения сорафениба** и плацебо после прог</w:t>
      </w:r>
      <w:r>
        <w:t>рессирования, отмеченного на фоне проведения предшествующей системной иммунотерапии. БПВ в группе сорафениба** оказалась достоверно выше, чем в группе плацебо (5,5 и 2,8 мес соответственно), что транслировалось в статистически незначимое увеличение ОВ (17,</w:t>
      </w:r>
      <w:r>
        <w:t xml:space="preserve">8 и 14,3 мес соответственно). Сорафениб** чаще, чем другие антиангиогенные препараты, вызывал развитие кожной токсичности (ладонноподошвенный синдром – 33 %, сыпь – 28 %, алопеция – 27 %) [192]. </w:t>
      </w:r>
    </w:p>
    <w:p w:rsidR="00C3791F" w:rsidRDefault="00AE1F83">
      <w:pPr>
        <w:ind w:left="127" w:right="189" w:firstLine="709"/>
      </w:pPr>
      <w:r>
        <w:t>Эверолимус** сравнивали с плацебо во 2-й и последующих линиях терапии сПКР, резистентного к предшествующему антиангиогенному лечению, в рандомизированном исследовании III фазы RECORD-1. Эверолимус** продемонстрировал преимущество БПВ по сравнению с плацебо</w:t>
      </w:r>
      <w:r>
        <w:t xml:space="preserve"> (4,9 и 1,9 мес соответственно) во всех подгруппах пациентов независимо от количества линий и вида предшествующей терапии, но не влиял на ОВ. Специфическими НЯ на фоне терапии эверолимусом** являлись стоматит (42 %), инфекция (13 %), пульмонит (14 %) и так</w:t>
      </w:r>
      <w:r>
        <w:t>ие лабораторные отклонения, как гипергликемия (8 %) и гиперлипидемия (18 %) [194].</w:t>
      </w:r>
    </w:p>
    <w:p w:rsidR="00C3791F" w:rsidRDefault="00AE1F83">
      <w:pPr>
        <w:ind w:left="127" w:right="189" w:firstLine="709"/>
      </w:pPr>
      <w:r>
        <w:t>В рандомизированном исследовании III фазы AXIS акситиниб** обеспечивал значимо бóльшую БПВ, чем сорафениб**, у пациентов, ранее получавших ИФН-α** (12,1 и 6,5 мес соответств</w:t>
      </w:r>
      <w:r>
        <w:t>енно) и сунитиниб** (6,7 и 4,7 мес соответственно), не давая достоверного выигрыша у немногочисленных пациентов, которым ранее назначались бевацизумаб** с ИФН-α** и темсиролимус. Акситиниб** чаще всего вызывал развитие таких НЯ, как АГ (40 %), диарея (55 %</w:t>
      </w:r>
      <w:r>
        <w:t>), слабость (39 %); отмечена возможность кумулятивной токсичности последовательной терапии TKI [195].</w:t>
      </w:r>
    </w:p>
    <w:p w:rsidR="00C3791F" w:rsidRDefault="00AE1F83">
      <w:pPr>
        <w:ind w:left="127" w:right="189" w:firstLine="709"/>
      </w:pPr>
      <w:r>
        <w:t>В исследовании III фазы METEOR, включившем больных распространенным ПКР, прогрессирующим на фоне или после 1 и более линий VEGF-таргетной терапии, кабозан</w:t>
      </w:r>
      <w:r>
        <w:t>тиниб** сравнивали с эверолимусом**. ЧОО в группах кабозантиниба** и эверолимуса** составила 17 и</w:t>
      </w:r>
      <w:r>
        <w:rPr>
          <w:i/>
        </w:rPr>
        <w:t xml:space="preserve"> </w:t>
      </w:r>
      <w:r>
        <w:t xml:space="preserve">3 % соответственно. Кабозантиниб** продемонстрировал убедительное увеличение БПВ (7,4 и 3,8 мес соответственно; </w:t>
      </w:r>
      <w:r>
        <w:rPr>
          <w:i/>
        </w:rPr>
        <w:t>р</w:t>
      </w:r>
      <w:r>
        <w:t xml:space="preserve"> &lt;0,0001), которое транслировалось в преимуще</w:t>
      </w:r>
      <w:r>
        <w:t xml:space="preserve">ство ОВ (21,4 и 16,5 мес соответственно; </w:t>
      </w:r>
      <w:r>
        <w:rPr>
          <w:i/>
        </w:rPr>
        <w:t>р</w:t>
      </w:r>
      <w:r>
        <w:t xml:space="preserve"> &lt;0,001). Частота НЯ в группах кабозантиниба** и эверолимуса** не различалась (100 и 99 % соответственно). Наиболее частыми тяжелыми НЯ на фоне терапии кабозантинибом** были АГ (15 %), диарея (13 %) и слабость (11 </w:t>
      </w:r>
      <w:r>
        <w:t>%); редукция дозы кабозантиниба** потребовалась в 60 %, прекращение лечения из-за НЯ – в 9,1 % случаев [196].</w:t>
      </w:r>
    </w:p>
    <w:p w:rsidR="00C3791F" w:rsidRDefault="00AE1F83">
      <w:pPr>
        <w:ind w:left="127" w:right="189" w:firstLine="709"/>
      </w:pPr>
      <w:r>
        <w:t>Рандомизированное исследование II фазы 205 включило 153 пациентов со сПКР, прогрессирующим после 1 линии антиангиогенной терапии, рандомизированны</w:t>
      </w:r>
      <w:r>
        <w:t>х в 3 лечебных группы, в которых назначали ленватиниб**, эверолимус** или ленватиниб** в комбинации с эверолимусом**. Комбинированная таргетная терапия обеспечивала достоверное преимущество БПВ (14,6 мес) по сравнению с монотерапией ленватинибом** (7,4 мес</w:t>
      </w:r>
      <w:r>
        <w:t>) и эверолимусом** (5,5 мес). Различия БПВ привели к увеличению ОВ в группе комбинированного лечения по сравнению с монотерапией ленватинибом** и эверолимусом** (25,5, 19,1 и 15,4 мес соответственно). Частота НЯ на фоне комбинированной таргетной терапии со</w:t>
      </w:r>
      <w:r>
        <w:t>ставила 74,5 % при частоте осложнений III−IV степеней тяжести, достигшей 35,3 %. Профиль токсичности ленватиниба** с эверолимусом** в исследовании 205 был комбинированным и включал НЯ, свойственные как TKI, так и блокаторам mTOR [197].</w:t>
      </w:r>
    </w:p>
    <w:p w:rsidR="00C3791F" w:rsidRDefault="00AE1F83">
      <w:pPr>
        <w:ind w:left="127" w:right="189" w:firstLine="709"/>
      </w:pPr>
      <w:r>
        <w:t>Ниволумаб** сравнива</w:t>
      </w:r>
      <w:r>
        <w:t xml:space="preserve">ли с эверолимусом** во 2-й линии терапии распространенного сПКР, резистентного к антиангиогенной терапии, в рамках рандомизированного исследования III фазы CheckMate 025. Ниволумаб** достоверно увеличивал ОВ (15,8 и 19,7 мес соответственно; </w:t>
      </w:r>
      <w:r>
        <w:rPr>
          <w:i/>
        </w:rPr>
        <w:t>р</w:t>
      </w:r>
      <w:r>
        <w:t xml:space="preserve"> = 0,0005) и Ч</w:t>
      </w:r>
      <w:r>
        <w:t xml:space="preserve">ОО (21,5 и 3,9 % соответственно; </w:t>
      </w:r>
      <w:r>
        <w:rPr>
          <w:i/>
        </w:rPr>
        <w:t>р</w:t>
      </w:r>
      <w:r>
        <w:t xml:space="preserve"> &lt;0,0001) по сравнению с эверолимусом**, не оказывая влияния на БПВ (4,6 и 4,4 мес соответственно; </w:t>
      </w:r>
      <w:r>
        <w:rPr>
          <w:i/>
        </w:rPr>
        <w:t>р</w:t>
      </w:r>
      <w:r>
        <w:t xml:space="preserve"> = 0,11). Преимущество ОВ в группе иммунотерапии не зависело от статуса PD-L1. Наиболее частыми НЯ, ассоциированными с тер</w:t>
      </w:r>
      <w:r>
        <w:t>апией ниволумабом**, являлись слабость (33 %), тошнота (14 %), зуд (14 %), диарея (12 %) и снижение аппетита (12 %) [198].</w:t>
      </w:r>
    </w:p>
    <w:p w:rsidR="00C3791F" w:rsidRDefault="00AE1F83">
      <w:pPr>
        <w:ind w:left="127" w:right="189" w:firstLine="709"/>
      </w:pPr>
      <w:r>
        <w:t>Наиболее распространенным вариантом нПКР является папиллярный рак. Лекарственная терапия нПКР не изучалась в рандомизированных исслед</w:t>
      </w:r>
      <w:r>
        <w:t xml:space="preserve">ованиях III фазы. В программах расширенного доступа было показано, что прогноз пациентов с нПКР хуже, чем у пациентов со светлоклеточными опухолями. </w:t>
      </w:r>
    </w:p>
    <w:p w:rsidR="00C3791F" w:rsidRDefault="00AE1F83">
      <w:pPr>
        <w:ind w:left="127" w:right="189" w:firstLine="567"/>
      </w:pPr>
      <w:r>
        <w:t>В однорукавном исследовании II фазы KEYNOTE-B61 у пациентов с несветлоклеточным ПКР (n 158), получавших пе</w:t>
      </w:r>
      <w:r>
        <w:t xml:space="preserve">мбролизумаб** c ленватинибом**, ЧОО достигла 50,6% при частоте ПО 8,2%, медиана ВБП составила 17,9 месяца, медиана ОВ не достигнута при 18-месячной ОВ 72,5%. Эффективность режима не зависела от гистологического варианта несветлоклеточного ПКР [257]. </w:t>
      </w:r>
    </w:p>
    <w:p w:rsidR="00C3791F" w:rsidRDefault="00AE1F83">
      <w:pPr>
        <w:ind w:left="127" w:right="189" w:firstLine="709"/>
      </w:pPr>
      <w:r>
        <w:t>В ран</w:t>
      </w:r>
      <w:r>
        <w:t xml:space="preserve">домизированном исследовании II фазы SWOG 1500, сравнивавшем три METингибитора, включая кабозантиниб**, с сунитинибом** при папиллярном ПКР, только кабозантиниб** продемонстрировал значимое преимущество в показателях БПВ по сравнению с сунитинибом** (9,2 и </w:t>
      </w:r>
      <w:r>
        <w:t xml:space="preserve">5,6 мес соответственно; </w:t>
      </w:r>
      <w:r>
        <w:rPr>
          <w:i/>
        </w:rPr>
        <w:t xml:space="preserve">р </w:t>
      </w:r>
      <w:r>
        <w:t>= 0,02) [199].</w:t>
      </w:r>
    </w:p>
    <w:p w:rsidR="00C3791F" w:rsidRDefault="00AE1F83">
      <w:pPr>
        <w:ind w:left="127" w:right="189" w:firstLine="567"/>
      </w:pPr>
      <w:r>
        <w:t xml:space="preserve">В однорукавном исследовании II фазы у пациентов с несветлоклеточным ПКР (n 47; </w:t>
      </w:r>
      <w:r>
        <w:t>когорта 1 – папиллярный, неклассифицируемый и транслокационный ПКР, когорта 2 – хромофобный ПКР), получавших ниволумаб** c кабозанитинибом**, ЧОО в когорте 1 достигла 47,5%, медиана ВБП составила 12,5 месяца, медиана ОВ – 28 месяцев. ЧОО в когорте 2 равнял</w:t>
      </w:r>
      <w:r>
        <w:t xml:space="preserve">ась 0% [258]. </w:t>
      </w:r>
    </w:p>
    <w:p w:rsidR="00C3791F" w:rsidRDefault="00AE1F83">
      <w:pPr>
        <w:ind w:left="127" w:right="189" w:firstLine="709"/>
      </w:pPr>
      <w:r>
        <w:t>Пембролизумаб** показал умеренную эффективность при нПКР в когорте В исследования II фазы KEYNOTE-427, включившем 165 больных (папиллярным ПКР – 71,5 %, хромофобным ПКР – 12,7 % и неклассифицируемым ПКР – 15,8 %). ЧОО у всех пациентов состав</w:t>
      </w:r>
      <w:r>
        <w:t>ила 26,7 %, медиана длительности ответа – 29,0 мес. ЧОО у пациентов с папиллярным ПКР достигла 28,8 %, хромофобным ПКР – 9,5 % и неклассифицируемым ПКР – 30,8 %. Медиана БПВ всех больных равнялась 4,2 мес, ОВ – 28,9 мес [200].</w:t>
      </w:r>
    </w:p>
    <w:p w:rsidR="00C3791F" w:rsidRDefault="00AE1F83">
      <w:pPr>
        <w:ind w:left="127" w:right="189" w:firstLine="709"/>
      </w:pPr>
      <w:r>
        <w:t>Ниволумаб** в комбинации с ип</w:t>
      </w:r>
      <w:r>
        <w:t>илимумабом** изучались при нПКР в когорте 2 исследования II фазы CheckMate 920, включившей 50 больных (неклассифицируемым ПКР – 42,3 %, папиллярным ПКР – 34,6 %, хромофобным ПКР – 13,5 %, другими вариантами нПКР – 9,6 %). ЧОО у всех пациентов составила 19,</w:t>
      </w:r>
      <w:r>
        <w:t>6 %, медиана БПВ – 3,7 мес, медиана ОВ – 21,2 мес [201].</w:t>
      </w:r>
    </w:p>
    <w:p w:rsidR="00C3791F" w:rsidRDefault="00AE1F83">
      <w:pPr>
        <w:ind w:left="127" w:right="189" w:firstLine="709"/>
      </w:pPr>
      <w:r>
        <w:t>Имеются данные об эффективности эверолимуса**, сунитиниба** и сорафениба** при нПКР [183, 202−204]. В исследовании RAPTOR медиана БПВ у пациентов с папиллярным ПКР 1 и 2-го типов, получавших эверолим</w:t>
      </w:r>
      <w:r>
        <w:t>ус**, составила 3,7 мес [205]. В рандомизированном исследовании II фазы ESPN (</w:t>
      </w:r>
      <w:r>
        <w:rPr>
          <w:i/>
        </w:rPr>
        <w:t>n</w:t>
      </w:r>
      <w:r>
        <w:t xml:space="preserve"> = 73), сравнивавшем эверолимус** и сунитиниб** при нПКР, медиана БПВ в группах составила 4,1 и 6,1 мес соответственно (</w:t>
      </w:r>
      <w:r>
        <w:rPr>
          <w:i/>
        </w:rPr>
        <w:t xml:space="preserve">p </w:t>
      </w:r>
      <w:r>
        <w:t>&gt;0,05). На основании результатов систематического анали</w:t>
      </w:r>
      <w:r>
        <w:t xml:space="preserve">за, включившего данные исследований ESPN, RECORD-3 и ASPEN, сунитиниб** и − в меньшей степени – эверолимус** могут являться допустимыми опциями для лечения этой группы пациентов [ </w:t>
      </w:r>
      <w:r>
        <w:rPr>
          <w:shd w:val="clear" w:color="auto" w:fill="F5F5F5"/>
        </w:rPr>
        <w:t>206</w:t>
      </w:r>
      <w:r>
        <w:t xml:space="preserve">]. </w:t>
      </w:r>
    </w:p>
    <w:p w:rsidR="00C3791F" w:rsidRDefault="00AE1F83">
      <w:pPr>
        <w:spacing w:after="233"/>
        <w:ind w:left="127" w:right="189" w:firstLine="709"/>
      </w:pPr>
      <w:r>
        <w:t>Результаты ключевых исследований, определяющих алгоритм выбора терапи</w:t>
      </w:r>
      <w:r>
        <w:t>и у больных ПКР, консолидированы в табл. 3.</w:t>
      </w:r>
    </w:p>
    <w:p w:rsidR="00C3791F" w:rsidRDefault="00AE1F83">
      <w:pPr>
        <w:spacing w:line="259" w:lineRule="auto"/>
        <w:ind w:left="137" w:right="189"/>
      </w:pPr>
      <w:r>
        <w:rPr>
          <w:b/>
        </w:rPr>
        <w:t xml:space="preserve">Таблица 3. </w:t>
      </w:r>
      <w:r>
        <w:t>Результаты ключевых исследований лекарственной терапии при ПКР</w:t>
      </w:r>
    </w:p>
    <w:tbl>
      <w:tblPr>
        <w:tblStyle w:val="TableGrid"/>
        <w:tblW w:w="10492" w:type="dxa"/>
        <w:tblInd w:w="-429" w:type="dxa"/>
        <w:tblCellMar>
          <w:top w:w="10" w:type="dxa"/>
          <w:left w:w="0" w:type="dxa"/>
          <w:bottom w:w="0" w:type="dxa"/>
          <w:right w:w="73" w:type="dxa"/>
        </w:tblCellMar>
        <w:tblLook w:val="04A0" w:firstRow="1" w:lastRow="0" w:firstColumn="1" w:lastColumn="0" w:noHBand="0" w:noVBand="1"/>
      </w:tblPr>
      <w:tblGrid>
        <w:gridCol w:w="1420"/>
        <w:gridCol w:w="1134"/>
        <w:gridCol w:w="898"/>
        <w:gridCol w:w="710"/>
        <w:gridCol w:w="710"/>
        <w:gridCol w:w="566"/>
        <w:gridCol w:w="234"/>
        <w:gridCol w:w="476"/>
        <w:gridCol w:w="618"/>
        <w:gridCol w:w="656"/>
        <w:gridCol w:w="710"/>
        <w:gridCol w:w="566"/>
        <w:gridCol w:w="618"/>
        <w:gridCol w:w="602"/>
        <w:gridCol w:w="574"/>
      </w:tblGrid>
      <w:tr w:rsidR="00C3791F">
        <w:trPr>
          <w:trHeight w:val="172"/>
        </w:trPr>
        <w:tc>
          <w:tcPr>
            <w:tcW w:w="1420"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24" w:firstLine="0"/>
              <w:jc w:val="center"/>
            </w:pPr>
            <w:r>
              <w:rPr>
                <w:b/>
                <w:sz w:val="14"/>
              </w:rPr>
              <w:t>Препарат</w:t>
            </w:r>
          </w:p>
        </w:tc>
        <w:tc>
          <w:tcPr>
            <w:tcW w:w="1134"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b/>
                <w:sz w:val="14"/>
              </w:rPr>
              <w:t>Препарат в группе контроля</w:t>
            </w:r>
          </w:p>
        </w:tc>
        <w:tc>
          <w:tcPr>
            <w:tcW w:w="898"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firstLine="0"/>
              <w:jc w:val="center"/>
            </w:pPr>
            <w:r>
              <w:rPr>
                <w:b/>
                <w:sz w:val="14"/>
              </w:rPr>
              <w:t xml:space="preserve">Название клиничес кого </w:t>
            </w:r>
          </w:p>
          <w:p w:rsidR="00C3791F" w:rsidRDefault="00AE1F83">
            <w:pPr>
              <w:spacing w:after="0" w:line="259" w:lineRule="auto"/>
              <w:ind w:left="0" w:firstLine="0"/>
              <w:jc w:val="center"/>
            </w:pPr>
            <w:r>
              <w:rPr>
                <w:b/>
                <w:sz w:val="14"/>
              </w:rPr>
              <w:t>исследова ния</w:t>
            </w:r>
          </w:p>
        </w:tc>
        <w:tc>
          <w:tcPr>
            <w:tcW w:w="710"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23" w:firstLine="0"/>
              <w:jc w:val="center"/>
            </w:pPr>
            <w:r>
              <w:rPr>
                <w:b/>
                <w:sz w:val="14"/>
              </w:rPr>
              <w:t>Автор</w:t>
            </w:r>
          </w:p>
        </w:tc>
        <w:tc>
          <w:tcPr>
            <w:tcW w:w="710"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8" w:hanging="8"/>
              <w:jc w:val="center"/>
            </w:pPr>
            <w:r>
              <w:rPr>
                <w:b/>
                <w:sz w:val="14"/>
              </w:rPr>
              <w:t>Первич ная цель</w:t>
            </w:r>
          </w:p>
        </w:tc>
        <w:tc>
          <w:tcPr>
            <w:tcW w:w="566"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20" w:firstLine="0"/>
              <w:jc w:val="center"/>
            </w:pPr>
            <w:r>
              <w:rPr>
                <w:b/>
                <w:i/>
                <w:sz w:val="14"/>
              </w:rPr>
              <w:t xml:space="preserve">N </w:t>
            </w:r>
            <w:r>
              <w:rPr>
                <w:b/>
                <w:sz w:val="14"/>
              </w:rPr>
              <w:t>паци енто в</w:t>
            </w:r>
          </w:p>
        </w:tc>
        <w:tc>
          <w:tcPr>
            <w:tcW w:w="1328" w:type="dxa"/>
            <w:gridSpan w:val="3"/>
            <w:tcBorders>
              <w:top w:val="single" w:sz="4" w:space="0" w:color="000000"/>
              <w:left w:val="single" w:sz="4" w:space="0" w:color="000000"/>
              <w:bottom w:val="single" w:sz="4" w:space="0" w:color="000000"/>
              <w:right w:val="nil"/>
            </w:tcBorders>
          </w:tcPr>
          <w:p w:rsidR="00C3791F" w:rsidRDefault="00AE1F83">
            <w:pPr>
              <w:spacing w:after="0" w:line="259" w:lineRule="auto"/>
              <w:ind w:left="736" w:firstLine="0"/>
              <w:jc w:val="left"/>
            </w:pPr>
            <w:r>
              <w:rPr>
                <w:b/>
                <w:sz w:val="14"/>
              </w:rPr>
              <w:t>БПВ</w:t>
            </w:r>
          </w:p>
        </w:tc>
        <w:tc>
          <w:tcPr>
            <w:tcW w:w="656" w:type="dxa"/>
            <w:tcBorders>
              <w:top w:val="single" w:sz="4" w:space="0" w:color="000000"/>
              <w:left w:val="nil"/>
              <w:bottom w:val="single" w:sz="4" w:space="0" w:color="000000"/>
              <w:right w:val="single" w:sz="4" w:space="0" w:color="000000"/>
            </w:tcBorders>
          </w:tcPr>
          <w:p w:rsidR="00C3791F" w:rsidRDefault="00C3791F">
            <w:pPr>
              <w:spacing w:after="160" w:line="259" w:lineRule="auto"/>
              <w:ind w:left="0" w:firstLine="0"/>
              <w:jc w:val="left"/>
            </w:pPr>
          </w:p>
        </w:tc>
        <w:tc>
          <w:tcPr>
            <w:tcW w:w="1276" w:type="dxa"/>
            <w:gridSpan w:val="2"/>
            <w:tcBorders>
              <w:top w:val="single" w:sz="4" w:space="0" w:color="000000"/>
              <w:left w:val="single" w:sz="4" w:space="0" w:color="000000"/>
              <w:bottom w:val="single" w:sz="4" w:space="0" w:color="000000"/>
              <w:right w:val="nil"/>
            </w:tcBorders>
          </w:tcPr>
          <w:p w:rsidR="00C3791F" w:rsidRDefault="00AE1F83">
            <w:pPr>
              <w:spacing w:after="0" w:line="259" w:lineRule="auto"/>
              <w:ind w:left="737" w:firstLine="0"/>
              <w:jc w:val="left"/>
            </w:pPr>
            <w:r>
              <w:rPr>
                <w:b/>
                <w:sz w:val="14"/>
              </w:rPr>
              <w:t>ОВ</w:t>
            </w:r>
          </w:p>
        </w:tc>
        <w:tc>
          <w:tcPr>
            <w:tcW w:w="618" w:type="dxa"/>
            <w:tcBorders>
              <w:top w:val="single" w:sz="4" w:space="0" w:color="000000"/>
              <w:left w:val="nil"/>
              <w:bottom w:val="single" w:sz="4" w:space="0" w:color="000000"/>
              <w:right w:val="single" w:sz="4" w:space="0" w:color="000000"/>
            </w:tcBorders>
          </w:tcPr>
          <w:p w:rsidR="00C3791F" w:rsidRDefault="00C3791F">
            <w:pPr>
              <w:spacing w:after="160" w:line="259" w:lineRule="auto"/>
              <w:ind w:left="0" w:firstLine="0"/>
              <w:jc w:val="left"/>
            </w:pPr>
          </w:p>
        </w:tc>
        <w:tc>
          <w:tcPr>
            <w:tcW w:w="1176" w:type="dxa"/>
            <w:gridSpan w:val="2"/>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26" w:firstLine="0"/>
              <w:jc w:val="center"/>
            </w:pPr>
            <w:r>
              <w:rPr>
                <w:b/>
                <w:sz w:val="14"/>
              </w:rPr>
              <w:t>ЧОО, %</w:t>
            </w:r>
          </w:p>
        </w:tc>
      </w:tr>
      <w:tr w:rsidR="00C3791F">
        <w:trPr>
          <w:trHeight w:val="194"/>
        </w:trPr>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1328" w:type="dxa"/>
            <w:gridSpan w:val="3"/>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25" w:firstLine="0"/>
              <w:jc w:val="center"/>
            </w:pPr>
            <w:r>
              <w:rPr>
                <w:b/>
                <w:sz w:val="14"/>
              </w:rPr>
              <w:t>Медиана, мес</w:t>
            </w:r>
          </w:p>
        </w:tc>
        <w:tc>
          <w:tcPr>
            <w:tcW w:w="656"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1" w:firstLine="0"/>
              <w:jc w:val="left"/>
            </w:pPr>
            <w:r>
              <w:rPr>
                <w:b/>
                <w:sz w:val="14"/>
              </w:rPr>
              <w:t xml:space="preserve">ОР (95 </w:t>
            </w:r>
          </w:p>
          <w:p w:rsidR="00C3791F" w:rsidRDefault="00AE1F83">
            <w:pPr>
              <w:spacing w:after="0" w:line="259" w:lineRule="auto"/>
              <w:ind w:left="5" w:firstLine="0"/>
              <w:jc w:val="left"/>
            </w:pPr>
            <w:r>
              <w:rPr>
                <w:b/>
                <w:sz w:val="14"/>
              </w:rPr>
              <w:t>% ДИ)</w:t>
            </w:r>
          </w:p>
        </w:tc>
        <w:tc>
          <w:tcPr>
            <w:tcW w:w="1276" w:type="dxa"/>
            <w:gridSpan w:val="2"/>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25" w:firstLine="0"/>
              <w:jc w:val="center"/>
            </w:pPr>
            <w:r>
              <w:rPr>
                <w:b/>
                <w:sz w:val="14"/>
              </w:rPr>
              <w:t>Медиана, мес</w:t>
            </w:r>
          </w:p>
        </w:tc>
        <w:tc>
          <w:tcPr>
            <w:tcW w:w="618"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24" w:firstLine="0"/>
              <w:jc w:val="center"/>
            </w:pPr>
            <w:r>
              <w:rPr>
                <w:b/>
                <w:sz w:val="14"/>
              </w:rPr>
              <w:t xml:space="preserve">ОР </w:t>
            </w:r>
          </w:p>
          <w:p w:rsidR="00C3791F" w:rsidRDefault="00AE1F83">
            <w:pPr>
              <w:spacing w:after="0" w:line="259" w:lineRule="auto"/>
              <w:ind w:left="19" w:firstLine="0"/>
              <w:jc w:val="left"/>
            </w:pPr>
            <w:r>
              <w:rPr>
                <w:b/>
                <w:sz w:val="14"/>
              </w:rPr>
              <w:t xml:space="preserve">(95 % </w:t>
            </w:r>
          </w:p>
          <w:p w:rsidR="00C3791F" w:rsidRDefault="00AE1F83">
            <w:pPr>
              <w:spacing w:after="0" w:line="259" w:lineRule="auto"/>
              <w:ind w:left="0" w:right="24" w:firstLine="0"/>
              <w:jc w:val="center"/>
            </w:pPr>
            <w:r>
              <w:rPr>
                <w:b/>
                <w:sz w:val="14"/>
              </w:rPr>
              <w:t>ДИ)</w:t>
            </w:r>
          </w:p>
        </w:tc>
        <w:tc>
          <w:tcPr>
            <w:tcW w:w="1176" w:type="dxa"/>
            <w:gridSpan w:val="2"/>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r>
      <w:tr w:rsidR="00C3791F">
        <w:trPr>
          <w:trHeight w:val="494"/>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710" w:type="dxa"/>
            <w:gridSpan w:val="2"/>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b/>
                <w:sz w:val="14"/>
              </w:rPr>
              <w:t>Группа исследо вания</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firstLine="0"/>
              <w:jc w:val="center"/>
            </w:pPr>
            <w:r>
              <w:rPr>
                <w:b/>
                <w:sz w:val="14"/>
              </w:rPr>
              <w:t xml:space="preserve">Групп а </w:t>
            </w:r>
          </w:p>
          <w:p w:rsidR="00C3791F" w:rsidRDefault="00AE1F83">
            <w:pPr>
              <w:spacing w:after="0" w:line="259" w:lineRule="auto"/>
              <w:ind w:left="10" w:firstLine="0"/>
              <w:jc w:val="left"/>
            </w:pPr>
            <w:r>
              <w:rPr>
                <w:b/>
                <w:sz w:val="14"/>
              </w:rPr>
              <w:t>контр</w:t>
            </w: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b/>
                <w:sz w:val="14"/>
              </w:rPr>
              <w:t>Группа исследо вания</w:t>
            </w:r>
          </w:p>
        </w:tc>
        <w:tc>
          <w:tcPr>
            <w:tcW w:w="56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b/>
                <w:sz w:val="14"/>
              </w:rPr>
              <w:t>Груп па конт</w:t>
            </w: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60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b/>
                <w:sz w:val="14"/>
              </w:rPr>
              <w:t>Груп па иссле</w:t>
            </w:r>
          </w:p>
        </w:tc>
        <w:tc>
          <w:tcPr>
            <w:tcW w:w="57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b/>
                <w:sz w:val="14"/>
              </w:rPr>
              <w:t>Груп па конт</w:t>
            </w:r>
          </w:p>
        </w:tc>
      </w:tr>
      <w:tr w:rsidR="00C3791F">
        <w:trPr>
          <w:trHeight w:val="332"/>
        </w:trPr>
        <w:tc>
          <w:tcPr>
            <w:tcW w:w="1420"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1134"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898"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710"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710"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tcPr>
          <w:p w:rsidR="00C3791F" w:rsidRDefault="00C3791F">
            <w:pPr>
              <w:spacing w:after="160" w:line="259" w:lineRule="auto"/>
              <w:ind w:left="0" w:firstLine="0"/>
              <w:jc w:val="left"/>
            </w:pP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5" w:firstLine="0"/>
              <w:jc w:val="center"/>
            </w:pPr>
            <w:r>
              <w:rPr>
                <w:b/>
                <w:sz w:val="14"/>
              </w:rPr>
              <w:t>оля</w:t>
            </w:r>
          </w:p>
        </w:tc>
        <w:tc>
          <w:tcPr>
            <w:tcW w:w="656"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710"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34" w:firstLine="0"/>
              <w:jc w:val="left"/>
            </w:pPr>
            <w:r>
              <w:rPr>
                <w:b/>
                <w:sz w:val="14"/>
              </w:rPr>
              <w:t>роля</w:t>
            </w:r>
          </w:p>
        </w:tc>
        <w:tc>
          <w:tcPr>
            <w:tcW w:w="618"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60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19" w:firstLine="0"/>
              <w:jc w:val="left"/>
            </w:pPr>
            <w:r>
              <w:rPr>
                <w:b/>
                <w:sz w:val="14"/>
              </w:rPr>
              <w:t>дован</w:t>
            </w:r>
          </w:p>
          <w:p w:rsidR="00C3791F" w:rsidRDefault="00AE1F83">
            <w:pPr>
              <w:spacing w:after="0" w:line="259" w:lineRule="auto"/>
              <w:ind w:left="75" w:firstLine="0"/>
              <w:jc w:val="center"/>
            </w:pPr>
            <w:r>
              <w:rPr>
                <w:b/>
                <w:sz w:val="14"/>
              </w:rPr>
              <w:t>ия</w:t>
            </w:r>
          </w:p>
        </w:tc>
        <w:tc>
          <w:tcPr>
            <w:tcW w:w="57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38" w:firstLine="0"/>
              <w:jc w:val="left"/>
            </w:pPr>
            <w:r>
              <w:rPr>
                <w:b/>
                <w:sz w:val="14"/>
              </w:rPr>
              <w:t>роля</w:t>
            </w:r>
          </w:p>
        </w:tc>
      </w:tr>
      <w:tr w:rsidR="00C3791F">
        <w:trPr>
          <w:trHeight w:val="172"/>
        </w:trPr>
        <w:tc>
          <w:tcPr>
            <w:tcW w:w="5672" w:type="dxa"/>
            <w:gridSpan w:val="7"/>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246" w:type="dxa"/>
            <w:gridSpan w:val="7"/>
            <w:tcBorders>
              <w:top w:val="single" w:sz="4" w:space="0" w:color="000000"/>
              <w:left w:val="nil"/>
              <w:bottom w:val="single" w:sz="4" w:space="0" w:color="000000"/>
              <w:right w:val="nil"/>
            </w:tcBorders>
          </w:tcPr>
          <w:p w:rsidR="00C3791F" w:rsidRDefault="00C3791F">
            <w:pPr>
              <w:spacing w:after="160" w:line="259" w:lineRule="auto"/>
              <w:ind w:left="0" w:firstLine="0"/>
              <w:jc w:val="left"/>
            </w:pPr>
          </w:p>
        </w:tc>
        <w:tc>
          <w:tcPr>
            <w:tcW w:w="574" w:type="dxa"/>
            <w:tcBorders>
              <w:top w:val="single" w:sz="4" w:space="0" w:color="000000"/>
              <w:left w:val="nil"/>
              <w:bottom w:val="single" w:sz="4" w:space="0" w:color="000000"/>
              <w:right w:val="single" w:sz="4" w:space="0" w:color="000000"/>
            </w:tcBorders>
          </w:tcPr>
          <w:p w:rsidR="00C3791F" w:rsidRDefault="00C3791F">
            <w:pPr>
              <w:spacing w:after="160" w:line="259" w:lineRule="auto"/>
              <w:ind w:left="0" w:firstLine="0"/>
              <w:jc w:val="left"/>
            </w:pPr>
          </w:p>
        </w:tc>
      </w:tr>
      <w:tr w:rsidR="00C3791F">
        <w:trPr>
          <w:trHeight w:val="170"/>
        </w:trPr>
        <w:tc>
          <w:tcPr>
            <w:tcW w:w="5672" w:type="dxa"/>
            <w:gridSpan w:val="7"/>
            <w:tcBorders>
              <w:top w:val="single" w:sz="4" w:space="0" w:color="000000"/>
              <w:left w:val="single" w:sz="4" w:space="0" w:color="000000"/>
              <w:bottom w:val="single" w:sz="4" w:space="0" w:color="000000"/>
              <w:right w:val="nil"/>
            </w:tcBorders>
          </w:tcPr>
          <w:p w:rsidR="00C3791F" w:rsidRDefault="00AE1F83">
            <w:pPr>
              <w:spacing w:after="0" w:line="259" w:lineRule="auto"/>
              <w:ind w:left="0" w:right="40" w:firstLine="0"/>
              <w:jc w:val="right"/>
            </w:pPr>
            <w:r>
              <w:rPr>
                <w:b/>
                <w:sz w:val="14"/>
              </w:rPr>
              <w:t>1-я линия</w:t>
            </w:r>
          </w:p>
        </w:tc>
        <w:tc>
          <w:tcPr>
            <w:tcW w:w="4246" w:type="dxa"/>
            <w:gridSpan w:val="7"/>
            <w:tcBorders>
              <w:top w:val="single" w:sz="4" w:space="0" w:color="000000"/>
              <w:left w:val="nil"/>
              <w:bottom w:val="single" w:sz="4" w:space="0" w:color="000000"/>
              <w:right w:val="nil"/>
            </w:tcBorders>
          </w:tcPr>
          <w:p w:rsidR="00C3791F" w:rsidRDefault="00C3791F">
            <w:pPr>
              <w:spacing w:after="160" w:line="259" w:lineRule="auto"/>
              <w:ind w:left="0" w:firstLine="0"/>
              <w:jc w:val="left"/>
            </w:pPr>
          </w:p>
        </w:tc>
        <w:tc>
          <w:tcPr>
            <w:tcW w:w="574" w:type="dxa"/>
            <w:tcBorders>
              <w:top w:val="single" w:sz="4" w:space="0" w:color="000000"/>
              <w:left w:val="nil"/>
              <w:bottom w:val="single" w:sz="4" w:space="0" w:color="000000"/>
              <w:right w:val="single" w:sz="4" w:space="0" w:color="000000"/>
            </w:tcBorders>
          </w:tcPr>
          <w:p w:rsidR="00C3791F" w:rsidRDefault="00C3791F">
            <w:pPr>
              <w:spacing w:after="160" w:line="259" w:lineRule="auto"/>
              <w:ind w:left="0" w:firstLine="0"/>
              <w:jc w:val="left"/>
            </w:pPr>
          </w:p>
        </w:tc>
      </w:tr>
      <w:tr w:rsidR="00C3791F">
        <w:trPr>
          <w:trHeight w:val="494"/>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Сунитиниб**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#ИФН-α**</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b/>
                <w:sz w:val="14"/>
              </w:rPr>
              <w:t>−</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7" w:firstLine="0"/>
              <w:jc w:val="center"/>
            </w:pPr>
            <w:r>
              <w:rPr>
                <w:sz w:val="14"/>
              </w:rPr>
              <w:t xml:space="preserve">Motzer </w:t>
            </w:r>
          </w:p>
          <w:p w:rsidR="00C3791F" w:rsidRDefault="00AE1F83">
            <w:pPr>
              <w:spacing w:after="0" w:line="259" w:lineRule="auto"/>
              <w:ind w:left="78" w:firstLine="0"/>
              <w:jc w:val="center"/>
            </w:pPr>
            <w:r>
              <w:rPr>
                <w:sz w:val="14"/>
              </w:rPr>
              <w:t xml:space="preserve">2007, </w:t>
            </w:r>
          </w:p>
          <w:p w:rsidR="00C3791F" w:rsidRDefault="00AE1F83">
            <w:pPr>
              <w:spacing w:after="0" w:line="259" w:lineRule="auto"/>
              <w:ind w:left="77" w:firstLine="0"/>
              <w:jc w:val="center"/>
            </w:pPr>
            <w:r>
              <w:rPr>
                <w:sz w:val="14"/>
              </w:rPr>
              <w:t>2009</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750</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53" w:firstLine="0"/>
              <w:jc w:val="left"/>
            </w:pPr>
            <w:r>
              <w:rPr>
                <w:sz w:val="14"/>
              </w:rPr>
              <w:t>11</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5</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0,42 </w:t>
            </w:r>
          </w:p>
          <w:p w:rsidR="00C3791F" w:rsidRDefault="00AE1F83">
            <w:pPr>
              <w:spacing w:after="0" w:line="259" w:lineRule="auto"/>
              <w:ind w:left="68" w:firstLine="0"/>
              <w:jc w:val="center"/>
            </w:pPr>
            <w:r>
              <w:rPr>
                <w:sz w:val="14"/>
              </w:rPr>
              <w:t>(0,32–</w:t>
            </w:r>
          </w:p>
          <w:p w:rsidR="00C3791F" w:rsidRDefault="00AE1F83">
            <w:pPr>
              <w:spacing w:after="0" w:line="259" w:lineRule="auto"/>
              <w:ind w:left="68" w:firstLine="0"/>
              <w:jc w:val="center"/>
            </w:pPr>
            <w:r>
              <w:rPr>
                <w:sz w:val="14"/>
              </w:rPr>
              <w:t>0,54)</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26,4</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21,8</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0,82 </w:t>
            </w:r>
          </w:p>
          <w:p w:rsidR="00C3791F" w:rsidRDefault="00AE1F83">
            <w:pPr>
              <w:spacing w:after="0" w:line="259" w:lineRule="auto"/>
              <w:ind w:left="77" w:firstLine="0"/>
              <w:jc w:val="center"/>
            </w:pPr>
            <w:r>
              <w:rPr>
                <w:sz w:val="14"/>
              </w:rPr>
              <w:t>(0,67–</w:t>
            </w:r>
          </w:p>
          <w:p w:rsidR="00C3791F" w:rsidRDefault="00AE1F83">
            <w:pPr>
              <w:spacing w:after="0" w:line="259" w:lineRule="auto"/>
              <w:ind w:left="77" w:firstLine="0"/>
              <w:jc w:val="center"/>
            </w:pPr>
            <w:r>
              <w:rPr>
                <w:sz w:val="14"/>
              </w:rPr>
              <w:t>1,00)</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31</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6</w:t>
            </w:r>
          </w:p>
        </w:tc>
      </w:tr>
      <w:tr w:rsidR="00C3791F">
        <w:trPr>
          <w:trHeight w:val="492"/>
        </w:trPr>
        <w:tc>
          <w:tcPr>
            <w:tcW w:w="142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sz w:val="14"/>
              </w:rPr>
              <w:t>Бевацизумаб** + ИФН-α**</w:t>
            </w:r>
          </w:p>
        </w:tc>
        <w:tc>
          <w:tcPr>
            <w:tcW w:w="1134"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60" w:firstLine="0"/>
              <w:jc w:val="left"/>
            </w:pPr>
            <w:r>
              <w:rPr>
                <w:sz w:val="14"/>
              </w:rPr>
              <w:t>AVOREN</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12" w:firstLine="0"/>
              <w:jc w:val="left"/>
            </w:pPr>
            <w:r>
              <w:rPr>
                <w:sz w:val="14"/>
              </w:rPr>
              <w:t xml:space="preserve">Escudier </w:t>
            </w:r>
          </w:p>
          <w:p w:rsidR="00C3791F" w:rsidRDefault="00AE1F83">
            <w:pPr>
              <w:spacing w:after="0" w:line="259" w:lineRule="auto"/>
              <w:ind w:left="78" w:firstLine="0"/>
              <w:jc w:val="center"/>
            </w:pPr>
            <w:r>
              <w:rPr>
                <w:sz w:val="14"/>
              </w:rPr>
              <w:t xml:space="preserve">2007, </w:t>
            </w:r>
          </w:p>
          <w:p w:rsidR="00C3791F" w:rsidRDefault="00AE1F83">
            <w:pPr>
              <w:spacing w:after="0" w:line="259" w:lineRule="auto"/>
              <w:ind w:left="77" w:firstLine="0"/>
              <w:jc w:val="center"/>
            </w:pPr>
            <w:r>
              <w:rPr>
                <w:sz w:val="14"/>
              </w:rPr>
              <w:t>2010</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649</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0" w:firstLine="0"/>
              <w:jc w:val="left"/>
            </w:pPr>
            <w:r>
              <w:rPr>
                <w:sz w:val="14"/>
              </w:rPr>
              <w:t>10.2</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5,4</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0,61 </w:t>
            </w:r>
          </w:p>
          <w:p w:rsidR="00C3791F" w:rsidRDefault="00AE1F83">
            <w:pPr>
              <w:spacing w:after="0" w:line="259" w:lineRule="auto"/>
              <w:ind w:left="68" w:firstLine="0"/>
              <w:jc w:val="center"/>
            </w:pPr>
            <w:r>
              <w:rPr>
                <w:sz w:val="14"/>
              </w:rPr>
              <w:t>(0,51–</w:t>
            </w:r>
          </w:p>
          <w:p w:rsidR="00C3791F" w:rsidRDefault="00AE1F83">
            <w:pPr>
              <w:spacing w:after="0" w:line="259" w:lineRule="auto"/>
              <w:ind w:left="68" w:firstLine="0"/>
              <w:jc w:val="center"/>
            </w:pPr>
            <w:r>
              <w:rPr>
                <w:sz w:val="14"/>
              </w:rPr>
              <w:t>0,73)</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23,3</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21,3</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0,86 </w:t>
            </w:r>
          </w:p>
          <w:p w:rsidR="00C3791F" w:rsidRDefault="00AE1F83">
            <w:pPr>
              <w:spacing w:after="0" w:line="259" w:lineRule="auto"/>
              <w:ind w:left="77" w:firstLine="0"/>
              <w:jc w:val="center"/>
            </w:pPr>
            <w:r>
              <w:rPr>
                <w:sz w:val="14"/>
              </w:rPr>
              <w:t>(0,72–</w:t>
            </w:r>
          </w:p>
          <w:p w:rsidR="00C3791F" w:rsidRDefault="00AE1F83">
            <w:pPr>
              <w:spacing w:after="0" w:line="259" w:lineRule="auto"/>
              <w:ind w:left="77" w:firstLine="0"/>
              <w:jc w:val="center"/>
            </w:pPr>
            <w:r>
              <w:rPr>
                <w:sz w:val="14"/>
              </w:rPr>
              <w:t>1,04)</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31</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13</w:t>
            </w:r>
          </w:p>
        </w:tc>
      </w:tr>
      <w:tr w:rsidR="00C3791F">
        <w:trPr>
          <w:trHeight w:val="494"/>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Пазопаниб**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Плацебо</w:t>
            </w:r>
          </w:p>
        </w:tc>
        <w:tc>
          <w:tcPr>
            <w:tcW w:w="8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97" w:right="21" w:firstLine="0"/>
              <w:jc w:val="center"/>
            </w:pPr>
            <w:r>
              <w:rPr>
                <w:sz w:val="14"/>
              </w:rPr>
              <w:t>VEG10519 2</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85" w:right="8" w:firstLine="0"/>
              <w:jc w:val="center"/>
            </w:pPr>
            <w:r>
              <w:rPr>
                <w:sz w:val="14"/>
              </w:rPr>
              <w:t xml:space="preserve">Sternber g 2010, </w:t>
            </w:r>
          </w:p>
          <w:p w:rsidR="00C3791F" w:rsidRDefault="00AE1F83">
            <w:pPr>
              <w:spacing w:after="0" w:line="259" w:lineRule="auto"/>
              <w:ind w:left="77" w:firstLine="0"/>
              <w:jc w:val="center"/>
            </w:pPr>
            <w:r>
              <w:rPr>
                <w:sz w:val="14"/>
              </w:rPr>
              <w:t>2013</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435</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35" w:firstLine="0"/>
              <w:jc w:val="left"/>
            </w:pPr>
            <w:r>
              <w:rPr>
                <w:sz w:val="14"/>
              </w:rPr>
              <w:t>9,2</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4,2</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0,46 </w:t>
            </w:r>
          </w:p>
          <w:p w:rsidR="00C3791F" w:rsidRDefault="00AE1F83">
            <w:pPr>
              <w:spacing w:after="0" w:line="259" w:lineRule="auto"/>
              <w:ind w:left="68" w:firstLine="0"/>
              <w:jc w:val="center"/>
            </w:pPr>
            <w:r>
              <w:rPr>
                <w:sz w:val="14"/>
              </w:rPr>
              <w:t>(0,34–</w:t>
            </w:r>
          </w:p>
          <w:p w:rsidR="00C3791F" w:rsidRDefault="00AE1F83">
            <w:pPr>
              <w:spacing w:after="0" w:line="259" w:lineRule="auto"/>
              <w:ind w:left="68" w:firstLine="0"/>
              <w:jc w:val="center"/>
            </w:pPr>
            <w:r>
              <w:rPr>
                <w:sz w:val="14"/>
              </w:rPr>
              <w:t>0,62)</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22,9</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20,5</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0,91 </w:t>
            </w:r>
          </w:p>
          <w:p w:rsidR="00C3791F" w:rsidRDefault="00AE1F83">
            <w:pPr>
              <w:spacing w:after="0" w:line="259" w:lineRule="auto"/>
              <w:ind w:left="77" w:firstLine="0"/>
              <w:jc w:val="center"/>
            </w:pPr>
            <w:r>
              <w:rPr>
                <w:sz w:val="14"/>
              </w:rPr>
              <w:t>(0,71–</w:t>
            </w:r>
          </w:p>
          <w:p w:rsidR="00C3791F" w:rsidRDefault="00AE1F83">
            <w:pPr>
              <w:spacing w:after="0" w:line="259" w:lineRule="auto"/>
              <w:ind w:left="77" w:firstLine="0"/>
              <w:jc w:val="center"/>
            </w:pPr>
            <w:r>
              <w:rPr>
                <w:sz w:val="14"/>
              </w:rPr>
              <w:t>1,16)</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30</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3</w:t>
            </w:r>
          </w:p>
        </w:tc>
      </w:tr>
      <w:tr w:rsidR="00C3791F">
        <w:trPr>
          <w:trHeight w:val="492"/>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Пазопаниб**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Сунитиниб**</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13" w:firstLine="0"/>
              <w:jc w:val="left"/>
            </w:pPr>
            <w:r>
              <w:rPr>
                <w:sz w:val="14"/>
              </w:rPr>
              <w:t>COMPARZ</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7" w:firstLine="0"/>
              <w:jc w:val="center"/>
            </w:pPr>
            <w:r>
              <w:rPr>
                <w:sz w:val="14"/>
              </w:rPr>
              <w:t xml:space="preserve">Motzer </w:t>
            </w:r>
          </w:p>
          <w:p w:rsidR="00C3791F" w:rsidRDefault="00AE1F83">
            <w:pPr>
              <w:spacing w:after="0" w:line="259" w:lineRule="auto"/>
              <w:ind w:left="78" w:firstLine="0"/>
              <w:jc w:val="center"/>
            </w:pPr>
            <w:r>
              <w:rPr>
                <w:sz w:val="14"/>
              </w:rPr>
              <w:t xml:space="preserve">2013, </w:t>
            </w:r>
          </w:p>
          <w:p w:rsidR="00C3791F" w:rsidRDefault="00AE1F83">
            <w:pPr>
              <w:spacing w:after="0" w:line="259" w:lineRule="auto"/>
              <w:ind w:left="77" w:firstLine="0"/>
              <w:jc w:val="center"/>
            </w:pPr>
            <w:r>
              <w:rPr>
                <w:sz w:val="14"/>
              </w:rPr>
              <w:t>2014</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1110</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35" w:firstLine="0"/>
              <w:jc w:val="left"/>
            </w:pPr>
            <w:r>
              <w:rPr>
                <w:sz w:val="14"/>
              </w:rPr>
              <w:t>8,4</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9,5</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1,05 </w:t>
            </w:r>
          </w:p>
          <w:p w:rsidR="00C3791F" w:rsidRDefault="00AE1F83">
            <w:pPr>
              <w:spacing w:after="0" w:line="259" w:lineRule="auto"/>
              <w:ind w:left="68" w:firstLine="0"/>
              <w:jc w:val="center"/>
            </w:pPr>
            <w:r>
              <w:rPr>
                <w:sz w:val="14"/>
              </w:rPr>
              <w:t>(0,99–</w:t>
            </w:r>
          </w:p>
          <w:p w:rsidR="00C3791F" w:rsidRDefault="00AE1F83">
            <w:pPr>
              <w:spacing w:after="0" w:line="259" w:lineRule="auto"/>
              <w:ind w:left="68" w:firstLine="0"/>
              <w:jc w:val="center"/>
            </w:pPr>
            <w:r>
              <w:rPr>
                <w:sz w:val="14"/>
              </w:rPr>
              <w:t>1,02)</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28,3</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29,3</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0,92 </w:t>
            </w:r>
          </w:p>
          <w:p w:rsidR="00C3791F" w:rsidRDefault="00AE1F83">
            <w:pPr>
              <w:spacing w:after="0" w:line="259" w:lineRule="auto"/>
              <w:ind w:left="77" w:firstLine="0"/>
              <w:jc w:val="center"/>
            </w:pPr>
            <w:r>
              <w:rPr>
                <w:sz w:val="14"/>
              </w:rPr>
              <w:t>(0,79–</w:t>
            </w:r>
          </w:p>
          <w:p w:rsidR="00C3791F" w:rsidRDefault="00AE1F83">
            <w:pPr>
              <w:spacing w:after="0" w:line="259" w:lineRule="auto"/>
              <w:ind w:left="77" w:firstLine="0"/>
              <w:jc w:val="center"/>
            </w:pPr>
            <w:r>
              <w:rPr>
                <w:sz w:val="14"/>
              </w:rPr>
              <w:t>1,06)</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31</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25</w:t>
            </w:r>
          </w:p>
        </w:tc>
      </w:tr>
      <w:tr w:rsidR="00C3791F">
        <w:trPr>
          <w:trHeight w:val="494"/>
        </w:trPr>
        <w:tc>
          <w:tcPr>
            <w:tcW w:w="142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sz w:val="14"/>
              </w:rPr>
              <w:t>Бевацизумаб** + ИФН-α**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#ИФН-α**</w:t>
            </w:r>
          </w:p>
        </w:tc>
        <w:tc>
          <w:tcPr>
            <w:tcW w:w="8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22" w:firstLine="0"/>
              <w:jc w:val="center"/>
            </w:pPr>
            <w:r>
              <w:rPr>
                <w:sz w:val="14"/>
              </w:rPr>
              <w:t>CALGB 90 206</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8" w:firstLine="0"/>
              <w:jc w:val="center"/>
            </w:pPr>
            <w:r>
              <w:rPr>
                <w:sz w:val="14"/>
              </w:rPr>
              <w:t xml:space="preserve">Rini </w:t>
            </w:r>
          </w:p>
          <w:p w:rsidR="00C3791F" w:rsidRDefault="00AE1F83">
            <w:pPr>
              <w:spacing w:after="0" w:line="259" w:lineRule="auto"/>
              <w:ind w:left="78" w:firstLine="0"/>
              <w:jc w:val="center"/>
            </w:pPr>
            <w:r>
              <w:rPr>
                <w:sz w:val="14"/>
              </w:rPr>
              <w:t xml:space="preserve">2008, </w:t>
            </w:r>
          </w:p>
          <w:p w:rsidR="00C3791F" w:rsidRDefault="00AE1F83">
            <w:pPr>
              <w:spacing w:after="0" w:line="259" w:lineRule="auto"/>
              <w:ind w:left="77" w:firstLine="0"/>
              <w:jc w:val="center"/>
            </w:pPr>
            <w:r>
              <w:rPr>
                <w:sz w:val="14"/>
              </w:rPr>
              <w:t>2010</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ОВ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732</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35" w:firstLine="0"/>
              <w:jc w:val="left"/>
            </w:pPr>
            <w:r>
              <w:rPr>
                <w:sz w:val="14"/>
              </w:rPr>
              <w:t>8,5</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5,2</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0,71 </w:t>
            </w:r>
          </w:p>
          <w:p w:rsidR="00C3791F" w:rsidRDefault="00AE1F83">
            <w:pPr>
              <w:spacing w:after="0" w:line="259" w:lineRule="auto"/>
              <w:ind w:left="68" w:firstLine="0"/>
              <w:jc w:val="center"/>
            </w:pPr>
            <w:r>
              <w:rPr>
                <w:sz w:val="14"/>
              </w:rPr>
              <w:t>(0,61–</w:t>
            </w:r>
          </w:p>
          <w:p w:rsidR="00C3791F" w:rsidRDefault="00AE1F83">
            <w:pPr>
              <w:spacing w:after="0" w:line="259" w:lineRule="auto"/>
              <w:ind w:left="68" w:firstLine="0"/>
              <w:jc w:val="center"/>
            </w:pPr>
            <w:r>
              <w:rPr>
                <w:sz w:val="14"/>
              </w:rPr>
              <w:t>0,83)</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18,3</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17,4</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0,86 </w:t>
            </w:r>
          </w:p>
          <w:p w:rsidR="00C3791F" w:rsidRDefault="00AE1F83">
            <w:pPr>
              <w:spacing w:after="0" w:line="259" w:lineRule="auto"/>
              <w:ind w:left="77" w:firstLine="0"/>
              <w:jc w:val="center"/>
            </w:pPr>
            <w:r>
              <w:rPr>
                <w:sz w:val="14"/>
              </w:rPr>
              <w:t>(0,73–</w:t>
            </w:r>
          </w:p>
          <w:p w:rsidR="00C3791F" w:rsidRDefault="00AE1F83">
            <w:pPr>
              <w:spacing w:after="0" w:line="259" w:lineRule="auto"/>
              <w:ind w:left="77" w:firstLine="0"/>
              <w:jc w:val="center"/>
            </w:pPr>
            <w:r>
              <w:rPr>
                <w:sz w:val="14"/>
              </w:rPr>
              <w:t>1,01)</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26</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13</w:t>
            </w:r>
          </w:p>
        </w:tc>
      </w:tr>
      <w:tr w:rsidR="00C3791F">
        <w:trPr>
          <w:trHeight w:val="492"/>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Кабозантиниб**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Сунитиниб**</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17" w:firstLine="0"/>
              <w:jc w:val="left"/>
            </w:pPr>
            <w:r>
              <w:rPr>
                <w:sz w:val="14"/>
              </w:rPr>
              <w:t>CABOSUN</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sz w:val="14"/>
              </w:rPr>
              <w:t>Choueiri 2017</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157</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35" w:firstLine="0"/>
              <w:jc w:val="left"/>
            </w:pPr>
            <w:r>
              <w:rPr>
                <w:sz w:val="14"/>
              </w:rPr>
              <w:t>8,6</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5,3</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0,48 </w:t>
            </w:r>
          </w:p>
          <w:p w:rsidR="00C3791F" w:rsidRDefault="00AE1F83">
            <w:pPr>
              <w:spacing w:after="0" w:line="259" w:lineRule="auto"/>
              <w:ind w:left="68" w:firstLine="0"/>
              <w:jc w:val="center"/>
            </w:pPr>
            <w:r>
              <w:rPr>
                <w:sz w:val="14"/>
              </w:rPr>
              <w:t>(0,31–</w:t>
            </w:r>
          </w:p>
          <w:p w:rsidR="00C3791F" w:rsidRDefault="00AE1F83">
            <w:pPr>
              <w:spacing w:after="0" w:line="259" w:lineRule="auto"/>
              <w:ind w:left="68" w:firstLine="0"/>
              <w:jc w:val="center"/>
            </w:pPr>
            <w:r>
              <w:rPr>
                <w:sz w:val="14"/>
              </w:rPr>
              <w:t>0,74)</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26,6</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21,2</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0,79 </w:t>
            </w:r>
          </w:p>
          <w:p w:rsidR="00C3791F" w:rsidRDefault="00AE1F83">
            <w:pPr>
              <w:spacing w:after="0" w:line="259" w:lineRule="auto"/>
              <w:ind w:left="77" w:firstLine="0"/>
              <w:jc w:val="center"/>
            </w:pPr>
            <w:r>
              <w:rPr>
                <w:sz w:val="14"/>
              </w:rPr>
              <w:t>(0,53–</w:t>
            </w:r>
          </w:p>
          <w:p w:rsidR="00C3791F" w:rsidRDefault="00AE1F83">
            <w:pPr>
              <w:spacing w:after="0" w:line="259" w:lineRule="auto"/>
              <w:ind w:left="77" w:firstLine="0"/>
              <w:jc w:val="center"/>
            </w:pPr>
            <w:r>
              <w:rPr>
                <w:sz w:val="14"/>
              </w:rPr>
              <w:t>1,2)</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20</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9</w:t>
            </w:r>
          </w:p>
        </w:tc>
      </w:tr>
      <w:tr w:rsidR="00C3791F">
        <w:trPr>
          <w:trHeight w:val="1782"/>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center"/>
            </w:pPr>
            <w:r>
              <w:rPr>
                <w:sz w:val="14"/>
              </w:rPr>
              <w:t>Ниволумаб** + ипилимумаб**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Сунитиниб**</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24" w:firstLine="0"/>
              <w:jc w:val="center"/>
            </w:pPr>
            <w:r>
              <w:rPr>
                <w:sz w:val="14"/>
              </w:rPr>
              <w:t>CheckMate 214</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center"/>
            </w:pPr>
            <w:r>
              <w:rPr>
                <w:sz w:val="14"/>
              </w:rPr>
              <w:t>Albiges,</w:t>
            </w:r>
            <w:r>
              <w:rPr>
                <w:sz w:val="14"/>
              </w:rPr>
              <w:t xml:space="preserve"> 2020</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1" w:firstLine="0"/>
              <w:jc w:val="center"/>
            </w:pPr>
            <w:r>
              <w:rPr>
                <w:sz w:val="14"/>
              </w:rPr>
              <w:t xml:space="preserve">ОВ, </w:t>
            </w:r>
          </w:p>
          <w:p w:rsidR="00C3791F" w:rsidRDefault="00AE1F83">
            <w:pPr>
              <w:spacing w:after="0" w:line="259" w:lineRule="auto"/>
              <w:ind w:left="70" w:firstLine="0"/>
              <w:jc w:val="center"/>
            </w:pPr>
            <w:r>
              <w:rPr>
                <w:sz w:val="14"/>
              </w:rPr>
              <w:t xml:space="preserve">БПВ, </w:t>
            </w:r>
          </w:p>
          <w:p w:rsidR="00C3791F" w:rsidRDefault="00AE1F83">
            <w:pPr>
              <w:spacing w:after="0" w:line="238" w:lineRule="auto"/>
              <w:ind w:left="94" w:firstLine="0"/>
              <w:jc w:val="center"/>
            </w:pPr>
            <w:r>
              <w:rPr>
                <w:sz w:val="14"/>
              </w:rPr>
              <w:t xml:space="preserve">ЧОО при </w:t>
            </w:r>
          </w:p>
          <w:p w:rsidR="00C3791F" w:rsidRDefault="00AE1F83">
            <w:pPr>
              <w:spacing w:after="0" w:line="238" w:lineRule="auto"/>
              <w:ind w:left="92" w:firstLine="0"/>
              <w:jc w:val="center"/>
            </w:pPr>
            <w:r>
              <w:rPr>
                <w:sz w:val="14"/>
              </w:rPr>
              <w:t xml:space="preserve">плохом и </w:t>
            </w:r>
          </w:p>
          <w:p w:rsidR="00C3791F" w:rsidRDefault="00AE1F83">
            <w:pPr>
              <w:spacing w:after="0" w:line="259" w:lineRule="auto"/>
              <w:ind w:left="119" w:firstLine="0"/>
              <w:jc w:val="left"/>
            </w:pPr>
            <w:r>
              <w:rPr>
                <w:sz w:val="14"/>
              </w:rPr>
              <w:t>промеж</w:t>
            </w:r>
          </w:p>
          <w:p w:rsidR="00C3791F" w:rsidRDefault="00AE1F83">
            <w:pPr>
              <w:spacing w:after="0" w:line="238" w:lineRule="auto"/>
              <w:ind w:left="98" w:right="27" w:firstLine="0"/>
              <w:jc w:val="center"/>
            </w:pPr>
            <w:r>
              <w:rPr>
                <w:sz w:val="14"/>
              </w:rPr>
              <w:t xml:space="preserve">уточно м </w:t>
            </w:r>
          </w:p>
          <w:p w:rsidR="00C3791F" w:rsidRDefault="00AE1F83">
            <w:pPr>
              <w:spacing w:after="0" w:line="259" w:lineRule="auto"/>
              <w:ind w:left="83" w:right="12" w:firstLine="0"/>
              <w:jc w:val="center"/>
            </w:pPr>
            <w:r>
              <w:rPr>
                <w:sz w:val="14"/>
              </w:rPr>
              <w:t>прогноз е IMDC</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1096</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0" w:firstLine="0"/>
              <w:jc w:val="left"/>
            </w:pPr>
            <w:r>
              <w:rPr>
                <w:sz w:val="14"/>
              </w:rPr>
              <w:t>11,2</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8,3</w:t>
            </w:r>
          </w:p>
        </w:tc>
        <w:tc>
          <w:tcPr>
            <w:tcW w:w="65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 xml:space="preserve">0,74 </w:t>
            </w:r>
          </w:p>
          <w:p w:rsidR="00C3791F" w:rsidRDefault="00AE1F83">
            <w:pPr>
              <w:spacing w:after="0" w:line="259" w:lineRule="auto"/>
              <w:ind w:left="68" w:firstLine="0"/>
              <w:jc w:val="center"/>
            </w:pPr>
            <w:r>
              <w:rPr>
                <w:sz w:val="14"/>
              </w:rPr>
              <w:t>(0,62−</w:t>
            </w:r>
          </w:p>
          <w:p w:rsidR="00C3791F" w:rsidRDefault="00AE1F83">
            <w:pPr>
              <w:spacing w:after="0" w:line="259" w:lineRule="auto"/>
              <w:ind w:left="68" w:firstLine="0"/>
              <w:jc w:val="center"/>
            </w:pPr>
            <w:r>
              <w:rPr>
                <w:sz w:val="14"/>
              </w:rPr>
              <w:t>0,88)</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48,1</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26,6</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 xml:space="preserve">0,65 </w:t>
            </w:r>
          </w:p>
          <w:p w:rsidR="00C3791F" w:rsidRDefault="00AE1F83">
            <w:pPr>
              <w:spacing w:after="0" w:line="259" w:lineRule="auto"/>
              <w:ind w:left="77" w:firstLine="0"/>
              <w:jc w:val="center"/>
            </w:pPr>
            <w:r>
              <w:rPr>
                <w:sz w:val="14"/>
              </w:rPr>
              <w:t>(0,54–</w:t>
            </w:r>
          </w:p>
          <w:p w:rsidR="00C3791F" w:rsidRDefault="00AE1F83">
            <w:pPr>
              <w:spacing w:after="0" w:line="259" w:lineRule="auto"/>
              <w:ind w:left="77" w:firstLine="0"/>
              <w:jc w:val="center"/>
            </w:pPr>
            <w:r>
              <w:rPr>
                <w:sz w:val="14"/>
              </w:rPr>
              <w:t>0,78)</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42</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27</w:t>
            </w:r>
          </w:p>
        </w:tc>
      </w:tr>
      <w:tr w:rsidR="00C3791F">
        <w:trPr>
          <w:trHeight w:val="654"/>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26" w:right="13" w:firstLine="0"/>
              <w:jc w:val="center"/>
            </w:pPr>
            <w:r>
              <w:rPr>
                <w:sz w:val="14"/>
              </w:rPr>
              <w:t>Пембролизумаб** + акситиниб**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Сунитиниб**</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21" w:firstLine="0"/>
              <w:jc w:val="left"/>
            </w:pPr>
            <w:r>
              <w:rPr>
                <w:sz w:val="14"/>
              </w:rPr>
              <w:t>KEYNOTE</w:t>
            </w:r>
          </w:p>
          <w:p w:rsidR="00C3791F" w:rsidRDefault="00AE1F83">
            <w:pPr>
              <w:spacing w:after="0" w:line="259" w:lineRule="auto"/>
              <w:ind w:left="78" w:firstLine="0"/>
              <w:jc w:val="center"/>
            </w:pPr>
            <w:r>
              <w:rPr>
                <w:sz w:val="14"/>
              </w:rPr>
              <w:t>-426</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 xml:space="preserve">Rini, </w:t>
            </w:r>
          </w:p>
          <w:p w:rsidR="00C3791F" w:rsidRDefault="00AE1F83">
            <w:pPr>
              <w:spacing w:after="0" w:line="259" w:lineRule="auto"/>
              <w:ind w:left="77" w:firstLine="0"/>
              <w:jc w:val="center"/>
            </w:pPr>
            <w:r>
              <w:rPr>
                <w:sz w:val="14"/>
              </w:rPr>
              <w:t>2021</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 xml:space="preserve">ОВ, </w:t>
            </w:r>
          </w:p>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861</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0" w:firstLine="0"/>
              <w:jc w:val="left"/>
            </w:pPr>
            <w:r>
              <w:rPr>
                <w:sz w:val="14"/>
              </w:rPr>
              <w:t>15,7</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11,1</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0,68 </w:t>
            </w:r>
          </w:p>
          <w:p w:rsidR="00C3791F" w:rsidRDefault="00AE1F83">
            <w:pPr>
              <w:spacing w:after="0" w:line="259" w:lineRule="auto"/>
              <w:ind w:left="68" w:firstLine="0"/>
              <w:jc w:val="center"/>
            </w:pPr>
            <w:r>
              <w:rPr>
                <w:sz w:val="14"/>
              </w:rPr>
              <w:t xml:space="preserve">(0,58- </w:t>
            </w:r>
          </w:p>
          <w:p w:rsidR="00C3791F" w:rsidRDefault="00AE1F83">
            <w:pPr>
              <w:spacing w:after="0" w:line="259" w:lineRule="auto"/>
              <w:ind w:left="68" w:firstLine="0"/>
              <w:jc w:val="center"/>
            </w:pPr>
            <w:r>
              <w:rPr>
                <w:sz w:val="14"/>
              </w:rPr>
              <w:t>0,80)</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8" w:firstLine="0"/>
              <w:jc w:val="center"/>
            </w:pPr>
            <w:r>
              <w:rPr>
                <w:sz w:val="14"/>
              </w:rPr>
              <w:t>42-мес.</w:t>
            </w:r>
            <w:r>
              <w:rPr>
                <w:sz w:val="14"/>
              </w:rPr>
              <w:t xml:space="preserve"> 57,5 %</w:t>
            </w:r>
          </w:p>
        </w:tc>
        <w:tc>
          <w:tcPr>
            <w:tcW w:w="56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86" w:right="8" w:firstLine="0"/>
              <w:jc w:val="center"/>
            </w:pPr>
            <w:r>
              <w:rPr>
                <w:sz w:val="14"/>
              </w:rPr>
              <w:t xml:space="preserve">42мес </w:t>
            </w:r>
          </w:p>
          <w:p w:rsidR="00C3791F" w:rsidRDefault="00AE1F83">
            <w:pPr>
              <w:spacing w:after="0" w:line="259" w:lineRule="auto"/>
              <w:ind w:left="78" w:firstLine="0"/>
              <w:jc w:val="center"/>
            </w:pPr>
            <w:r>
              <w:rPr>
                <w:sz w:val="14"/>
              </w:rPr>
              <w:t>48,5</w:t>
            </w:r>
          </w:p>
          <w:p w:rsidR="00C3791F" w:rsidRDefault="00AE1F83">
            <w:pPr>
              <w:spacing w:after="0" w:line="259" w:lineRule="auto"/>
              <w:ind w:left="227" w:firstLine="0"/>
              <w:jc w:val="left"/>
            </w:pPr>
            <w:r>
              <w:rPr>
                <w:sz w:val="14"/>
              </w:rPr>
              <w:t>%</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0,73 </w:t>
            </w:r>
          </w:p>
          <w:p w:rsidR="00C3791F" w:rsidRDefault="00AE1F83">
            <w:pPr>
              <w:spacing w:after="0" w:line="259" w:lineRule="auto"/>
              <w:ind w:left="77" w:firstLine="0"/>
              <w:jc w:val="center"/>
            </w:pPr>
            <w:r>
              <w:rPr>
                <w:sz w:val="14"/>
              </w:rPr>
              <w:t>(0,60–</w:t>
            </w:r>
          </w:p>
          <w:p w:rsidR="00C3791F" w:rsidRDefault="00AE1F83">
            <w:pPr>
              <w:spacing w:after="0" w:line="259" w:lineRule="auto"/>
              <w:ind w:left="77" w:firstLine="0"/>
              <w:jc w:val="center"/>
            </w:pPr>
            <w:r>
              <w:rPr>
                <w:sz w:val="14"/>
              </w:rPr>
              <w:t>0,88)</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60,4</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39,6</w:t>
            </w:r>
          </w:p>
        </w:tc>
      </w:tr>
      <w:tr w:rsidR="00C3791F">
        <w:trPr>
          <w:trHeight w:val="492"/>
        </w:trPr>
        <w:tc>
          <w:tcPr>
            <w:tcW w:w="142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sz w:val="14"/>
              </w:rPr>
              <w:t>Авелумаб** + акситиниб**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Сунитиниб**</w:t>
            </w:r>
          </w:p>
        </w:tc>
        <w:tc>
          <w:tcPr>
            <w:tcW w:w="898" w:type="dxa"/>
            <w:tcBorders>
              <w:top w:val="single" w:sz="4" w:space="0" w:color="000000"/>
              <w:left w:val="single" w:sz="4" w:space="0" w:color="000000"/>
              <w:bottom w:val="single" w:sz="4" w:space="0" w:color="000000"/>
              <w:right w:val="single" w:sz="4" w:space="0" w:color="000000"/>
            </w:tcBorders>
          </w:tcPr>
          <w:tbl>
            <w:tblPr>
              <w:tblStyle w:val="TableGrid"/>
              <w:tblpPr w:vertAnchor="text" w:tblpX="164" w:tblpY="95"/>
              <w:tblOverlap w:val="never"/>
              <w:tblW w:w="571" w:type="dxa"/>
              <w:tblInd w:w="0" w:type="dxa"/>
              <w:tblCellMar>
                <w:top w:w="66" w:type="dxa"/>
                <w:left w:w="1" w:type="dxa"/>
                <w:bottom w:w="0" w:type="dxa"/>
                <w:right w:w="0" w:type="dxa"/>
              </w:tblCellMar>
              <w:tblLook w:val="04A0" w:firstRow="1" w:lastRow="0" w:firstColumn="1" w:lastColumn="0" w:noHBand="0" w:noVBand="1"/>
            </w:tblPr>
            <w:tblGrid>
              <w:gridCol w:w="571"/>
            </w:tblGrid>
            <w:tr w:rsidR="00C3791F">
              <w:trPr>
                <w:trHeight w:val="221"/>
              </w:trPr>
              <w:tc>
                <w:tcPr>
                  <w:tcW w:w="571" w:type="dxa"/>
                  <w:tcBorders>
                    <w:top w:val="single" w:sz="64" w:space="0" w:color="F7F7F7"/>
                    <w:left w:val="nil"/>
                    <w:bottom w:val="nil"/>
                    <w:right w:val="nil"/>
                  </w:tcBorders>
                  <w:shd w:val="clear" w:color="auto" w:fill="F7F7F7"/>
                </w:tcPr>
                <w:p w:rsidR="00C3791F" w:rsidRDefault="00AE1F83">
                  <w:pPr>
                    <w:spacing w:after="0" w:line="259" w:lineRule="auto"/>
                    <w:ind w:left="0" w:right="-1" w:firstLine="0"/>
                  </w:pPr>
                  <w:r>
                    <w:rPr>
                      <w:sz w:val="14"/>
                    </w:rPr>
                    <w:t>Renal 101</w:t>
                  </w:r>
                </w:p>
              </w:tc>
            </w:tr>
          </w:tbl>
          <w:p w:rsidR="00C3791F" w:rsidRDefault="00AE1F83">
            <w:pPr>
              <w:spacing w:after="0" w:line="259" w:lineRule="auto"/>
              <w:ind w:left="78" w:firstLine="0"/>
              <w:jc w:val="center"/>
            </w:pPr>
            <w:r>
              <w:rPr>
                <w:sz w:val="14"/>
              </w:rPr>
              <w:t xml:space="preserve">JAVELIN </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217" w:hanging="79"/>
              <w:jc w:val="left"/>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column">
                        <wp:posOffset>86360</wp:posOffset>
                      </wp:positionH>
                      <wp:positionV relativeFrom="paragraph">
                        <wp:posOffset>-3329</wp:posOffset>
                      </wp:positionV>
                      <wp:extent cx="278765" cy="203835"/>
                      <wp:effectExtent l="0" t="0" r="0" b="0"/>
                      <wp:wrapNone/>
                      <wp:docPr id="125351" name="Group 125351"/>
                      <wp:cNvGraphicFramePr/>
                      <a:graphic xmlns:a="http://schemas.openxmlformats.org/drawingml/2006/main">
                        <a:graphicData uri="http://schemas.microsoft.com/office/word/2010/wordprocessingGroup">
                          <wpg:wgp>
                            <wpg:cNvGrpSpPr/>
                            <wpg:grpSpPr>
                              <a:xfrm>
                                <a:off x="0" y="0"/>
                                <a:ext cx="278765" cy="203835"/>
                                <a:chOff x="0" y="0"/>
                                <a:chExt cx="278765" cy="203835"/>
                              </a:xfrm>
                            </wpg:grpSpPr>
                            <wps:wsp>
                              <wps:cNvPr id="130650" name="Shape 130650"/>
                              <wps:cNvSpPr/>
                              <wps:spPr>
                                <a:xfrm>
                                  <a:off x="0" y="0"/>
                                  <a:ext cx="278765" cy="100965"/>
                                </a:xfrm>
                                <a:custGeom>
                                  <a:avLst/>
                                  <a:gdLst/>
                                  <a:ahLst/>
                                  <a:cxnLst/>
                                  <a:rect l="0" t="0" r="0" b="0"/>
                                  <a:pathLst>
                                    <a:path w="278765" h="100965">
                                      <a:moveTo>
                                        <a:pt x="0" y="0"/>
                                      </a:moveTo>
                                      <a:lnTo>
                                        <a:pt x="278765" y="0"/>
                                      </a:lnTo>
                                      <a:lnTo>
                                        <a:pt x="278765" y="100965"/>
                                      </a:lnTo>
                                      <a:lnTo>
                                        <a:pt x="0" y="100965"/>
                                      </a:lnTo>
                                      <a:lnTo>
                                        <a:pt x="0" y="0"/>
                                      </a:lnTo>
                                    </a:path>
                                  </a:pathLst>
                                </a:custGeom>
                                <a:ln w="0" cap="flat">
                                  <a:miter lim="127000"/>
                                </a:ln>
                              </wps:spPr>
                              <wps:style>
                                <a:lnRef idx="0">
                                  <a:srgbClr val="000000">
                                    <a:alpha val="0"/>
                                  </a:srgbClr>
                                </a:lnRef>
                                <a:fillRef idx="1">
                                  <a:srgbClr val="F7F7F7"/>
                                </a:fillRef>
                                <a:effectRef idx="0">
                                  <a:scrgbClr r="0" g="0" b="0"/>
                                </a:effectRef>
                                <a:fontRef idx="none"/>
                              </wps:style>
                              <wps:bodyPr/>
                            </wps:wsp>
                            <wps:wsp>
                              <wps:cNvPr id="130651" name="Shape 130651"/>
                              <wps:cNvSpPr/>
                              <wps:spPr>
                                <a:xfrm>
                                  <a:off x="50800" y="101600"/>
                                  <a:ext cx="177165" cy="102235"/>
                                </a:xfrm>
                                <a:custGeom>
                                  <a:avLst/>
                                  <a:gdLst/>
                                  <a:ahLst/>
                                  <a:cxnLst/>
                                  <a:rect l="0" t="0" r="0" b="0"/>
                                  <a:pathLst>
                                    <a:path w="177165" h="102235">
                                      <a:moveTo>
                                        <a:pt x="0" y="0"/>
                                      </a:moveTo>
                                      <a:lnTo>
                                        <a:pt x="177165" y="0"/>
                                      </a:lnTo>
                                      <a:lnTo>
                                        <a:pt x="177165" y="102235"/>
                                      </a:lnTo>
                                      <a:lnTo>
                                        <a:pt x="0" y="102235"/>
                                      </a:lnTo>
                                      <a:lnTo>
                                        <a:pt x="0" y="0"/>
                                      </a:lnTo>
                                    </a:path>
                                  </a:pathLst>
                                </a:custGeom>
                                <a:ln w="0" cap="flat">
                                  <a:miter lim="127000"/>
                                </a:ln>
                              </wps:spPr>
                              <wps:style>
                                <a:lnRef idx="0">
                                  <a:srgbClr val="000000">
                                    <a:alpha val="0"/>
                                  </a:srgbClr>
                                </a:lnRef>
                                <a:fillRef idx="1">
                                  <a:srgbClr val="F7F7F7"/>
                                </a:fillRef>
                                <a:effectRef idx="0">
                                  <a:scrgbClr r="0" g="0" b="0"/>
                                </a:effectRef>
                                <a:fontRef idx="none"/>
                              </wps:style>
                              <wps:bodyPr/>
                            </wps:wsp>
                          </wpg:wgp>
                        </a:graphicData>
                      </a:graphic>
                    </wp:anchor>
                  </w:drawing>
                </mc:Choice>
                <mc:Fallback xmlns:a="http://schemas.openxmlformats.org/drawingml/2006/main">
                  <w:pict>
                    <v:group id="Group 125351" style="width:21.95pt;height:16.05pt;position:absolute;z-index:-2147483405;mso-position-horizontal-relative:text;mso-position-horizontal:absolute;margin-left:6.8pt;mso-position-vertical-relative:text;margin-top:-0.262207pt;" coordsize="2787,2038">
                      <v:shape id="Shape 130652" style="position:absolute;width:2787;height:1009;left:0;top:0;" coordsize="278765,100965" path="m0,0l278765,0l278765,100965l0,100965l0,0">
                        <v:stroke weight="0pt" endcap="flat" joinstyle="miter" miterlimit="10" on="false" color="#000000" opacity="0"/>
                        <v:fill on="true" color="#f7f7f7"/>
                      </v:shape>
                      <v:shape id="Shape 130653" style="position:absolute;width:1771;height:1022;left:508;top:1016;" coordsize="177165,102235" path="m0,0l177165,0l177165,102235l0,102235l0,0">
                        <v:stroke weight="0pt" endcap="flat" joinstyle="miter" miterlimit="10" on="false" color="#000000" opacity="0"/>
                        <v:fill on="true" color="#f7f7f7"/>
                      </v:shape>
                    </v:group>
                  </w:pict>
                </mc:Fallback>
              </mc:AlternateContent>
            </w:r>
            <w:r>
              <w:rPr>
                <w:sz w:val="14"/>
              </w:rPr>
              <w:t xml:space="preserve"> Motzer 2024</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0" w:firstLine="0"/>
              <w:jc w:val="center"/>
            </w:pPr>
            <w:r>
              <w:rPr>
                <w:sz w:val="14"/>
              </w:rPr>
              <w:t xml:space="preserve">БПВ, </w:t>
            </w:r>
          </w:p>
          <w:p w:rsidR="00C3791F" w:rsidRDefault="00AE1F83">
            <w:pPr>
              <w:spacing w:after="0" w:line="259" w:lineRule="auto"/>
              <w:ind w:left="126" w:firstLine="0"/>
              <w:jc w:val="left"/>
            </w:pPr>
            <w:r>
              <w:rPr>
                <w:sz w:val="14"/>
              </w:rPr>
              <w:t xml:space="preserve">ОВ при </w:t>
            </w:r>
          </w:p>
          <w:p w:rsidR="00C3791F" w:rsidRDefault="00AE1F83">
            <w:pPr>
              <w:spacing w:after="0" w:line="259" w:lineRule="auto"/>
              <w:ind w:left="120" w:firstLine="0"/>
              <w:jc w:val="left"/>
            </w:pPr>
            <w:r>
              <w:rPr>
                <w:sz w:val="14"/>
              </w:rPr>
              <w:t>PD-L1+</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886</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0" w:firstLine="0"/>
              <w:jc w:val="left"/>
            </w:pPr>
            <w:r>
              <w:rPr>
                <w:sz w:val="14"/>
              </w:rPr>
              <w:t>13,9</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8,5</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0,66 </w:t>
            </w:r>
          </w:p>
          <w:p w:rsidR="00C3791F" w:rsidRDefault="00AE1F83">
            <w:pPr>
              <w:spacing w:after="0" w:line="259" w:lineRule="auto"/>
              <w:ind w:left="68" w:firstLine="0"/>
              <w:jc w:val="center"/>
            </w:pPr>
            <w:r>
              <w:rPr>
                <w:sz w:val="14"/>
              </w:rPr>
              <w:t>(0,56-</w:t>
            </w:r>
          </w:p>
          <w:p w:rsidR="00C3791F" w:rsidRDefault="00AE1F83">
            <w:pPr>
              <w:spacing w:after="0" w:line="259" w:lineRule="auto"/>
              <w:ind w:left="68" w:firstLine="0"/>
              <w:jc w:val="center"/>
            </w:pPr>
            <w:r>
              <w:rPr>
                <w:sz w:val="14"/>
              </w:rPr>
              <w:t>0,77)</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44,8</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38,9</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0,88 </w:t>
            </w:r>
          </w:p>
          <w:p w:rsidR="00C3791F" w:rsidRDefault="00AE1F83">
            <w:pPr>
              <w:spacing w:after="0" w:line="259" w:lineRule="auto"/>
              <w:ind w:left="77" w:firstLine="0"/>
              <w:jc w:val="center"/>
            </w:pPr>
            <w:r>
              <w:rPr>
                <w:sz w:val="14"/>
              </w:rPr>
              <w:t>(0,75-</w:t>
            </w:r>
          </w:p>
          <w:p w:rsidR="00C3791F" w:rsidRDefault="00AE1F83">
            <w:pPr>
              <w:spacing w:after="0" w:line="259" w:lineRule="auto"/>
              <w:ind w:left="77" w:firstLine="0"/>
              <w:jc w:val="center"/>
            </w:pPr>
            <w:r>
              <w:rPr>
                <w:sz w:val="14"/>
              </w:rPr>
              <w:t>1,04)</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59,7</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32,0</w:t>
            </w:r>
          </w:p>
        </w:tc>
      </w:tr>
      <w:tr w:rsidR="00C3791F">
        <w:trPr>
          <w:trHeight w:val="654"/>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26" w:right="13" w:firstLine="0"/>
              <w:jc w:val="center"/>
            </w:pPr>
            <w:r>
              <w:rPr>
                <w:sz w:val="14"/>
              </w:rPr>
              <w:t>Пембролизумаб** + ленватиниб**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Сунитиниб**</w:t>
            </w:r>
          </w:p>
        </w:tc>
        <w:tc>
          <w:tcPr>
            <w:tcW w:w="8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21" w:firstLine="0"/>
              <w:jc w:val="left"/>
            </w:pPr>
            <w:r>
              <w:rPr>
                <w:sz w:val="14"/>
              </w:rPr>
              <w:t>KEYNOTE</w:t>
            </w:r>
          </w:p>
          <w:p w:rsidR="00C3791F" w:rsidRDefault="00AE1F83">
            <w:pPr>
              <w:spacing w:after="0" w:line="259" w:lineRule="auto"/>
              <w:ind w:left="76" w:firstLine="0"/>
              <w:jc w:val="center"/>
            </w:pPr>
            <w:r>
              <w:rPr>
                <w:sz w:val="14"/>
              </w:rPr>
              <w:t>-581/</w:t>
            </w:r>
          </w:p>
          <w:p w:rsidR="00C3791F" w:rsidRDefault="00AE1F83">
            <w:pPr>
              <w:spacing w:after="0" w:line="259" w:lineRule="auto"/>
              <w:ind w:left="77" w:firstLine="0"/>
              <w:jc w:val="center"/>
            </w:pPr>
            <w:r>
              <w:rPr>
                <w:sz w:val="14"/>
              </w:rPr>
              <w:t>CLEAR</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center"/>
            </w:pPr>
            <w:r>
              <w:rPr>
                <w:sz w:val="14"/>
              </w:rPr>
              <w:t>Motzer, 2021</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1069</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0" w:firstLine="0"/>
              <w:jc w:val="left"/>
            </w:pPr>
            <w:r>
              <w:rPr>
                <w:sz w:val="14"/>
              </w:rPr>
              <w:t>23,9</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9,2</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0,39 </w:t>
            </w:r>
          </w:p>
          <w:p w:rsidR="00C3791F" w:rsidRDefault="00AE1F83">
            <w:pPr>
              <w:spacing w:after="0" w:line="259" w:lineRule="auto"/>
              <w:ind w:left="68" w:firstLine="0"/>
              <w:jc w:val="center"/>
            </w:pPr>
            <w:r>
              <w:rPr>
                <w:sz w:val="14"/>
              </w:rPr>
              <w:t>(0,32–</w:t>
            </w:r>
          </w:p>
          <w:p w:rsidR="00C3791F" w:rsidRDefault="00AE1F83">
            <w:pPr>
              <w:spacing w:after="0" w:line="259" w:lineRule="auto"/>
              <w:ind w:left="68" w:firstLine="0"/>
              <w:jc w:val="center"/>
            </w:pPr>
            <w:r>
              <w:rPr>
                <w:sz w:val="14"/>
              </w:rPr>
              <w:t>0,49)</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center"/>
            </w:pPr>
            <w:r>
              <w:rPr>
                <w:sz w:val="14"/>
              </w:rPr>
              <w:t>24-мес. 79,2%</w:t>
            </w:r>
          </w:p>
        </w:tc>
        <w:tc>
          <w:tcPr>
            <w:tcW w:w="56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68" w:firstLine="0"/>
              <w:jc w:val="center"/>
            </w:pPr>
            <w:r>
              <w:rPr>
                <w:sz w:val="14"/>
              </w:rPr>
              <w:t xml:space="preserve">24мес. </w:t>
            </w:r>
          </w:p>
          <w:p w:rsidR="00C3791F" w:rsidRDefault="00AE1F83">
            <w:pPr>
              <w:spacing w:after="0" w:line="259" w:lineRule="auto"/>
              <w:ind w:left="78" w:firstLine="0"/>
              <w:jc w:val="center"/>
            </w:pPr>
            <w:r>
              <w:rPr>
                <w:sz w:val="14"/>
              </w:rPr>
              <w:t>70,4</w:t>
            </w:r>
          </w:p>
          <w:p w:rsidR="00C3791F" w:rsidRDefault="00AE1F83">
            <w:pPr>
              <w:spacing w:after="0" w:line="259" w:lineRule="auto"/>
              <w:ind w:left="227" w:firstLine="0"/>
              <w:jc w:val="left"/>
            </w:pPr>
            <w:r>
              <w:rPr>
                <w:sz w:val="14"/>
              </w:rPr>
              <w:t>%</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0,66 </w:t>
            </w:r>
          </w:p>
          <w:p w:rsidR="00C3791F" w:rsidRDefault="00AE1F83">
            <w:pPr>
              <w:spacing w:after="0" w:line="259" w:lineRule="auto"/>
              <w:ind w:left="77" w:firstLine="0"/>
              <w:jc w:val="center"/>
            </w:pPr>
            <w:r>
              <w:rPr>
                <w:sz w:val="14"/>
              </w:rPr>
              <w:t>(0,49–</w:t>
            </w:r>
          </w:p>
          <w:p w:rsidR="00C3791F" w:rsidRDefault="00AE1F83">
            <w:pPr>
              <w:spacing w:after="0" w:line="259" w:lineRule="auto"/>
              <w:ind w:left="77" w:firstLine="0"/>
              <w:jc w:val="center"/>
            </w:pPr>
            <w:r>
              <w:rPr>
                <w:sz w:val="14"/>
              </w:rPr>
              <w:t>0,88)</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71,0</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36,1</w:t>
            </w:r>
          </w:p>
        </w:tc>
      </w:tr>
      <w:tr w:rsidR="00C3791F">
        <w:trPr>
          <w:trHeight w:val="654"/>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center"/>
            </w:pPr>
            <w:r>
              <w:rPr>
                <w:sz w:val="14"/>
              </w:rPr>
              <w:t>Ниволумаб** + кабозантиниб**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Сунитиниб**</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5" w:firstLine="0"/>
              <w:jc w:val="center"/>
            </w:pPr>
            <w:r>
              <w:rPr>
                <w:sz w:val="14"/>
              </w:rPr>
              <w:t>CheckMate 9ER</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95" w:right="18" w:firstLine="0"/>
              <w:jc w:val="center"/>
            </w:pPr>
            <w:r>
              <w:rPr>
                <w:sz w:val="14"/>
              </w:rPr>
              <w:t>Choueiri , 2021</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651</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0" w:firstLine="0"/>
              <w:jc w:val="left"/>
            </w:pPr>
            <w:r>
              <w:rPr>
                <w:sz w:val="14"/>
              </w:rPr>
              <w:t>16,6</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8,3</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0,51 </w:t>
            </w:r>
          </w:p>
          <w:p w:rsidR="00C3791F" w:rsidRDefault="00AE1F83">
            <w:pPr>
              <w:spacing w:after="0" w:line="259" w:lineRule="auto"/>
              <w:ind w:left="68" w:firstLine="0"/>
              <w:jc w:val="center"/>
            </w:pPr>
            <w:r>
              <w:rPr>
                <w:sz w:val="14"/>
              </w:rPr>
              <w:t>(0,41–</w:t>
            </w:r>
          </w:p>
          <w:p w:rsidR="00C3791F" w:rsidRDefault="00AE1F83">
            <w:pPr>
              <w:spacing w:after="0" w:line="259" w:lineRule="auto"/>
              <w:ind w:left="68" w:firstLine="0"/>
              <w:jc w:val="center"/>
            </w:pPr>
            <w:r>
              <w:rPr>
                <w:sz w:val="14"/>
              </w:rPr>
              <w:t>0,64)</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center"/>
            </w:pPr>
            <w:r>
              <w:rPr>
                <w:sz w:val="14"/>
              </w:rPr>
              <w:t>12-мес. 85,7%</w:t>
            </w:r>
          </w:p>
        </w:tc>
        <w:tc>
          <w:tcPr>
            <w:tcW w:w="56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68" w:firstLine="0"/>
              <w:jc w:val="center"/>
            </w:pPr>
            <w:r>
              <w:rPr>
                <w:sz w:val="14"/>
              </w:rPr>
              <w:t xml:space="preserve">12мес. </w:t>
            </w:r>
          </w:p>
          <w:p w:rsidR="00C3791F" w:rsidRDefault="00AE1F83">
            <w:pPr>
              <w:spacing w:after="0" w:line="259" w:lineRule="auto"/>
              <w:ind w:left="78" w:firstLine="0"/>
              <w:jc w:val="center"/>
            </w:pPr>
            <w:r>
              <w:rPr>
                <w:sz w:val="14"/>
              </w:rPr>
              <w:t>75,6</w:t>
            </w:r>
          </w:p>
          <w:p w:rsidR="00C3791F" w:rsidRDefault="00AE1F83">
            <w:pPr>
              <w:spacing w:after="0" w:line="259" w:lineRule="auto"/>
              <w:ind w:left="227" w:firstLine="0"/>
              <w:jc w:val="left"/>
            </w:pPr>
            <w:r>
              <w:rPr>
                <w:sz w:val="14"/>
              </w:rPr>
              <w:t>%</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0,60 </w:t>
            </w:r>
          </w:p>
          <w:p w:rsidR="00C3791F" w:rsidRDefault="00AE1F83">
            <w:pPr>
              <w:spacing w:after="0" w:line="259" w:lineRule="auto"/>
              <w:ind w:left="77" w:firstLine="0"/>
              <w:jc w:val="center"/>
            </w:pPr>
            <w:r>
              <w:rPr>
                <w:sz w:val="14"/>
              </w:rPr>
              <w:t>(0,40–</w:t>
            </w:r>
          </w:p>
          <w:p w:rsidR="00C3791F" w:rsidRDefault="00AE1F83">
            <w:pPr>
              <w:spacing w:after="0" w:line="259" w:lineRule="auto"/>
              <w:ind w:left="77" w:firstLine="0"/>
              <w:jc w:val="center"/>
            </w:pPr>
            <w:r>
              <w:rPr>
                <w:sz w:val="14"/>
              </w:rPr>
              <w:t>0,89)</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55,7</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27,1</w:t>
            </w:r>
          </w:p>
        </w:tc>
      </w:tr>
      <w:tr w:rsidR="00C3791F">
        <w:trPr>
          <w:trHeight w:val="172"/>
        </w:trPr>
        <w:tc>
          <w:tcPr>
            <w:tcW w:w="5672" w:type="dxa"/>
            <w:gridSpan w:val="7"/>
            <w:tcBorders>
              <w:top w:val="single" w:sz="4" w:space="0" w:color="000000"/>
              <w:left w:val="single" w:sz="4" w:space="0" w:color="000000"/>
              <w:bottom w:val="single" w:sz="4" w:space="0" w:color="000000"/>
              <w:right w:val="nil"/>
            </w:tcBorders>
          </w:tcPr>
          <w:p w:rsidR="00C3791F" w:rsidRDefault="00AE1F83">
            <w:pPr>
              <w:spacing w:after="0" w:line="259" w:lineRule="auto"/>
              <w:ind w:left="0" w:right="40" w:firstLine="0"/>
              <w:jc w:val="right"/>
            </w:pPr>
            <w:r>
              <w:rPr>
                <w:b/>
                <w:sz w:val="14"/>
              </w:rPr>
              <w:t>2-я линия</w:t>
            </w:r>
          </w:p>
        </w:tc>
        <w:tc>
          <w:tcPr>
            <w:tcW w:w="4246" w:type="dxa"/>
            <w:gridSpan w:val="7"/>
            <w:tcBorders>
              <w:top w:val="single" w:sz="4" w:space="0" w:color="000000"/>
              <w:left w:val="nil"/>
              <w:bottom w:val="single" w:sz="4" w:space="0" w:color="000000"/>
              <w:right w:val="nil"/>
            </w:tcBorders>
          </w:tcPr>
          <w:p w:rsidR="00C3791F" w:rsidRDefault="00C3791F">
            <w:pPr>
              <w:spacing w:after="160" w:line="259" w:lineRule="auto"/>
              <w:ind w:left="0" w:firstLine="0"/>
              <w:jc w:val="left"/>
            </w:pPr>
          </w:p>
        </w:tc>
        <w:tc>
          <w:tcPr>
            <w:tcW w:w="574" w:type="dxa"/>
            <w:tcBorders>
              <w:top w:val="single" w:sz="4" w:space="0" w:color="000000"/>
              <w:left w:val="nil"/>
              <w:bottom w:val="single" w:sz="4" w:space="0" w:color="000000"/>
              <w:right w:val="single" w:sz="4" w:space="0" w:color="000000"/>
            </w:tcBorders>
          </w:tcPr>
          <w:p w:rsidR="00C3791F" w:rsidRDefault="00C3791F">
            <w:pPr>
              <w:spacing w:after="160" w:line="259" w:lineRule="auto"/>
              <w:ind w:left="0" w:firstLine="0"/>
              <w:jc w:val="left"/>
            </w:pPr>
          </w:p>
        </w:tc>
      </w:tr>
      <w:tr w:rsidR="00C3791F">
        <w:trPr>
          <w:trHeight w:val="492"/>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Эверолимус**</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Плацебо</w:t>
            </w:r>
          </w:p>
        </w:tc>
        <w:tc>
          <w:tcPr>
            <w:tcW w:w="8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44" w:firstLine="0"/>
              <w:jc w:val="left"/>
            </w:pPr>
            <w:r>
              <w:rPr>
                <w:sz w:val="14"/>
              </w:rPr>
              <w:t>RECORD-</w:t>
            </w:r>
          </w:p>
          <w:p w:rsidR="00C3791F" w:rsidRDefault="00AE1F83">
            <w:pPr>
              <w:spacing w:after="0" w:line="259" w:lineRule="auto"/>
              <w:ind w:left="77" w:firstLine="0"/>
              <w:jc w:val="center"/>
            </w:pPr>
            <w:r>
              <w:rPr>
                <w:sz w:val="14"/>
              </w:rPr>
              <w:t>1</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7" w:firstLine="0"/>
              <w:jc w:val="center"/>
            </w:pPr>
            <w:r>
              <w:rPr>
                <w:sz w:val="14"/>
              </w:rPr>
              <w:t xml:space="preserve">Motzer </w:t>
            </w:r>
          </w:p>
          <w:p w:rsidR="00C3791F" w:rsidRDefault="00AE1F83">
            <w:pPr>
              <w:spacing w:after="0" w:line="259" w:lineRule="auto"/>
              <w:ind w:left="78" w:firstLine="0"/>
              <w:jc w:val="center"/>
            </w:pPr>
            <w:r>
              <w:rPr>
                <w:sz w:val="14"/>
              </w:rPr>
              <w:t xml:space="preserve">2008, </w:t>
            </w:r>
          </w:p>
          <w:p w:rsidR="00C3791F" w:rsidRDefault="00AE1F83">
            <w:pPr>
              <w:spacing w:after="0" w:line="259" w:lineRule="auto"/>
              <w:ind w:left="77" w:firstLine="0"/>
              <w:jc w:val="center"/>
            </w:pPr>
            <w:r>
              <w:rPr>
                <w:sz w:val="14"/>
              </w:rPr>
              <w:t>2010</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410</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35" w:firstLine="0"/>
              <w:jc w:val="left"/>
            </w:pPr>
            <w:r>
              <w:rPr>
                <w:sz w:val="14"/>
              </w:rPr>
              <w:t>4,9</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1,9</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0,33 </w:t>
            </w:r>
          </w:p>
          <w:p w:rsidR="00C3791F" w:rsidRDefault="00AE1F83">
            <w:pPr>
              <w:spacing w:after="0" w:line="259" w:lineRule="auto"/>
              <w:ind w:left="68" w:firstLine="0"/>
              <w:jc w:val="center"/>
            </w:pPr>
            <w:r>
              <w:rPr>
                <w:sz w:val="14"/>
              </w:rPr>
              <w:t>(0,25–</w:t>
            </w:r>
          </w:p>
          <w:p w:rsidR="00C3791F" w:rsidRDefault="00AE1F83">
            <w:pPr>
              <w:spacing w:after="0" w:line="259" w:lineRule="auto"/>
              <w:ind w:left="68" w:firstLine="0"/>
              <w:jc w:val="center"/>
            </w:pPr>
            <w:r>
              <w:rPr>
                <w:sz w:val="14"/>
              </w:rPr>
              <w:t>0,43)</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14,8</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14,4</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0,87 </w:t>
            </w:r>
          </w:p>
          <w:p w:rsidR="00C3791F" w:rsidRDefault="00AE1F83">
            <w:pPr>
              <w:spacing w:after="0" w:line="259" w:lineRule="auto"/>
              <w:ind w:left="77" w:firstLine="0"/>
              <w:jc w:val="center"/>
            </w:pPr>
            <w:r>
              <w:rPr>
                <w:sz w:val="14"/>
              </w:rPr>
              <w:t>(0,65–</w:t>
            </w:r>
          </w:p>
          <w:p w:rsidR="00C3791F" w:rsidRDefault="00AE1F83">
            <w:pPr>
              <w:spacing w:after="0" w:line="259" w:lineRule="auto"/>
              <w:ind w:left="77" w:firstLine="0"/>
              <w:jc w:val="center"/>
            </w:pPr>
            <w:r>
              <w:rPr>
                <w:sz w:val="14"/>
              </w:rPr>
              <w:t>1,17)</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1,8</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0</w:t>
            </w:r>
          </w:p>
        </w:tc>
      </w:tr>
      <w:tr w:rsidR="00C3791F">
        <w:trPr>
          <w:trHeight w:val="494"/>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Сорафениб**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Плацебо</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75" w:firstLine="0"/>
              <w:jc w:val="left"/>
            </w:pPr>
            <w:r>
              <w:rPr>
                <w:sz w:val="14"/>
              </w:rPr>
              <w:t>TARGET</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12" w:firstLine="0"/>
              <w:jc w:val="left"/>
            </w:pPr>
            <w:r>
              <w:rPr>
                <w:sz w:val="14"/>
              </w:rPr>
              <w:t xml:space="preserve">Escudier </w:t>
            </w:r>
          </w:p>
          <w:p w:rsidR="00C3791F" w:rsidRDefault="00AE1F83">
            <w:pPr>
              <w:spacing w:after="0" w:line="259" w:lineRule="auto"/>
              <w:ind w:left="78" w:firstLine="0"/>
              <w:jc w:val="center"/>
            </w:pPr>
            <w:r>
              <w:rPr>
                <w:sz w:val="14"/>
              </w:rPr>
              <w:t xml:space="preserve">2007, </w:t>
            </w:r>
          </w:p>
          <w:p w:rsidR="00C3791F" w:rsidRDefault="00AE1F83">
            <w:pPr>
              <w:spacing w:after="0" w:line="259" w:lineRule="auto"/>
              <w:ind w:left="77" w:firstLine="0"/>
              <w:jc w:val="center"/>
            </w:pPr>
            <w:r>
              <w:rPr>
                <w:sz w:val="14"/>
              </w:rPr>
              <w:t>2009</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ОВ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903</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35" w:firstLine="0"/>
              <w:jc w:val="left"/>
            </w:pPr>
            <w:r>
              <w:rPr>
                <w:sz w:val="14"/>
              </w:rPr>
              <w:t>5,5</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2,8</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0,44 </w:t>
            </w:r>
          </w:p>
          <w:p w:rsidR="00C3791F" w:rsidRDefault="00AE1F83">
            <w:pPr>
              <w:spacing w:after="0" w:line="259" w:lineRule="auto"/>
              <w:ind w:left="68" w:firstLine="0"/>
              <w:jc w:val="center"/>
            </w:pPr>
            <w:r>
              <w:rPr>
                <w:sz w:val="14"/>
              </w:rPr>
              <w:t>(0,35–</w:t>
            </w:r>
          </w:p>
          <w:p w:rsidR="00C3791F" w:rsidRDefault="00AE1F83">
            <w:pPr>
              <w:spacing w:after="0" w:line="259" w:lineRule="auto"/>
              <w:ind w:left="68" w:firstLine="0"/>
              <w:jc w:val="center"/>
            </w:pPr>
            <w:r>
              <w:rPr>
                <w:sz w:val="14"/>
              </w:rPr>
              <w:t>0,55)</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17,8</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15,2</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0,88 </w:t>
            </w:r>
          </w:p>
          <w:p w:rsidR="00C3791F" w:rsidRDefault="00AE1F83">
            <w:pPr>
              <w:spacing w:after="0" w:line="259" w:lineRule="auto"/>
              <w:ind w:left="77" w:firstLine="0"/>
              <w:jc w:val="center"/>
            </w:pPr>
            <w:r>
              <w:rPr>
                <w:sz w:val="14"/>
              </w:rPr>
              <w:t>(0,74–</w:t>
            </w:r>
          </w:p>
          <w:p w:rsidR="00C3791F" w:rsidRDefault="00AE1F83">
            <w:pPr>
              <w:spacing w:after="0" w:line="259" w:lineRule="auto"/>
              <w:ind w:left="77" w:firstLine="0"/>
              <w:jc w:val="center"/>
            </w:pPr>
            <w:r>
              <w:rPr>
                <w:sz w:val="14"/>
              </w:rPr>
              <w:t>1,04)</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2</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0</w:t>
            </w:r>
          </w:p>
        </w:tc>
      </w:tr>
      <w:tr w:rsidR="00C3791F">
        <w:trPr>
          <w:trHeight w:val="492"/>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Акситиниб**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Сорафениб**</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AXIS</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97" w:firstLine="0"/>
              <w:jc w:val="center"/>
            </w:pPr>
            <w:r>
              <w:rPr>
                <w:sz w:val="14"/>
              </w:rPr>
              <w:t>Rini 2011</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723</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35" w:firstLine="0"/>
              <w:jc w:val="left"/>
            </w:pPr>
            <w:r>
              <w:rPr>
                <w:sz w:val="14"/>
              </w:rPr>
              <w:t>6,7</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4,7</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0,66 </w:t>
            </w:r>
          </w:p>
          <w:p w:rsidR="00C3791F" w:rsidRDefault="00AE1F83">
            <w:pPr>
              <w:spacing w:after="0" w:line="259" w:lineRule="auto"/>
              <w:ind w:left="68" w:firstLine="0"/>
              <w:jc w:val="center"/>
            </w:pPr>
            <w:r>
              <w:rPr>
                <w:sz w:val="14"/>
              </w:rPr>
              <w:t>(0,55–</w:t>
            </w:r>
          </w:p>
          <w:p w:rsidR="00C3791F" w:rsidRDefault="00AE1F83">
            <w:pPr>
              <w:spacing w:after="0" w:line="259" w:lineRule="auto"/>
              <w:ind w:left="68" w:firstLine="0"/>
              <w:jc w:val="center"/>
            </w:pPr>
            <w:r>
              <w:rPr>
                <w:sz w:val="14"/>
              </w:rPr>
              <w:t>0,81)</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20,1</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19,2</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0,97 </w:t>
            </w:r>
          </w:p>
          <w:p w:rsidR="00C3791F" w:rsidRDefault="00AE1F83">
            <w:pPr>
              <w:spacing w:after="0" w:line="259" w:lineRule="auto"/>
              <w:ind w:left="77" w:firstLine="0"/>
              <w:jc w:val="center"/>
            </w:pPr>
            <w:r>
              <w:rPr>
                <w:sz w:val="14"/>
              </w:rPr>
              <w:t>(0,80–</w:t>
            </w:r>
          </w:p>
          <w:p w:rsidR="00C3791F" w:rsidRDefault="00AE1F83">
            <w:pPr>
              <w:spacing w:after="0" w:line="259" w:lineRule="auto"/>
              <w:ind w:left="77" w:firstLine="0"/>
              <w:jc w:val="center"/>
            </w:pPr>
            <w:r>
              <w:rPr>
                <w:sz w:val="14"/>
              </w:rPr>
              <w:t>1,17)</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19</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9</w:t>
            </w:r>
          </w:p>
        </w:tc>
      </w:tr>
      <w:tr w:rsidR="00C3791F">
        <w:trPr>
          <w:trHeight w:val="494"/>
        </w:trPr>
        <w:tc>
          <w:tcPr>
            <w:tcW w:w="142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rPr>
                <w:sz w:val="14"/>
              </w:rPr>
              <w:t>Ленватиниб** + эверолимус**</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36" w:firstLine="0"/>
              <w:jc w:val="left"/>
            </w:pPr>
            <w:r>
              <w:rPr>
                <w:sz w:val="14"/>
              </w:rPr>
              <w:t>Эверолимус**</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205</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7" w:firstLine="0"/>
              <w:jc w:val="center"/>
            </w:pPr>
            <w:r>
              <w:rPr>
                <w:sz w:val="14"/>
              </w:rPr>
              <w:t xml:space="preserve">Motzer </w:t>
            </w:r>
          </w:p>
          <w:p w:rsidR="00C3791F" w:rsidRDefault="00AE1F83">
            <w:pPr>
              <w:spacing w:after="0" w:line="259" w:lineRule="auto"/>
              <w:ind w:left="130" w:firstLine="0"/>
              <w:jc w:val="left"/>
            </w:pPr>
            <w:r>
              <w:rPr>
                <w:sz w:val="14"/>
              </w:rPr>
              <w:t>2015,20</w:t>
            </w:r>
          </w:p>
          <w:p w:rsidR="00C3791F" w:rsidRDefault="00AE1F83">
            <w:pPr>
              <w:spacing w:after="0" w:line="259" w:lineRule="auto"/>
              <w:ind w:left="77" w:firstLine="0"/>
              <w:jc w:val="center"/>
            </w:pPr>
            <w:r>
              <w:rPr>
                <w:sz w:val="14"/>
              </w:rPr>
              <w:t>16</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153</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0" w:firstLine="0"/>
              <w:jc w:val="left"/>
            </w:pPr>
            <w:r>
              <w:rPr>
                <w:sz w:val="14"/>
              </w:rPr>
              <w:t>14,6</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5,5</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0,40 </w:t>
            </w:r>
          </w:p>
          <w:p w:rsidR="00C3791F" w:rsidRDefault="00AE1F83">
            <w:pPr>
              <w:spacing w:after="0" w:line="259" w:lineRule="auto"/>
              <w:ind w:left="68" w:firstLine="0"/>
              <w:jc w:val="center"/>
            </w:pPr>
            <w:r>
              <w:rPr>
                <w:sz w:val="14"/>
              </w:rPr>
              <w:t>(0,24–</w:t>
            </w:r>
          </w:p>
          <w:p w:rsidR="00C3791F" w:rsidRDefault="00AE1F83">
            <w:pPr>
              <w:spacing w:after="0" w:line="259" w:lineRule="auto"/>
              <w:ind w:left="68" w:firstLine="0"/>
              <w:jc w:val="center"/>
            </w:pPr>
            <w:r>
              <w:rPr>
                <w:sz w:val="14"/>
              </w:rPr>
              <w:t>0,68)</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25,5</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15,4</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0,51 </w:t>
            </w:r>
          </w:p>
          <w:p w:rsidR="00C3791F" w:rsidRDefault="00AE1F83">
            <w:pPr>
              <w:spacing w:after="0" w:line="259" w:lineRule="auto"/>
              <w:ind w:left="77" w:firstLine="0"/>
              <w:jc w:val="center"/>
            </w:pPr>
            <w:r>
              <w:rPr>
                <w:sz w:val="14"/>
              </w:rPr>
              <w:t>(0,3–</w:t>
            </w:r>
          </w:p>
          <w:p w:rsidR="00C3791F" w:rsidRDefault="00AE1F83">
            <w:pPr>
              <w:spacing w:after="0" w:line="259" w:lineRule="auto"/>
              <w:ind w:left="77" w:firstLine="0"/>
              <w:jc w:val="center"/>
            </w:pPr>
            <w:r>
              <w:rPr>
                <w:sz w:val="14"/>
              </w:rPr>
              <w:t>0,88)</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35</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0</w:t>
            </w:r>
          </w:p>
        </w:tc>
      </w:tr>
      <w:tr w:rsidR="00C3791F">
        <w:trPr>
          <w:trHeight w:val="492"/>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Кабозантиниб**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36" w:firstLine="0"/>
              <w:jc w:val="left"/>
            </w:pPr>
            <w:r>
              <w:rPr>
                <w:sz w:val="14"/>
              </w:rPr>
              <w:t>Эверолимус**</w:t>
            </w:r>
          </w:p>
        </w:tc>
        <w:tc>
          <w:tcPr>
            <w:tcW w:w="89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63" w:firstLine="0"/>
              <w:jc w:val="left"/>
            </w:pPr>
            <w:r>
              <w:rPr>
                <w:sz w:val="14"/>
              </w:rPr>
              <w:t>METEOR</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12" w:firstLine="0"/>
              <w:jc w:val="left"/>
            </w:pPr>
            <w:r>
              <w:rPr>
                <w:sz w:val="14"/>
              </w:rPr>
              <w:t xml:space="preserve">Choueiri </w:t>
            </w:r>
          </w:p>
          <w:p w:rsidR="00C3791F" w:rsidRDefault="00AE1F83">
            <w:pPr>
              <w:spacing w:after="0" w:line="259" w:lineRule="auto"/>
              <w:ind w:left="78" w:firstLine="0"/>
              <w:jc w:val="center"/>
            </w:pPr>
            <w:r>
              <w:rPr>
                <w:sz w:val="14"/>
              </w:rPr>
              <w:t xml:space="preserve">2015, </w:t>
            </w:r>
          </w:p>
          <w:p w:rsidR="00C3791F" w:rsidRDefault="00AE1F83">
            <w:pPr>
              <w:spacing w:after="0" w:line="259" w:lineRule="auto"/>
              <w:ind w:left="77" w:firstLine="0"/>
              <w:jc w:val="center"/>
            </w:pPr>
            <w:r>
              <w:rPr>
                <w:sz w:val="14"/>
              </w:rPr>
              <w:t>2016</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 w:firstLine="0"/>
              <w:jc w:val="center"/>
            </w:pPr>
            <w:r>
              <w:rPr>
                <w:sz w:val="14"/>
              </w:rPr>
              <w:t>БПВ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658</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35" w:firstLine="0"/>
              <w:jc w:val="left"/>
            </w:pPr>
            <w:r>
              <w:rPr>
                <w:sz w:val="14"/>
              </w:rPr>
              <w:t>7,4</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3,9</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0,51 </w:t>
            </w:r>
          </w:p>
          <w:p w:rsidR="00C3791F" w:rsidRDefault="00AE1F83">
            <w:pPr>
              <w:spacing w:after="0" w:line="259" w:lineRule="auto"/>
              <w:ind w:left="68" w:firstLine="0"/>
              <w:jc w:val="center"/>
            </w:pPr>
            <w:r>
              <w:rPr>
                <w:sz w:val="14"/>
              </w:rPr>
              <w:t>(0,41–</w:t>
            </w:r>
          </w:p>
          <w:p w:rsidR="00C3791F" w:rsidRDefault="00AE1F83">
            <w:pPr>
              <w:spacing w:after="0" w:line="259" w:lineRule="auto"/>
              <w:ind w:left="68" w:firstLine="0"/>
              <w:jc w:val="center"/>
            </w:pPr>
            <w:r>
              <w:rPr>
                <w:sz w:val="14"/>
              </w:rPr>
              <w:t>0,62)</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21,4</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16,5</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0,66 </w:t>
            </w:r>
          </w:p>
          <w:p w:rsidR="00C3791F" w:rsidRDefault="00AE1F83">
            <w:pPr>
              <w:spacing w:after="0" w:line="259" w:lineRule="auto"/>
              <w:ind w:left="77" w:firstLine="0"/>
              <w:jc w:val="center"/>
            </w:pPr>
            <w:r>
              <w:rPr>
                <w:sz w:val="14"/>
              </w:rPr>
              <w:t>(0,53–</w:t>
            </w:r>
          </w:p>
          <w:p w:rsidR="00C3791F" w:rsidRDefault="00AE1F83">
            <w:pPr>
              <w:spacing w:after="0" w:line="259" w:lineRule="auto"/>
              <w:ind w:left="77" w:firstLine="0"/>
              <w:jc w:val="center"/>
            </w:pPr>
            <w:r>
              <w:rPr>
                <w:sz w:val="14"/>
              </w:rPr>
              <w:t>0,83)</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5" w:firstLine="0"/>
              <w:jc w:val="center"/>
            </w:pPr>
            <w:r>
              <w:rPr>
                <w:sz w:val="14"/>
              </w:rPr>
              <w:t>17</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3</w:t>
            </w:r>
          </w:p>
        </w:tc>
      </w:tr>
      <w:tr w:rsidR="00C3791F">
        <w:trPr>
          <w:trHeight w:val="494"/>
        </w:trPr>
        <w:tc>
          <w:tcPr>
            <w:tcW w:w="142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7" w:firstLine="0"/>
              <w:jc w:val="center"/>
            </w:pPr>
            <w:r>
              <w:rPr>
                <w:sz w:val="14"/>
              </w:rPr>
              <w:t>Ниволумаб**</w:t>
            </w:r>
          </w:p>
        </w:tc>
        <w:tc>
          <w:tcPr>
            <w:tcW w:w="113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36" w:firstLine="0"/>
              <w:jc w:val="left"/>
            </w:pPr>
            <w:r>
              <w:rPr>
                <w:sz w:val="14"/>
              </w:rPr>
              <w:t>Эверолимус**</w:t>
            </w:r>
          </w:p>
        </w:tc>
        <w:tc>
          <w:tcPr>
            <w:tcW w:w="8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24" w:firstLine="0"/>
              <w:jc w:val="center"/>
            </w:pPr>
            <w:r>
              <w:rPr>
                <w:sz w:val="14"/>
              </w:rPr>
              <w:t>CheckMate 025</w:t>
            </w:r>
          </w:p>
        </w:tc>
        <w:tc>
          <w:tcPr>
            <w:tcW w:w="71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5" w:firstLine="0"/>
              <w:jc w:val="center"/>
            </w:pPr>
            <w:r>
              <w:rPr>
                <w:sz w:val="14"/>
              </w:rPr>
              <w:t>Motzer 2015</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ОВ</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0" w:firstLine="0"/>
              <w:jc w:val="center"/>
            </w:pPr>
            <w:r>
              <w:rPr>
                <w:sz w:val="14"/>
              </w:rPr>
              <w:t>821</w:t>
            </w:r>
          </w:p>
        </w:tc>
        <w:tc>
          <w:tcPr>
            <w:tcW w:w="234" w:type="dxa"/>
            <w:tcBorders>
              <w:top w:val="single" w:sz="4" w:space="0" w:color="000000"/>
              <w:left w:val="single" w:sz="4" w:space="0" w:color="000000"/>
              <w:bottom w:val="single" w:sz="4" w:space="0" w:color="000000"/>
              <w:right w:val="nil"/>
            </w:tcBorders>
          </w:tcPr>
          <w:p w:rsidR="00C3791F" w:rsidRDefault="00C3791F">
            <w:pPr>
              <w:spacing w:after="160" w:line="259" w:lineRule="auto"/>
              <w:ind w:left="0" w:firstLine="0"/>
              <w:jc w:val="left"/>
            </w:pPr>
          </w:p>
        </w:tc>
        <w:tc>
          <w:tcPr>
            <w:tcW w:w="476" w:type="dxa"/>
            <w:tcBorders>
              <w:top w:val="single" w:sz="4" w:space="0" w:color="000000"/>
              <w:left w:val="nil"/>
              <w:bottom w:val="single" w:sz="4" w:space="0" w:color="000000"/>
              <w:right w:val="single" w:sz="4" w:space="0" w:color="000000"/>
            </w:tcBorders>
            <w:vAlign w:val="center"/>
          </w:tcPr>
          <w:p w:rsidR="00C3791F" w:rsidRDefault="00AE1F83">
            <w:pPr>
              <w:spacing w:after="0" w:line="259" w:lineRule="auto"/>
              <w:ind w:left="35" w:firstLine="0"/>
              <w:jc w:val="left"/>
            </w:pPr>
            <w:r>
              <w:rPr>
                <w:sz w:val="14"/>
              </w:rPr>
              <w:t>4,6</w:t>
            </w:r>
          </w:p>
        </w:tc>
        <w:tc>
          <w:tcPr>
            <w:tcW w:w="61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4,4</w:t>
            </w:r>
          </w:p>
        </w:tc>
        <w:tc>
          <w:tcPr>
            <w:tcW w:w="65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9" w:firstLine="0"/>
              <w:jc w:val="center"/>
            </w:pPr>
            <w:r>
              <w:rPr>
                <w:sz w:val="14"/>
              </w:rPr>
              <w:t xml:space="preserve">0,88 </w:t>
            </w:r>
          </w:p>
          <w:p w:rsidR="00C3791F" w:rsidRDefault="00AE1F83">
            <w:pPr>
              <w:spacing w:after="0" w:line="259" w:lineRule="auto"/>
              <w:ind w:left="68" w:firstLine="0"/>
              <w:jc w:val="center"/>
            </w:pPr>
            <w:r>
              <w:rPr>
                <w:sz w:val="14"/>
              </w:rPr>
              <w:t>(0,75−</w:t>
            </w:r>
          </w:p>
          <w:p w:rsidR="00C3791F" w:rsidRDefault="00AE1F83">
            <w:pPr>
              <w:spacing w:after="0" w:line="259" w:lineRule="auto"/>
              <w:ind w:left="68" w:firstLine="0"/>
              <w:jc w:val="center"/>
            </w:pPr>
            <w:r>
              <w:rPr>
                <w:sz w:val="14"/>
              </w:rPr>
              <w:t>1,03)</w:t>
            </w:r>
          </w:p>
        </w:tc>
        <w:tc>
          <w:tcPr>
            <w:tcW w:w="71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69" w:firstLine="0"/>
              <w:jc w:val="center"/>
            </w:pPr>
            <w:r>
              <w:rPr>
                <w:sz w:val="14"/>
              </w:rPr>
              <w:t>25,8</w:t>
            </w:r>
          </w:p>
        </w:tc>
        <w:tc>
          <w:tcPr>
            <w:tcW w:w="5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8" w:firstLine="0"/>
              <w:jc w:val="center"/>
            </w:pPr>
            <w:r>
              <w:rPr>
                <w:sz w:val="14"/>
              </w:rPr>
              <w:t>19,7</w:t>
            </w:r>
          </w:p>
        </w:tc>
        <w:tc>
          <w:tcPr>
            <w:tcW w:w="6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 w:firstLine="0"/>
              <w:jc w:val="center"/>
            </w:pPr>
            <w:r>
              <w:rPr>
                <w:sz w:val="14"/>
              </w:rPr>
              <w:t xml:space="preserve">0,74 </w:t>
            </w:r>
          </w:p>
          <w:p w:rsidR="00C3791F" w:rsidRDefault="00AE1F83">
            <w:pPr>
              <w:spacing w:after="0" w:line="259" w:lineRule="auto"/>
              <w:ind w:left="75" w:firstLine="0"/>
              <w:jc w:val="center"/>
            </w:pPr>
            <w:r>
              <w:rPr>
                <w:sz w:val="14"/>
              </w:rPr>
              <w:t>(0,63−</w:t>
            </w:r>
          </w:p>
          <w:p w:rsidR="00C3791F" w:rsidRDefault="00AE1F83">
            <w:pPr>
              <w:spacing w:after="0" w:line="259" w:lineRule="auto"/>
              <w:ind w:left="77" w:firstLine="0"/>
              <w:jc w:val="center"/>
            </w:pPr>
            <w:r>
              <w:rPr>
                <w:sz w:val="14"/>
              </w:rPr>
              <w:t>0,88)</w:t>
            </w:r>
          </w:p>
        </w:tc>
        <w:tc>
          <w:tcPr>
            <w:tcW w:w="60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21,5</w:t>
            </w:r>
          </w:p>
        </w:tc>
        <w:tc>
          <w:tcPr>
            <w:tcW w:w="57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6" w:firstLine="0"/>
              <w:jc w:val="center"/>
            </w:pPr>
            <w:r>
              <w:rPr>
                <w:sz w:val="14"/>
              </w:rPr>
              <w:t>3,9</w:t>
            </w:r>
          </w:p>
        </w:tc>
      </w:tr>
    </w:tbl>
    <w:p w:rsidR="00C3791F" w:rsidRDefault="00AE1F83">
      <w:pPr>
        <w:spacing w:after="44" w:line="357" w:lineRule="auto"/>
        <w:ind w:left="127" w:right="194" w:firstLine="709"/>
      </w:pPr>
      <w:r>
        <w:rPr>
          <w:b/>
        </w:rPr>
        <w:t>3.4.2.3.2. Алгоритм выбора режима лекарственной терапии у пациентов с местно-распространенным неоперабельным и генерализованным почечноклеточным раком</w:t>
      </w:r>
    </w:p>
    <w:p w:rsidR="00C3791F" w:rsidRDefault="00AE1F83">
      <w:pPr>
        <w:numPr>
          <w:ilvl w:val="0"/>
          <w:numId w:val="35"/>
        </w:numPr>
        <w:spacing w:after="240"/>
        <w:ind w:right="189"/>
      </w:pPr>
      <w:r>
        <w:rPr>
          <w:b/>
        </w:rPr>
        <w:t>Рекомендовано</w:t>
      </w:r>
      <w:r>
        <w:t xml:space="preserve"> при выборе схемы противоопухолевой терапии ПКР</w:t>
      </w:r>
      <w:r>
        <w:t xml:space="preserve"> использовать критерии селекции пациентов, получающих наибольшую клиническую пользу, выделенные на основании анализа клинической эффективности и целесообразности проведения лекарственного лечения злокачественных новообразований с применением шкалы оценки м</w:t>
      </w:r>
      <w:r>
        <w:t>асштаба клинической пользы (Magnitude of Clinical Benefit Scale, MCBS) Европейского Общества Медицинской Онкологии (ESMO) [259].</w:t>
      </w:r>
    </w:p>
    <w:p w:rsidR="00C3791F" w:rsidRDefault="00AE1F83">
      <w:pPr>
        <w:spacing w:line="357" w:lineRule="auto"/>
        <w:ind w:left="127" w:firstLine="709"/>
      </w:pPr>
      <w:r>
        <w:rPr>
          <w:b/>
        </w:rPr>
        <w:t>Уровень убедительности рекомендаций − А (уровень достоверности доказательств – 2).</w:t>
      </w:r>
    </w:p>
    <w:p w:rsidR="00C3791F" w:rsidRDefault="00AE1F83">
      <w:pPr>
        <w:spacing w:after="283" w:line="359" w:lineRule="auto"/>
        <w:ind w:left="127" w:right="208" w:firstLine="710"/>
      </w:pPr>
      <w:r>
        <w:rPr>
          <w:b/>
          <w:i/>
        </w:rPr>
        <w:t>Комментарий:</w:t>
      </w:r>
      <w:r>
        <w:rPr>
          <w:i/>
        </w:rPr>
        <w:t xml:space="preserve"> критерии селекции пациентов с р</w:t>
      </w:r>
      <w:r>
        <w:rPr>
          <w:i/>
        </w:rPr>
        <w:t xml:space="preserve">аспространенным ПКР, получающих наибольшую клиническую пользу от режимов противоопухолевого лечения, представлены в табл. П5 Приложения Б. </w:t>
      </w:r>
    </w:p>
    <w:p w:rsidR="00C3791F" w:rsidRDefault="00AE1F83">
      <w:pPr>
        <w:numPr>
          <w:ilvl w:val="0"/>
          <w:numId w:val="35"/>
        </w:numPr>
        <w:spacing w:after="232"/>
        <w:ind w:right="189"/>
      </w:pPr>
      <w:r>
        <w:t xml:space="preserve">В 1-й линии терапии сПКР группы хорошего прогноза IMDC </w:t>
      </w:r>
      <w:r>
        <w:rPr>
          <w:b/>
        </w:rPr>
        <w:t xml:space="preserve">рекомендуется </w:t>
      </w:r>
      <w:r>
        <w:t xml:space="preserve">предпочтительное назначение: </w:t>
      </w:r>
    </w:p>
    <w:p w:rsidR="00C3791F" w:rsidRDefault="00AE1F83">
      <w:pPr>
        <w:numPr>
          <w:ilvl w:val="1"/>
          <w:numId w:val="35"/>
        </w:numPr>
        <w:spacing w:after="228"/>
        <w:ind w:right="189" w:hanging="360"/>
      </w:pPr>
      <w:r>
        <w:t>монотерапии пазоп</w:t>
      </w:r>
      <w:r>
        <w:t xml:space="preserve">анибом** (пазопаниб** 800 мг/сут перорально ежедневно) [181, 182, 207, 208] или </w:t>
      </w:r>
    </w:p>
    <w:p w:rsidR="00C3791F" w:rsidRDefault="00AE1F83">
      <w:pPr>
        <w:spacing w:after="348" w:line="265" w:lineRule="auto"/>
        <w:ind w:left="10"/>
      </w:pPr>
      <w:r>
        <w:rPr>
          <w:b/>
        </w:rPr>
        <w:t>Уровень убедительности рекомендаций – А (уровень достоверности доказательств – 2).</w:t>
      </w:r>
    </w:p>
    <w:p w:rsidR="00C3791F" w:rsidRDefault="00AE1F83">
      <w:pPr>
        <w:numPr>
          <w:ilvl w:val="1"/>
          <w:numId w:val="35"/>
        </w:numPr>
        <w:spacing w:after="228"/>
        <w:ind w:right="189" w:hanging="360"/>
      </w:pPr>
      <w:r>
        <w:t>монотерапии сунитинибом** (сунитиниб** 50 мг/сут перорально ежедневно в течение 4 нед с инте</w:t>
      </w:r>
      <w:r>
        <w:t>рвалом между циклами 2 нед) [180, 208].</w:t>
      </w:r>
    </w:p>
    <w:p w:rsidR="00C3791F" w:rsidRDefault="00AE1F83">
      <w:pPr>
        <w:spacing w:after="392" w:line="265" w:lineRule="auto"/>
        <w:ind w:left="10"/>
      </w:pPr>
      <w:r>
        <w:rPr>
          <w:b/>
        </w:rPr>
        <w:t>Уровень убедительности рекомендаций – А (уровень достоверности доказательств – 2).</w:t>
      </w:r>
    </w:p>
    <w:p w:rsidR="00C3791F" w:rsidRDefault="00AE1F83">
      <w:pPr>
        <w:numPr>
          <w:ilvl w:val="0"/>
          <w:numId w:val="35"/>
        </w:numPr>
        <w:ind w:right="189"/>
      </w:pPr>
      <w:r>
        <w:t xml:space="preserve">В 1-й линии терапии сПКР групп промежуточного и плохого прогноза IMDC </w:t>
      </w:r>
      <w:r>
        <w:rPr>
          <w:b/>
        </w:rPr>
        <w:t>рекомендуется</w:t>
      </w:r>
      <w:r>
        <w:t xml:space="preserve"> предпочтительное назначение: </w:t>
      </w:r>
    </w:p>
    <w:p w:rsidR="00C3791F" w:rsidRDefault="00AE1F83">
      <w:pPr>
        <w:numPr>
          <w:ilvl w:val="1"/>
          <w:numId w:val="35"/>
        </w:numPr>
        <w:spacing w:after="232"/>
        <w:ind w:right="189" w:hanging="360"/>
      </w:pPr>
      <w:r>
        <w:t>комбинации ниволума</w:t>
      </w:r>
      <w:r>
        <w:t>ба** с ипилимумабом** (ниволумаб** 3 мг/кг или #ниволумаб 240 мг в/в капельно и ипилимумаб** 1 мг/кг в/в капельно 1 раз в 3 нед; Далее проводится монотерапия препаратом ниволумаб** в дозе 3 мг/кг или 240 мг – 1-е введение через 3 нед после последнего совме</w:t>
      </w:r>
      <w:r>
        <w:t>стного введения, далее каждые 2 нед или в дозе 480 мг – 1-е введение через 6 нед после последнего совместного введения, далее каждые 4 нед  [186, 209, 210, 255] или</w:t>
      </w:r>
    </w:p>
    <w:p w:rsidR="00C3791F" w:rsidRDefault="00AE1F83">
      <w:pPr>
        <w:spacing w:after="108" w:line="265" w:lineRule="auto"/>
        <w:ind w:left="218"/>
      </w:pPr>
      <w:r>
        <w:rPr>
          <w:b/>
        </w:rPr>
        <w:t xml:space="preserve">Уровень убедительности рекомендаций − А (уровень достоверности доказательств – </w:t>
      </w:r>
    </w:p>
    <w:p w:rsidR="00C3791F" w:rsidRDefault="00AE1F83">
      <w:pPr>
        <w:spacing w:line="265" w:lineRule="auto"/>
        <w:ind w:left="578"/>
      </w:pPr>
      <w:r>
        <w:rPr>
          <w:b/>
        </w:rPr>
        <w:t>2).</w:t>
      </w:r>
    </w:p>
    <w:p w:rsidR="00C3791F" w:rsidRDefault="00AE1F83">
      <w:pPr>
        <w:numPr>
          <w:ilvl w:val="1"/>
          <w:numId w:val="35"/>
        </w:numPr>
        <w:spacing w:after="231"/>
        <w:ind w:right="189" w:hanging="360"/>
      </w:pPr>
      <w:r>
        <w:t>комбинации пембролизумаба** с акситинибом** (пембролизумаб** в дозе 200 мг в/в капельно 1 раз в 3 нед или 400 мг 1 раз в 6 нед, акситиниб** 5 мг 2 раза в сутки перорально ежедневно) [187, 209, 210, 249] или</w:t>
      </w:r>
    </w:p>
    <w:p w:rsidR="00C3791F" w:rsidRDefault="00AE1F83">
      <w:pPr>
        <w:spacing w:after="240" w:line="357" w:lineRule="auto"/>
        <w:ind w:left="208" w:firstLine="654"/>
      </w:pPr>
      <w:r>
        <w:rPr>
          <w:b/>
        </w:rPr>
        <w:t>Для пембролизумаба** 200 мг: Уровень убедительнос</w:t>
      </w:r>
      <w:r>
        <w:rPr>
          <w:b/>
        </w:rPr>
        <w:t>ти рекомендаций − В (уровень достоверности доказательств – 2).</w:t>
      </w:r>
    </w:p>
    <w:p w:rsidR="00C3791F" w:rsidRDefault="00AE1F83">
      <w:pPr>
        <w:spacing w:after="240" w:line="357" w:lineRule="auto"/>
        <w:ind w:left="208" w:firstLine="654"/>
      </w:pPr>
      <w:r>
        <w:rPr>
          <w:b/>
        </w:rPr>
        <w:t>Для пембролизумаба** 400 мг: Уровень убедительности рекомендаций − С (уровень достоверности доказательств –4).</w:t>
      </w:r>
    </w:p>
    <w:p w:rsidR="00C3791F" w:rsidRDefault="00AE1F83">
      <w:pPr>
        <w:numPr>
          <w:ilvl w:val="1"/>
          <w:numId w:val="35"/>
        </w:numPr>
        <w:spacing w:after="231"/>
        <w:ind w:right="189" w:hanging="360"/>
      </w:pPr>
      <w:r>
        <w:t>комбинации пембролизумаба** с ленватинибом** (пембролизумаб** в дозе 200 мг в/в ка</w:t>
      </w:r>
      <w:r>
        <w:t xml:space="preserve">пельно 1 раз в 3 нед в комбинации с ленватинибом** 20 мг/сут перорально ежедневно) [190, 249] или </w:t>
      </w:r>
    </w:p>
    <w:p w:rsidR="00C3791F" w:rsidRDefault="00AE1F83">
      <w:pPr>
        <w:spacing w:after="108" w:line="265" w:lineRule="auto"/>
        <w:ind w:left="218"/>
      </w:pPr>
      <w:r>
        <w:rPr>
          <w:b/>
        </w:rPr>
        <w:t xml:space="preserve">Уровень убедительности рекомендаций − А (уровень достоверности доказательств – </w:t>
      </w:r>
    </w:p>
    <w:p w:rsidR="00C3791F" w:rsidRDefault="00AE1F83">
      <w:pPr>
        <w:spacing w:after="348" w:line="265" w:lineRule="auto"/>
        <w:ind w:left="578"/>
      </w:pPr>
      <w:r>
        <w:rPr>
          <w:b/>
        </w:rPr>
        <w:t>2).</w:t>
      </w:r>
    </w:p>
    <w:p w:rsidR="00C3791F" w:rsidRDefault="00AE1F83">
      <w:pPr>
        <w:numPr>
          <w:ilvl w:val="1"/>
          <w:numId w:val="35"/>
        </w:numPr>
        <w:spacing w:after="231"/>
        <w:ind w:right="189" w:hanging="360"/>
      </w:pPr>
      <w:r>
        <w:t>комбинации ниволумаба** с кабозантинибом** (ниволумаб** в дозе 240 мг в/в</w:t>
      </w:r>
      <w:r>
        <w:t xml:space="preserve"> капельно 1 раз в 2 нед или 480 мг 1 раз в 4 нед в комбинации с кабозантинибом** 40 мг/сут перорально ежедневно) [191, 251]. </w:t>
      </w:r>
    </w:p>
    <w:p w:rsidR="00C3791F" w:rsidRDefault="00AE1F83">
      <w:pPr>
        <w:spacing w:after="240" w:line="357" w:lineRule="auto"/>
        <w:ind w:left="568" w:hanging="360"/>
      </w:pPr>
      <w:r>
        <w:rPr>
          <w:b/>
        </w:rPr>
        <w:t>Для ниволумаба** 240 мг: Уровень убедительности рекомендаций − А (уровень достоверности доказательств – 2).</w:t>
      </w:r>
    </w:p>
    <w:p w:rsidR="00C3791F" w:rsidRDefault="00AE1F83">
      <w:pPr>
        <w:spacing w:after="164" w:line="357" w:lineRule="auto"/>
        <w:ind w:left="568" w:hanging="360"/>
      </w:pPr>
      <w:r>
        <w:rPr>
          <w:b/>
        </w:rPr>
        <w:t>Для ниволумаба** 480 м</w:t>
      </w:r>
      <w:r>
        <w:rPr>
          <w:b/>
        </w:rPr>
        <w:t>г:</w:t>
      </w:r>
      <w:r>
        <w:t xml:space="preserve"> </w:t>
      </w:r>
      <w:r>
        <w:rPr>
          <w:b/>
        </w:rPr>
        <w:t>Уровень убедительности рекомендаций − С (уровень достоверности доказательств – 4).</w:t>
      </w:r>
    </w:p>
    <w:p w:rsidR="00C3791F" w:rsidRDefault="00AE1F83">
      <w:pPr>
        <w:numPr>
          <w:ilvl w:val="0"/>
          <w:numId w:val="35"/>
        </w:numPr>
        <w:spacing w:after="112"/>
        <w:ind w:right="189"/>
      </w:pPr>
      <w:r>
        <w:t xml:space="preserve">В качестве альтернативы в 1-й линии терапии сПКР в группах промежуточного и плохого прогноза IMDC </w:t>
      </w:r>
      <w:r>
        <w:rPr>
          <w:b/>
        </w:rPr>
        <w:t>рекомендуется</w:t>
      </w:r>
      <w:r>
        <w:t xml:space="preserve"> назначение:</w:t>
      </w:r>
    </w:p>
    <w:p w:rsidR="00C3791F" w:rsidRDefault="00AE1F83">
      <w:pPr>
        <w:spacing w:after="111"/>
        <w:ind w:left="719" w:right="189"/>
      </w:pPr>
      <w:r>
        <w:rPr>
          <w:rFonts w:ascii="Courier New" w:eastAsia="Courier New" w:hAnsi="Courier New" w:cs="Courier New"/>
        </w:rPr>
        <w:t>o</w:t>
      </w:r>
      <w:r>
        <w:t>комбинации авелумаба** с акситинибом** (авелу</w:t>
      </w:r>
      <w:r>
        <w:t>маб** в дозе #10 мг/кг или авелумаб** 800 мг в/в капельно в течение 1 ч 1 раз в 2 нед, акситиниб** 5 мг 2 раза в сутки перорально) [189, 254] или</w:t>
      </w:r>
    </w:p>
    <w:p w:rsidR="00C3791F" w:rsidRDefault="00AE1F83">
      <w:pPr>
        <w:spacing w:after="108" w:line="265" w:lineRule="auto"/>
        <w:ind w:left="359"/>
      </w:pPr>
      <w:r>
        <w:rPr>
          <w:b/>
        </w:rPr>
        <w:t xml:space="preserve">Уровень убедительности рекомендаций − В (уровень достоверности доказательств – </w:t>
      </w:r>
    </w:p>
    <w:p w:rsidR="00C3791F" w:rsidRDefault="00AE1F83">
      <w:pPr>
        <w:spacing w:line="265" w:lineRule="auto"/>
        <w:ind w:left="719"/>
      </w:pPr>
      <w:r>
        <w:rPr>
          <w:b/>
        </w:rPr>
        <w:t>2).</w:t>
      </w:r>
    </w:p>
    <w:p w:rsidR="00C3791F" w:rsidRDefault="00AE1F83">
      <w:pPr>
        <w:spacing w:after="108"/>
        <w:ind w:left="719" w:right="189"/>
      </w:pPr>
      <w:r>
        <w:rPr>
          <w:rFonts w:ascii="Courier New" w:eastAsia="Courier New" w:hAnsi="Courier New" w:cs="Courier New"/>
        </w:rPr>
        <w:t>o</w:t>
      </w:r>
      <w:r>
        <w:t>монотерапии кабозантинибом** (кабозантиниб** 60 мг/сут перорально ежедневно) [184, 209, 211].</w:t>
      </w:r>
    </w:p>
    <w:p w:rsidR="00C3791F" w:rsidRDefault="00AE1F83">
      <w:pPr>
        <w:spacing w:after="108" w:line="265" w:lineRule="auto"/>
        <w:ind w:left="359"/>
      </w:pPr>
      <w:r>
        <w:rPr>
          <w:b/>
        </w:rPr>
        <w:t>Уровень убедительности рекомендаций − В</w:t>
      </w:r>
      <w:r>
        <w:t xml:space="preserve"> </w:t>
      </w:r>
      <w:r>
        <w:rPr>
          <w:b/>
        </w:rPr>
        <w:t xml:space="preserve">(уровень достоверности доказательств – </w:t>
      </w:r>
    </w:p>
    <w:p w:rsidR="00C3791F" w:rsidRDefault="00AE1F83">
      <w:pPr>
        <w:spacing w:after="392" w:line="265" w:lineRule="auto"/>
        <w:ind w:left="719"/>
      </w:pPr>
      <w:r>
        <w:rPr>
          <w:b/>
        </w:rPr>
        <w:t>2).</w:t>
      </w:r>
    </w:p>
    <w:p w:rsidR="00C3791F" w:rsidRDefault="00AE1F83">
      <w:pPr>
        <w:numPr>
          <w:ilvl w:val="0"/>
          <w:numId w:val="35"/>
        </w:numPr>
        <w:spacing w:after="232"/>
        <w:ind w:right="189"/>
      </w:pPr>
      <w:r>
        <w:t xml:space="preserve">В 1-й линии терапии ПКР с саркоматоидной дифференцировкой </w:t>
      </w:r>
      <w:r>
        <w:rPr>
          <w:b/>
        </w:rPr>
        <w:t xml:space="preserve">рекомендуется </w:t>
      </w:r>
      <w:r>
        <w:t>предпо</w:t>
      </w:r>
      <w:r>
        <w:t>чтительное назначение:</w:t>
      </w:r>
    </w:p>
    <w:p w:rsidR="00C3791F" w:rsidRDefault="00AE1F83">
      <w:pPr>
        <w:numPr>
          <w:ilvl w:val="0"/>
          <w:numId w:val="36"/>
        </w:numPr>
        <w:spacing w:after="228"/>
        <w:ind w:right="189"/>
      </w:pPr>
      <w:r>
        <w:t xml:space="preserve">комбинации ниволумаба** с кабозантинибом** (ниволумаб** 240 мг каждые 2 нед или 480 мг каждые 4 нед в/в капельно и кабозантиниб** 40 мг/сут) [191, 251] или </w:t>
      </w:r>
    </w:p>
    <w:p w:rsidR="00C3791F" w:rsidRDefault="00AE1F83">
      <w:pPr>
        <w:spacing w:after="108" w:line="265" w:lineRule="auto"/>
        <w:ind w:left="137"/>
      </w:pPr>
      <w:r>
        <w:rPr>
          <w:b/>
        </w:rPr>
        <w:t>Уровень убедительности рекомендаций − А (уровень достоверности доказательств</w:t>
      </w:r>
      <w:r>
        <w:rPr>
          <w:b/>
        </w:rPr>
        <w:t xml:space="preserve"> – </w:t>
      </w:r>
    </w:p>
    <w:p w:rsidR="00C3791F" w:rsidRDefault="00AE1F83">
      <w:pPr>
        <w:spacing w:after="348" w:line="265" w:lineRule="auto"/>
        <w:ind w:left="137"/>
      </w:pPr>
      <w:r>
        <w:rPr>
          <w:b/>
        </w:rPr>
        <w:t>2).</w:t>
      </w:r>
    </w:p>
    <w:p w:rsidR="00C3791F" w:rsidRDefault="00AE1F83">
      <w:pPr>
        <w:spacing w:after="240" w:line="357" w:lineRule="auto"/>
        <w:ind w:left="137"/>
      </w:pPr>
      <w:r>
        <w:rPr>
          <w:b/>
        </w:rPr>
        <w:t>Для ниволумаба** 480 мг:</w:t>
      </w:r>
      <w:r>
        <w:t xml:space="preserve"> </w:t>
      </w:r>
      <w:r>
        <w:rPr>
          <w:b/>
        </w:rPr>
        <w:t>Уровень убедительности рекомендаций − С (уровень достоверности доказательств – 4).</w:t>
      </w:r>
    </w:p>
    <w:p w:rsidR="00C3791F" w:rsidRDefault="00AE1F83">
      <w:pPr>
        <w:numPr>
          <w:ilvl w:val="0"/>
          <w:numId w:val="36"/>
        </w:numPr>
        <w:spacing w:after="231"/>
        <w:ind w:right="189"/>
      </w:pPr>
      <w:r>
        <w:t xml:space="preserve">комбинации пембролизумаба** с акситинибом** (пембролизумаб** в дозе 200 мг в/в капельно 1 раз в 3 нед или 400 мг 1 раз в 6 нед, акситиниб** </w:t>
      </w:r>
      <w:r>
        <w:t>5 мг 2 раза в сутки перорально ежедневно) [187, 249].</w:t>
      </w:r>
    </w:p>
    <w:p w:rsidR="00C3791F" w:rsidRDefault="00AE1F83">
      <w:pPr>
        <w:spacing w:after="240" w:line="357" w:lineRule="auto"/>
        <w:ind w:left="127" w:firstLine="284"/>
      </w:pPr>
      <w:r>
        <w:rPr>
          <w:b/>
        </w:rPr>
        <w:t>Для пембролизумаба** 200 мг: Уровень убедительности рекомендаций − В (уровень достоверности доказательств – 2).</w:t>
      </w:r>
    </w:p>
    <w:p w:rsidR="00C3791F" w:rsidRDefault="00AE1F83">
      <w:pPr>
        <w:spacing w:line="357" w:lineRule="auto"/>
        <w:ind w:left="127" w:firstLine="284"/>
      </w:pPr>
      <w:r>
        <w:rPr>
          <w:b/>
        </w:rPr>
        <w:t>Для пембролизумаба** 400 мг:</w:t>
      </w:r>
      <w:r>
        <w:t xml:space="preserve"> </w:t>
      </w:r>
      <w:r>
        <w:rPr>
          <w:b/>
        </w:rPr>
        <w:t>Уровень убедительности рекомендаций − С (уровень достоверност</w:t>
      </w:r>
      <w:r>
        <w:rPr>
          <w:b/>
        </w:rPr>
        <w:t>и доказательств –4).</w:t>
      </w:r>
    </w:p>
    <w:p w:rsidR="00C3791F" w:rsidRDefault="00AE1F83">
      <w:pPr>
        <w:numPr>
          <w:ilvl w:val="0"/>
          <w:numId w:val="36"/>
        </w:numPr>
        <w:ind w:right="189"/>
      </w:pPr>
      <w:r>
        <w:t xml:space="preserve">В 1-й линии терапии ПКР с саркоматоидной дифференцировкой пациентам групп промежуточного и плохого прогноза IMDC </w:t>
      </w:r>
      <w:r>
        <w:rPr>
          <w:b/>
        </w:rPr>
        <w:t>рекомендуется</w:t>
      </w:r>
      <w:r>
        <w:t xml:space="preserve"> предпочтительное назначение комбинации ниволумаба** с ипилимумабом** (ниволумаб** 3 мг/кг или #ниволумаб** 2</w:t>
      </w:r>
      <w:r>
        <w:t xml:space="preserve">40 мг в/в капельно и ипилимумаб** 1 мг/кг в/в капельно 1 раз в 3 нед Далее проводится монотерапия препаратом ниволумаб** в дозе 3 мг/кг или 240 мг – 1-е введение через 3 нед после последнего совместного введения, далее каждые 2 нед или в дозе 480 мг – 1-е </w:t>
      </w:r>
      <w:r>
        <w:t xml:space="preserve">введение через 6 нед после последнего совместного введения, далее каждые 4 нед [186, 209, 210, 255]. </w:t>
      </w:r>
    </w:p>
    <w:p w:rsidR="00C3791F" w:rsidRDefault="00AE1F83">
      <w:pPr>
        <w:spacing w:after="108" w:line="265" w:lineRule="auto"/>
        <w:ind w:left="218"/>
      </w:pPr>
      <w:r>
        <w:rPr>
          <w:b/>
        </w:rPr>
        <w:t xml:space="preserve">Уровень убедительности рекомендаций − А (уровень достоверности доказательств – </w:t>
      </w:r>
    </w:p>
    <w:p w:rsidR="00C3791F" w:rsidRDefault="00AE1F83">
      <w:pPr>
        <w:spacing w:after="392" w:line="265" w:lineRule="auto"/>
        <w:ind w:left="578"/>
      </w:pPr>
      <w:r>
        <w:rPr>
          <w:b/>
        </w:rPr>
        <w:t>2).</w:t>
      </w:r>
    </w:p>
    <w:p w:rsidR="00C3791F" w:rsidRDefault="00AE1F83">
      <w:pPr>
        <w:spacing w:after="232"/>
        <w:ind w:left="137" w:right="189"/>
      </w:pPr>
      <w:r>
        <w:rPr>
          <w:rFonts w:ascii="Segoe UI Symbol" w:eastAsia="Segoe UI Symbol" w:hAnsi="Segoe UI Symbol" w:cs="Segoe UI Symbol"/>
        </w:rPr>
        <w:t xml:space="preserve"> </w:t>
      </w:r>
      <w:r>
        <w:t xml:space="preserve">В качестве альтернативы в 1-й линии терапии ПКР с саркоматоидной </w:t>
      </w:r>
      <w:r>
        <w:t xml:space="preserve">дифференцировкой </w:t>
      </w:r>
      <w:r>
        <w:rPr>
          <w:b/>
        </w:rPr>
        <w:t>рекомендуется</w:t>
      </w:r>
      <w:r>
        <w:t xml:space="preserve"> назначение: </w:t>
      </w:r>
    </w:p>
    <w:p w:rsidR="00C3791F" w:rsidRDefault="00AE1F83">
      <w:pPr>
        <w:spacing w:after="231"/>
        <w:ind w:left="719" w:right="189"/>
      </w:pPr>
      <w:r>
        <w:rPr>
          <w:rFonts w:ascii="Courier New" w:eastAsia="Courier New" w:hAnsi="Courier New" w:cs="Courier New"/>
        </w:rPr>
        <w:t>o</w:t>
      </w:r>
      <w:r>
        <w:t xml:space="preserve">комбинации авелумаба** с акситинибом** (авелумаб** в дозе #10 мг/кг или авелумаб** 800 мг в/в капельно в течение 1 ч 1 раз в 2 нед, акситиниб** 5 мг 2 раза в сутки перорально) [188, 254] или </w:t>
      </w:r>
    </w:p>
    <w:p w:rsidR="00C3791F" w:rsidRDefault="00AE1F83">
      <w:pPr>
        <w:spacing w:after="147" w:line="438" w:lineRule="auto"/>
        <w:ind w:left="568" w:right="114" w:hanging="502"/>
      </w:pPr>
      <w:r>
        <w:rPr>
          <w:b/>
        </w:rPr>
        <w:t>Уровень убедительно</w:t>
      </w:r>
      <w:r>
        <w:rPr>
          <w:b/>
        </w:rPr>
        <w:t xml:space="preserve">сти рекомендаций − В (уровень достоверности доказательств – 2). </w:t>
      </w:r>
      <w:r>
        <w:rPr>
          <w:rFonts w:ascii="Courier New" w:eastAsia="Courier New" w:hAnsi="Courier New" w:cs="Courier New"/>
        </w:rPr>
        <w:t xml:space="preserve">o </w:t>
      </w:r>
      <w:r>
        <w:t xml:space="preserve">комбинации пембролизумаба** с ленватинибом** (пембролизумаб** в дозе 200 мг в/в капельно 1 раз в 3 нед или 400 мг 1 раз в 6 нед в комбинации с ленватинибом** 20 мг/сут перорально ежедневно) </w:t>
      </w:r>
      <w:r>
        <w:t>[190,250].</w:t>
      </w:r>
    </w:p>
    <w:p w:rsidR="00C3791F" w:rsidRDefault="00AE1F83">
      <w:pPr>
        <w:spacing w:after="348" w:line="265" w:lineRule="auto"/>
        <w:ind w:left="10"/>
      </w:pPr>
      <w:r>
        <w:rPr>
          <w:b/>
        </w:rPr>
        <w:t>Уровень убедительности рекомендаций − В (уровень достоверности доказательств – 2).</w:t>
      </w:r>
    </w:p>
    <w:p w:rsidR="00C3791F" w:rsidRDefault="00AE1F83">
      <w:pPr>
        <w:numPr>
          <w:ilvl w:val="0"/>
          <w:numId w:val="37"/>
        </w:numPr>
        <w:spacing w:after="231"/>
        <w:ind w:right="189" w:hanging="360"/>
      </w:pPr>
      <w:r>
        <w:t xml:space="preserve">В 1-й линии терапии всех гистологических вариантов несветлоклеточного ПКР </w:t>
      </w:r>
      <w:r>
        <w:rPr>
          <w:b/>
        </w:rPr>
        <w:t>рекомендуется</w:t>
      </w:r>
      <w:r>
        <w:t xml:space="preserve"> предпочтительное назначение комбинации пембролизумаба** с ленватинибом** (</w:t>
      </w:r>
      <w:r>
        <w:t xml:space="preserve">пембролизумаб** в дозе 200 мг в/в капельно 1 раз в 3 нед в комбинации с ленватинибом** 20 мг/сут перорально ежедневно) [257]. </w:t>
      </w:r>
    </w:p>
    <w:p w:rsidR="00C3791F" w:rsidRDefault="00AE1F83">
      <w:pPr>
        <w:spacing w:after="108" w:line="265" w:lineRule="auto"/>
        <w:ind w:left="137"/>
      </w:pPr>
      <w:r>
        <w:rPr>
          <w:b/>
        </w:rPr>
        <w:t xml:space="preserve">Уровень убедительности рекомендаций − В (уровень достоверности доказательств – </w:t>
      </w:r>
    </w:p>
    <w:p w:rsidR="00C3791F" w:rsidRDefault="00AE1F83">
      <w:pPr>
        <w:spacing w:after="392" w:line="265" w:lineRule="auto"/>
        <w:ind w:left="137"/>
      </w:pPr>
      <w:r>
        <w:rPr>
          <w:b/>
        </w:rPr>
        <w:t>3).</w:t>
      </w:r>
    </w:p>
    <w:p w:rsidR="00C3791F" w:rsidRDefault="00AE1F83">
      <w:pPr>
        <w:numPr>
          <w:ilvl w:val="1"/>
          <w:numId w:val="37"/>
        </w:numPr>
        <w:spacing w:after="233"/>
        <w:ind w:right="226" w:firstLine="567"/>
      </w:pPr>
      <w:r>
        <w:t>В 1-й линии терапии несветлоклеточного папилл</w:t>
      </w:r>
      <w:r>
        <w:t xml:space="preserve">ярного ПКР </w:t>
      </w:r>
      <w:r>
        <w:rPr>
          <w:b/>
        </w:rPr>
        <w:t xml:space="preserve">рекомендуется </w:t>
      </w:r>
      <w:r>
        <w:t xml:space="preserve">предпочтительное назначение монотерапии кабозантинибом** (кабозантиниб** 60 мг/сут перорально ежедневно) [199]. </w:t>
      </w:r>
    </w:p>
    <w:p w:rsidR="00C3791F" w:rsidRDefault="00AE1F83">
      <w:pPr>
        <w:spacing w:after="108" w:line="265" w:lineRule="auto"/>
        <w:ind w:left="218"/>
      </w:pPr>
      <w:r>
        <w:rPr>
          <w:b/>
        </w:rPr>
        <w:t xml:space="preserve">Уровень убедительности рекомендаций − В (уровень достоверности доказательств – </w:t>
      </w:r>
    </w:p>
    <w:p w:rsidR="00C3791F" w:rsidRDefault="00AE1F83">
      <w:pPr>
        <w:spacing w:after="392" w:line="265" w:lineRule="auto"/>
        <w:ind w:left="578"/>
      </w:pPr>
      <w:r>
        <w:rPr>
          <w:b/>
        </w:rPr>
        <w:t>2).</w:t>
      </w:r>
    </w:p>
    <w:p w:rsidR="00C3791F" w:rsidRDefault="00AE1F83">
      <w:pPr>
        <w:numPr>
          <w:ilvl w:val="1"/>
          <w:numId w:val="37"/>
        </w:numPr>
        <w:spacing w:after="326" w:line="259" w:lineRule="auto"/>
        <w:ind w:right="226" w:firstLine="567"/>
      </w:pPr>
      <w:r>
        <w:t xml:space="preserve">В качестве альтернативы в 1-й линии терапии нПКР </w:t>
      </w:r>
      <w:r>
        <w:rPr>
          <w:b/>
        </w:rPr>
        <w:t>рекомендуется</w:t>
      </w:r>
      <w:r>
        <w:t xml:space="preserve"> назначение: </w:t>
      </w:r>
    </w:p>
    <w:p w:rsidR="00C3791F" w:rsidRDefault="00AE1F83">
      <w:pPr>
        <w:numPr>
          <w:ilvl w:val="0"/>
          <w:numId w:val="37"/>
        </w:numPr>
        <w:spacing w:after="28"/>
        <w:ind w:right="189" w:hanging="360"/>
      </w:pPr>
      <w:r>
        <w:t xml:space="preserve">комбинации ниволумаба** с кабозантинибом** (ниволумаб** 240 мг каждые 2 нед или 480 мг каждые 4 нед в/в капельно и кабозантиниб** 40 мг/сут) [258] или </w:t>
      </w:r>
    </w:p>
    <w:p w:rsidR="00C3791F" w:rsidRDefault="00AE1F83">
      <w:pPr>
        <w:spacing w:after="108" w:line="265" w:lineRule="auto"/>
        <w:ind w:left="137"/>
      </w:pPr>
      <w:r>
        <w:rPr>
          <w:b/>
        </w:rPr>
        <w:t>Уровень убедительности реком</w:t>
      </w:r>
      <w:r>
        <w:rPr>
          <w:b/>
        </w:rPr>
        <w:t xml:space="preserve">ендаций − C (уровень достоверности доказательств – </w:t>
      </w:r>
    </w:p>
    <w:p w:rsidR="00C3791F" w:rsidRDefault="00AE1F83">
      <w:pPr>
        <w:spacing w:after="348" w:line="265" w:lineRule="auto"/>
        <w:ind w:left="137"/>
      </w:pPr>
      <w:r>
        <w:rPr>
          <w:b/>
        </w:rPr>
        <w:t>4).</w:t>
      </w:r>
    </w:p>
    <w:p w:rsidR="00C3791F" w:rsidRDefault="00AE1F83">
      <w:pPr>
        <w:numPr>
          <w:ilvl w:val="0"/>
          <w:numId w:val="37"/>
        </w:numPr>
        <w:spacing w:after="228"/>
        <w:ind w:right="189" w:hanging="360"/>
      </w:pPr>
      <w:r>
        <w:t>монотерапии пембролизумабом** (пембролизумаб** в дозе 200 мг в/в капельно 1 раз в 3 нед или 400 мг 1 раз в 6 нед) [200, 249] или</w:t>
      </w:r>
    </w:p>
    <w:p w:rsidR="00C3791F" w:rsidRDefault="00AE1F83">
      <w:pPr>
        <w:spacing w:after="40" w:line="358" w:lineRule="auto"/>
        <w:ind w:left="568" w:hanging="502"/>
      </w:pPr>
      <w:r>
        <w:rPr>
          <w:b/>
        </w:rPr>
        <w:t>Уровень убедительности рекомендаций − C (уровень достоверности доказате</w:t>
      </w:r>
      <w:r>
        <w:rPr>
          <w:b/>
        </w:rPr>
        <w:t xml:space="preserve">льств – 4). </w:t>
      </w:r>
      <w:r>
        <w:rPr>
          <w:rFonts w:ascii="Courier New" w:eastAsia="Courier New" w:hAnsi="Courier New" w:cs="Courier New"/>
        </w:rPr>
        <w:t xml:space="preserve">o </w:t>
      </w:r>
      <w:r>
        <w:t xml:space="preserve">комбинации ниволумаба** с ипилимумабом** (ниволумаб** 3 мг/кг или </w:t>
      </w:r>
    </w:p>
    <w:p w:rsidR="00C3791F" w:rsidRDefault="00AE1F83">
      <w:pPr>
        <w:spacing w:after="233"/>
        <w:ind w:left="578" w:right="189"/>
      </w:pPr>
      <w:r>
        <w:t>#ниволумаб** 240 мг в/в капельно и ипилимумаб** 1 мг/кг в/в капельно 1 раз в 3 нед. Далее проводится монотерапия препаратом ниволумаб** в дозе 3 мг/кг или 240 мг – 1-е введени</w:t>
      </w:r>
      <w:r>
        <w:t>е через 3 нед после последнего совместного введения, далее каждые 2 нед или в дозе 480 мг – 1-е введение через 6 нед после последнего совместного введения, далее каждые 4 нед [186, 201, 209, 210, 256] или</w:t>
      </w:r>
    </w:p>
    <w:p w:rsidR="00C3791F" w:rsidRDefault="00AE1F83">
      <w:pPr>
        <w:spacing w:after="108" w:line="265" w:lineRule="auto"/>
        <w:ind w:left="218"/>
      </w:pPr>
      <w:r>
        <w:rPr>
          <w:b/>
        </w:rPr>
        <w:t xml:space="preserve">Уровень убедительности рекомендаций − С (уровень достоверности доказательств – </w:t>
      </w:r>
    </w:p>
    <w:p w:rsidR="00C3791F" w:rsidRDefault="00AE1F83">
      <w:pPr>
        <w:spacing w:after="228" w:line="265" w:lineRule="auto"/>
        <w:ind w:left="578"/>
      </w:pPr>
      <w:r>
        <w:rPr>
          <w:b/>
        </w:rPr>
        <w:t>4).</w:t>
      </w:r>
    </w:p>
    <w:p w:rsidR="00C3791F" w:rsidRDefault="00AE1F83">
      <w:pPr>
        <w:numPr>
          <w:ilvl w:val="0"/>
          <w:numId w:val="37"/>
        </w:numPr>
        <w:spacing w:after="228"/>
        <w:ind w:right="189" w:hanging="360"/>
      </w:pPr>
      <w:r>
        <w:t>монотерапии сунитинибом** (сунитиниб** 50 мг/сут перорально ежедневно в течение 4 нед с интервалом между циклами 2 нед) [203,252] или</w:t>
      </w:r>
    </w:p>
    <w:p w:rsidR="00C3791F" w:rsidRDefault="00AE1F83">
      <w:pPr>
        <w:spacing w:after="228" w:line="265" w:lineRule="auto"/>
        <w:ind w:left="76"/>
      </w:pPr>
      <w:r>
        <w:rPr>
          <w:b/>
        </w:rPr>
        <w:t xml:space="preserve">Уровень убедительности рекомендаций − </w:t>
      </w:r>
      <w:r>
        <w:rPr>
          <w:b/>
        </w:rPr>
        <w:t>А (уровень достоверности доказательств – 2).</w:t>
      </w:r>
    </w:p>
    <w:p w:rsidR="00C3791F" w:rsidRDefault="00AE1F83">
      <w:pPr>
        <w:numPr>
          <w:ilvl w:val="0"/>
          <w:numId w:val="37"/>
        </w:numPr>
        <w:spacing w:after="228"/>
        <w:ind w:right="189" w:hanging="360"/>
      </w:pPr>
      <w:r>
        <w:t>монотерапии #эверолимусом** (#эверолимус** 10 мг/сут перорально) [204, 205, 212].</w:t>
      </w:r>
    </w:p>
    <w:p w:rsidR="00C3791F" w:rsidRDefault="00AE1F83">
      <w:pPr>
        <w:spacing w:after="272" w:line="265" w:lineRule="auto"/>
        <w:ind w:left="76"/>
      </w:pPr>
      <w:r>
        <w:rPr>
          <w:b/>
        </w:rPr>
        <w:t>Уровень убедительности рекомендаций − С (уровень достоверности доказательств – 4).</w:t>
      </w:r>
    </w:p>
    <w:p w:rsidR="00C3791F" w:rsidRDefault="00AE1F83">
      <w:pPr>
        <w:spacing w:after="233"/>
        <w:ind w:left="127" w:right="189" w:firstLine="567"/>
      </w:pPr>
      <w:r>
        <w:rPr>
          <w:rFonts w:ascii="Segoe UI Symbol" w:eastAsia="Segoe UI Symbol" w:hAnsi="Segoe UI Symbol" w:cs="Segoe UI Symbol"/>
        </w:rPr>
        <w:t xml:space="preserve"> </w:t>
      </w:r>
      <w:r>
        <w:t xml:space="preserve">В терапии пациентов с ПКР всех групп прогноза IMDC, имеющих резистентность к антиангиогенной терапии TKI или антителами к VEGF, </w:t>
      </w:r>
      <w:r>
        <w:rPr>
          <w:b/>
        </w:rPr>
        <w:t>рекомендуется</w:t>
      </w:r>
      <w:r>
        <w:t xml:space="preserve"> предпочтительное назначение: </w:t>
      </w:r>
    </w:p>
    <w:p w:rsidR="00C3791F" w:rsidRDefault="00AE1F83">
      <w:pPr>
        <w:numPr>
          <w:ilvl w:val="0"/>
          <w:numId w:val="37"/>
        </w:numPr>
        <w:spacing w:after="228"/>
        <w:ind w:right="189" w:hanging="360"/>
      </w:pPr>
      <w:r>
        <w:t>монотерапии ниволумабом** (ниволумаб** 3 мг/кг или 240 мг в/в капельно 1 раз в 2 нед</w:t>
      </w:r>
      <w:r>
        <w:t xml:space="preserve"> или 480 мг в/в капельно 1 раз в 4 нед) [198, 211, 212] или </w:t>
      </w:r>
    </w:p>
    <w:p w:rsidR="00C3791F" w:rsidRDefault="00AE1F83">
      <w:pPr>
        <w:spacing w:after="348" w:line="265" w:lineRule="auto"/>
        <w:ind w:left="10"/>
      </w:pPr>
      <w:r>
        <w:rPr>
          <w:b/>
        </w:rPr>
        <w:t>Уровень убедительности рекомендаций − В (уровень достоверности доказательств – 2).</w:t>
      </w:r>
    </w:p>
    <w:p w:rsidR="00C3791F" w:rsidRDefault="00AE1F83">
      <w:pPr>
        <w:numPr>
          <w:ilvl w:val="0"/>
          <w:numId w:val="37"/>
        </w:numPr>
        <w:spacing w:after="28"/>
        <w:ind w:right="189" w:hanging="360"/>
      </w:pPr>
      <w:r>
        <w:t>монотерапии кабозантинибом** (кабозантиниб** 60 мг/сут перорально ежедневно) [184, 211, 212].</w:t>
      </w:r>
    </w:p>
    <w:p w:rsidR="00C3791F" w:rsidRDefault="00AE1F83">
      <w:pPr>
        <w:spacing w:after="272" w:line="265" w:lineRule="auto"/>
        <w:ind w:left="10"/>
      </w:pPr>
      <w:r>
        <w:rPr>
          <w:b/>
        </w:rPr>
        <w:t>Уровень убедительн</w:t>
      </w:r>
      <w:r>
        <w:rPr>
          <w:b/>
        </w:rPr>
        <w:t>ости рекомендаций − В (уровень достоверности доказательств – 2).</w:t>
      </w:r>
    </w:p>
    <w:p w:rsidR="00C3791F" w:rsidRDefault="00AE1F83">
      <w:pPr>
        <w:ind w:left="127" w:right="189" w:firstLine="567"/>
      </w:pPr>
      <w:r>
        <w:rPr>
          <w:rFonts w:ascii="Segoe UI Symbol" w:eastAsia="Segoe UI Symbol" w:hAnsi="Segoe UI Symbol" w:cs="Segoe UI Symbol"/>
        </w:rPr>
        <w:t xml:space="preserve"> </w:t>
      </w:r>
      <w:r>
        <w:t xml:space="preserve">В качестве альтернативы в терапии пациентов с ПКР всех групп прогноза IMDC, имеющих резистентность к антиангиогенной терапии TKI или антителами к VEGF, </w:t>
      </w:r>
      <w:r>
        <w:rPr>
          <w:b/>
        </w:rPr>
        <w:t>рекомендуется</w:t>
      </w:r>
      <w:r>
        <w:t xml:space="preserve"> назначение комбинации л</w:t>
      </w:r>
      <w:r>
        <w:t xml:space="preserve">енватиниба** с эверолимусом** (ленватиниб** </w:t>
      </w:r>
    </w:p>
    <w:p w:rsidR="00C3791F" w:rsidRDefault="00AE1F83">
      <w:pPr>
        <w:spacing w:after="354" w:line="259" w:lineRule="auto"/>
        <w:ind w:left="137" w:right="189"/>
      </w:pPr>
      <w:r>
        <w:t xml:space="preserve">18 мг/сут перорально ежедневно, эверолимус** 5 мг/сут перорально ежедневно) [197, 211]. </w:t>
      </w:r>
    </w:p>
    <w:p w:rsidR="00C3791F" w:rsidRDefault="00AE1F83">
      <w:pPr>
        <w:spacing w:after="272" w:line="265" w:lineRule="auto"/>
        <w:ind w:left="10"/>
      </w:pPr>
      <w:r>
        <w:rPr>
          <w:b/>
        </w:rPr>
        <w:t>Уровень убедительности рекомендаций − В (уровень достоверности доказательств – 3).</w:t>
      </w:r>
    </w:p>
    <w:p w:rsidR="00C3791F" w:rsidRDefault="00AE1F83">
      <w:pPr>
        <w:numPr>
          <w:ilvl w:val="2"/>
          <w:numId w:val="42"/>
        </w:numPr>
        <w:ind w:right="189" w:firstLine="567"/>
      </w:pPr>
      <w:r>
        <w:t>В качестве допустимого режима терапии п</w:t>
      </w:r>
      <w:r>
        <w:t xml:space="preserve">ациентов с ПКР всех групп прогноза IMDC, имеющих резистентность к антиангиогенной терапии TKI или антителами к VEGF, </w:t>
      </w:r>
      <w:r>
        <w:rPr>
          <w:b/>
        </w:rPr>
        <w:t>рекомендуется</w:t>
      </w:r>
      <w:r>
        <w:t xml:space="preserve"> назначение монотерапии акситинибом** (акситиниб** 5 мг 2 раза в сутки перорально с эскалацией дозы до 10 мг 2 раза в сутки) [</w:t>
      </w:r>
      <w:r>
        <w:t>195].</w:t>
      </w:r>
    </w:p>
    <w:p w:rsidR="00C3791F" w:rsidRDefault="00AE1F83">
      <w:pPr>
        <w:spacing w:after="272" w:line="265" w:lineRule="auto"/>
        <w:ind w:left="10"/>
      </w:pPr>
      <w:r>
        <w:rPr>
          <w:b/>
        </w:rPr>
        <w:t>Уровень убедительности рекомендаций − В (уровень достоверности доказательств – 2).</w:t>
      </w:r>
    </w:p>
    <w:p w:rsidR="00C3791F" w:rsidRDefault="00AE1F83">
      <w:pPr>
        <w:numPr>
          <w:ilvl w:val="2"/>
          <w:numId w:val="42"/>
        </w:numPr>
        <w:spacing w:after="112"/>
        <w:ind w:right="189" w:firstLine="567"/>
      </w:pPr>
      <w:r>
        <w:t xml:space="preserve">Пациентам с ПКР, имеющим резистентность к иммунотаргетной терапии, </w:t>
      </w:r>
      <w:r>
        <w:rPr>
          <w:b/>
        </w:rPr>
        <w:t>рекомендуется</w:t>
      </w:r>
      <w:r>
        <w:t xml:space="preserve"> предпочтительное участие в клинических исследованиях [102]. </w:t>
      </w:r>
    </w:p>
    <w:p w:rsidR="00C3791F" w:rsidRDefault="00AE1F83">
      <w:pPr>
        <w:spacing w:after="392" w:line="265" w:lineRule="auto"/>
        <w:ind w:left="10"/>
      </w:pPr>
      <w:r>
        <w:rPr>
          <w:b/>
        </w:rPr>
        <w:t xml:space="preserve"> Уровень убедительности р</w:t>
      </w:r>
      <w:r>
        <w:rPr>
          <w:b/>
        </w:rPr>
        <w:t>екомендаций – С (уровень достоверности доказательств – 5).</w:t>
      </w:r>
    </w:p>
    <w:p w:rsidR="00C3791F" w:rsidRDefault="00AE1F83">
      <w:pPr>
        <w:numPr>
          <w:ilvl w:val="2"/>
          <w:numId w:val="42"/>
        </w:numPr>
        <w:spacing w:after="232"/>
        <w:ind w:right="189" w:firstLine="567"/>
      </w:pPr>
      <w:r>
        <w:t xml:space="preserve">Пациентам с ПКР, имеющим резистентность к иммунотаргетной терапии, в качестве альтернативы </w:t>
      </w:r>
      <w:r>
        <w:rPr>
          <w:b/>
        </w:rPr>
        <w:t>рекомендуется</w:t>
      </w:r>
      <w:r>
        <w:t xml:space="preserve"> назначение:</w:t>
      </w:r>
    </w:p>
    <w:p w:rsidR="00C3791F" w:rsidRDefault="00AE1F83">
      <w:pPr>
        <w:numPr>
          <w:ilvl w:val="1"/>
          <w:numId w:val="41"/>
        </w:numPr>
        <w:spacing w:after="108"/>
        <w:ind w:right="189"/>
      </w:pPr>
      <w:r>
        <w:t xml:space="preserve">монотерапии кабозантинибом** (кабозантиниб** 60 мг/сут перорально ежедневно) </w:t>
      </w:r>
      <w:r>
        <w:t>[184, 211] или</w:t>
      </w:r>
    </w:p>
    <w:p w:rsidR="00C3791F" w:rsidRDefault="00AE1F83">
      <w:pPr>
        <w:spacing w:after="228" w:line="265" w:lineRule="auto"/>
        <w:ind w:left="76"/>
      </w:pPr>
      <w:r>
        <w:rPr>
          <w:b/>
        </w:rPr>
        <w:t>Уровень убедительности рекомендаций – В (уровень достоверности доказательств – 2).</w:t>
      </w:r>
    </w:p>
    <w:p w:rsidR="00C3791F" w:rsidRDefault="00AE1F83">
      <w:pPr>
        <w:numPr>
          <w:ilvl w:val="1"/>
          <w:numId w:val="41"/>
        </w:numPr>
        <w:spacing w:after="228"/>
        <w:ind w:right="189"/>
      </w:pPr>
      <w:r>
        <w:t xml:space="preserve">комбинации ленватиниба** с эверолимусом** (ленватиниб** 18 мг/сут перорально ежедневно, эверолимус** 5 мг/сут перорально ежедневно) [197, 211]. </w:t>
      </w:r>
    </w:p>
    <w:p w:rsidR="00C3791F" w:rsidRDefault="00AE1F83">
      <w:pPr>
        <w:spacing w:after="272" w:line="265" w:lineRule="auto"/>
        <w:ind w:left="76"/>
      </w:pPr>
      <w:r>
        <w:rPr>
          <w:b/>
        </w:rPr>
        <w:t>Уровень убеди</w:t>
      </w:r>
      <w:r>
        <w:rPr>
          <w:b/>
        </w:rPr>
        <w:t>тельности рекомендаций – В (уровень достоверности доказательств – 3).</w:t>
      </w:r>
    </w:p>
    <w:p w:rsidR="00C3791F" w:rsidRDefault="00AE1F83">
      <w:pPr>
        <w:numPr>
          <w:ilvl w:val="2"/>
          <w:numId w:val="40"/>
        </w:numPr>
        <w:spacing w:after="112"/>
        <w:ind w:right="189" w:firstLine="567"/>
      </w:pPr>
      <w:r>
        <w:t xml:space="preserve">Пациентам с ПКР, имеющим резистентность к комбинированной иммунотерапии, </w:t>
      </w:r>
      <w:r>
        <w:rPr>
          <w:b/>
        </w:rPr>
        <w:t>рекомендуется</w:t>
      </w:r>
      <w:r>
        <w:t xml:space="preserve"> предпочтительное участие в клинических исследованиях [102]. </w:t>
      </w:r>
    </w:p>
    <w:p w:rsidR="00C3791F" w:rsidRDefault="00AE1F83">
      <w:pPr>
        <w:spacing w:after="392" w:line="265" w:lineRule="auto"/>
        <w:ind w:left="10"/>
      </w:pPr>
      <w:r>
        <w:rPr>
          <w:b/>
        </w:rPr>
        <w:t xml:space="preserve"> Уровень убедительности рекомендаций –</w:t>
      </w:r>
      <w:r>
        <w:rPr>
          <w:b/>
        </w:rPr>
        <w:t xml:space="preserve"> С (уровень достоверности доказательств – 5).</w:t>
      </w:r>
    </w:p>
    <w:p w:rsidR="00C3791F" w:rsidRDefault="00AE1F83">
      <w:pPr>
        <w:numPr>
          <w:ilvl w:val="2"/>
          <w:numId w:val="40"/>
        </w:numPr>
        <w:ind w:right="189" w:firstLine="567"/>
      </w:pPr>
      <w:r>
        <w:t xml:space="preserve">Пациентам с ПКР, имеющим резистентность к комбинированной иммунотерапии, в качестве допустимых режимов </w:t>
      </w:r>
      <w:r>
        <w:rPr>
          <w:b/>
        </w:rPr>
        <w:t>рекомендуется</w:t>
      </w:r>
      <w:r>
        <w:t xml:space="preserve"> назначение:</w:t>
      </w:r>
    </w:p>
    <w:p w:rsidR="00C3791F" w:rsidRDefault="00AE1F83">
      <w:pPr>
        <w:numPr>
          <w:ilvl w:val="1"/>
          <w:numId w:val="38"/>
        </w:numPr>
        <w:spacing w:after="108"/>
        <w:ind w:right="189" w:hanging="360"/>
      </w:pPr>
      <w:r>
        <w:t>монотерапии кабозантинибом** (кабозантиниб** 60 мг/сут перорально ежедневно) [196</w:t>
      </w:r>
      <w:r>
        <w:t>, 211] или</w:t>
      </w:r>
    </w:p>
    <w:p w:rsidR="00C3791F" w:rsidRDefault="00AE1F83">
      <w:pPr>
        <w:spacing w:after="108" w:line="265" w:lineRule="auto"/>
        <w:ind w:left="137"/>
      </w:pPr>
      <w:r>
        <w:rPr>
          <w:b/>
        </w:rPr>
        <w:t xml:space="preserve">Уровень убедительности рекомендаций – В (уровень достоверности доказательств – </w:t>
      </w:r>
    </w:p>
    <w:p w:rsidR="00C3791F" w:rsidRDefault="00AE1F83">
      <w:pPr>
        <w:spacing w:after="228" w:line="265" w:lineRule="auto"/>
        <w:ind w:left="137"/>
      </w:pPr>
      <w:r>
        <w:rPr>
          <w:b/>
        </w:rPr>
        <w:t>2).</w:t>
      </w:r>
    </w:p>
    <w:p w:rsidR="00C3791F" w:rsidRDefault="00AE1F83">
      <w:pPr>
        <w:numPr>
          <w:ilvl w:val="1"/>
          <w:numId w:val="38"/>
        </w:numPr>
        <w:spacing w:after="108"/>
        <w:ind w:right="189" w:hanging="360"/>
      </w:pPr>
      <w:r>
        <w:t xml:space="preserve">комбинации ленватиниба** с эверолимусом** (ленватиниб** 18 мг/сут перорально ежедневно, эверолимус** 5 мг/сут перорально ежедневно) [213] или </w:t>
      </w:r>
    </w:p>
    <w:p w:rsidR="00C3791F" w:rsidRDefault="00AE1F83">
      <w:pPr>
        <w:spacing w:after="228" w:line="265" w:lineRule="auto"/>
        <w:ind w:left="76"/>
      </w:pPr>
      <w:r>
        <w:rPr>
          <w:b/>
        </w:rPr>
        <w:t>Уровень убедительн</w:t>
      </w:r>
      <w:r>
        <w:rPr>
          <w:b/>
        </w:rPr>
        <w:t>ости рекомендаций – С (уровень достоверности доказательств – 4).</w:t>
      </w:r>
    </w:p>
    <w:p w:rsidR="00C3791F" w:rsidRDefault="00AE1F83">
      <w:pPr>
        <w:numPr>
          <w:ilvl w:val="1"/>
          <w:numId w:val="38"/>
        </w:numPr>
        <w:spacing w:after="228"/>
        <w:ind w:right="189" w:hanging="360"/>
      </w:pPr>
      <w:r>
        <w:t>монотерапии сунитинибом** (сунитиниб** 50 мг/сут перорально ежедневно в течение 4 нед с интервалом между циклами 2 нед) [202, 214] или</w:t>
      </w:r>
    </w:p>
    <w:p w:rsidR="00C3791F" w:rsidRDefault="00AE1F83">
      <w:pPr>
        <w:spacing w:after="228" w:line="265" w:lineRule="auto"/>
        <w:ind w:left="76"/>
      </w:pPr>
      <w:r>
        <w:rPr>
          <w:b/>
        </w:rPr>
        <w:t>Уровень убедительности рекомендаций − B (уровень достоверности доказательств – 3).</w:t>
      </w:r>
    </w:p>
    <w:p w:rsidR="00C3791F" w:rsidRDefault="00AE1F83">
      <w:pPr>
        <w:numPr>
          <w:ilvl w:val="1"/>
          <w:numId w:val="38"/>
        </w:numPr>
        <w:spacing w:after="228"/>
        <w:ind w:right="189" w:hanging="360"/>
      </w:pPr>
      <w:r>
        <w:t>монотерапии пазопанибом** (пазопаниб** 800 мг/сут перорально ежедневно) [214, 215].</w:t>
      </w:r>
    </w:p>
    <w:p w:rsidR="00C3791F" w:rsidRDefault="00AE1F83">
      <w:pPr>
        <w:spacing w:after="272" w:line="265" w:lineRule="auto"/>
        <w:ind w:left="76"/>
      </w:pPr>
      <w:r>
        <w:rPr>
          <w:b/>
        </w:rPr>
        <w:t>Уровень убедительности рекомендаций − В (уровень достоверности доказательств – 2).</w:t>
      </w:r>
    </w:p>
    <w:p w:rsidR="00C3791F" w:rsidRDefault="00AE1F83">
      <w:pPr>
        <w:spacing w:after="113"/>
        <w:ind w:left="127" w:right="189" w:firstLine="567"/>
      </w:pPr>
      <w:r>
        <w:rPr>
          <w:rFonts w:ascii="Segoe UI Symbol" w:eastAsia="Segoe UI Symbol" w:hAnsi="Segoe UI Symbol" w:cs="Segoe UI Symbol"/>
        </w:rPr>
        <w:t xml:space="preserve"> </w:t>
      </w:r>
      <w:r>
        <w:t>У от</w:t>
      </w:r>
      <w:r>
        <w:t xml:space="preserve">дельных пациентов, имеющих доказанную резистентность, противопоказания, непереносимость или отсутствие доступа к назначению предпочтительных, альтернативных и допустимого режимов, </w:t>
      </w:r>
      <w:r>
        <w:rPr>
          <w:b/>
        </w:rPr>
        <w:t>рекомендуется</w:t>
      </w:r>
      <w:r>
        <w:t xml:space="preserve"> назначение: </w:t>
      </w:r>
    </w:p>
    <w:p w:rsidR="00C3791F" w:rsidRDefault="00AE1F83">
      <w:pPr>
        <w:numPr>
          <w:ilvl w:val="1"/>
          <w:numId w:val="39"/>
        </w:numPr>
        <w:spacing w:after="228"/>
        <w:ind w:right="189"/>
      </w:pPr>
      <w:r>
        <w:t xml:space="preserve">монотерапии эверолимусом** (эверолимус** 10 мг/сут перорально ежедневно) [214] или </w:t>
      </w:r>
    </w:p>
    <w:p w:rsidR="00C3791F" w:rsidRDefault="00AE1F83">
      <w:pPr>
        <w:spacing w:after="228" w:line="265" w:lineRule="auto"/>
        <w:ind w:left="76"/>
      </w:pPr>
      <w:r>
        <w:rPr>
          <w:b/>
        </w:rPr>
        <w:t>Уровень убедительности рекомендаций - В (уровень достоверности доказательств – 3).</w:t>
      </w:r>
    </w:p>
    <w:p w:rsidR="00C3791F" w:rsidRDefault="00AE1F83">
      <w:pPr>
        <w:numPr>
          <w:ilvl w:val="1"/>
          <w:numId w:val="39"/>
        </w:numPr>
        <w:spacing w:after="228"/>
        <w:ind w:right="189"/>
      </w:pPr>
      <w:r>
        <w:t>монотерапии сунитинибом** (сунитиниб** 50 мг/сут перорально ежедневно в течение 4 нед с и</w:t>
      </w:r>
      <w:r>
        <w:t xml:space="preserve">нтервалом между циклами 2 нед) [214] или </w:t>
      </w:r>
    </w:p>
    <w:p w:rsidR="00C3791F" w:rsidRDefault="00AE1F83">
      <w:pPr>
        <w:spacing w:after="228" w:line="265" w:lineRule="auto"/>
        <w:ind w:left="76"/>
      </w:pPr>
      <w:r>
        <w:rPr>
          <w:b/>
        </w:rPr>
        <w:t>Уровень убедительности рекомендаций - В (уровень достоверности доказательств – 3).</w:t>
      </w:r>
    </w:p>
    <w:p w:rsidR="00C3791F" w:rsidRDefault="00AE1F83">
      <w:pPr>
        <w:numPr>
          <w:ilvl w:val="1"/>
          <w:numId w:val="39"/>
        </w:numPr>
        <w:spacing w:after="228"/>
        <w:ind w:right="189"/>
      </w:pPr>
      <w:r>
        <w:t>монотерапии пазопанибом** (пазопаниб** 800 мг/сут перорально ежедневно) [216, 217] или</w:t>
      </w:r>
    </w:p>
    <w:p w:rsidR="00C3791F" w:rsidRDefault="00AE1F83">
      <w:pPr>
        <w:spacing w:after="108"/>
        <w:ind w:left="76"/>
      </w:pPr>
      <w:r>
        <w:rPr>
          <w:b/>
        </w:rPr>
        <w:t>Уровень убедительности рекомендаций − А (уро</w:t>
      </w:r>
      <w:r>
        <w:rPr>
          <w:b/>
        </w:rPr>
        <w:t xml:space="preserve">вень достоверности доказательств – 2). </w:t>
      </w:r>
      <w:r>
        <w:rPr>
          <w:rFonts w:ascii="Courier New" w:eastAsia="Courier New" w:hAnsi="Courier New" w:cs="Courier New"/>
        </w:rPr>
        <w:t xml:space="preserve">o </w:t>
      </w:r>
      <w:r>
        <w:t>монотерапии сорафенибом** (сорафениб** 800 мг/сут перорально ежедневно) [192, 218] или</w:t>
      </w:r>
    </w:p>
    <w:p w:rsidR="00C3791F" w:rsidRDefault="00AE1F83">
      <w:pPr>
        <w:spacing w:after="228" w:line="265" w:lineRule="auto"/>
        <w:ind w:left="76"/>
      </w:pPr>
      <w:r>
        <w:rPr>
          <w:b/>
        </w:rPr>
        <w:t>Уровень убедительности рекомендаций − А (уровень достоверности доказательств – 2).</w:t>
      </w:r>
    </w:p>
    <w:p w:rsidR="00C3791F" w:rsidRDefault="00AE1F83">
      <w:pPr>
        <w:numPr>
          <w:ilvl w:val="1"/>
          <w:numId w:val="39"/>
        </w:numPr>
        <w:spacing w:after="111"/>
        <w:ind w:right="189"/>
      </w:pPr>
      <w:r>
        <w:t>комбинации бевацизумаба** с ИФН-α** (бевацизу</w:t>
      </w:r>
      <w:r>
        <w:t>маб** 10 мг/кг в/в капельно 1 раз в 2 нед, ИФН-α** 3 млн ЕД п/к 3 раза в нед с эскалацией дозы до 9 млн ЕД) [178, 179, 220, 253].</w:t>
      </w:r>
    </w:p>
    <w:p w:rsidR="00C3791F" w:rsidRDefault="00AE1F83">
      <w:pPr>
        <w:spacing w:after="108" w:line="265" w:lineRule="auto"/>
        <w:ind w:left="76"/>
      </w:pPr>
      <w:r>
        <w:rPr>
          <w:b/>
        </w:rPr>
        <w:t>Уровень убедительности рекомендаций − А (уровень достоверности доказательств – 2).</w:t>
      </w:r>
    </w:p>
    <w:p w:rsidR="00C3791F" w:rsidRDefault="00AE1F83">
      <w:pPr>
        <w:spacing w:after="243" w:line="359" w:lineRule="auto"/>
        <w:ind w:left="127" w:right="208" w:firstLine="710"/>
      </w:pPr>
      <w:r>
        <w:rPr>
          <w:b/>
          <w:i/>
        </w:rPr>
        <w:t>Комментарий:</w:t>
      </w:r>
      <w:r>
        <w:t xml:space="preserve"> </w:t>
      </w:r>
      <w:r>
        <w:rPr>
          <w:i/>
        </w:rPr>
        <w:t>алгоритм выбора режима лекарст</w:t>
      </w:r>
      <w:r>
        <w:rPr>
          <w:i/>
        </w:rPr>
        <w:t xml:space="preserve">венной терапии у пациентов с ПКР представлен в табл. П4 Приложения Б. </w:t>
      </w:r>
    </w:p>
    <w:p w:rsidR="00C3791F" w:rsidRDefault="00AE1F83">
      <w:pPr>
        <w:ind w:left="127" w:right="189" w:firstLine="567"/>
      </w:pPr>
      <w:r>
        <w:rPr>
          <w:rFonts w:ascii="Segoe UI Symbol" w:eastAsia="Segoe UI Symbol" w:hAnsi="Segoe UI Symbol" w:cs="Segoe UI Symbol"/>
        </w:rPr>
        <w:t xml:space="preserve"> </w:t>
      </w:r>
      <w:r>
        <w:rPr>
          <w:b/>
        </w:rPr>
        <w:t>Рекомендуется</w:t>
      </w:r>
      <w:r>
        <w:t xml:space="preserve"> проводить оценку эффективности проводимой лекарственной терапии ПКР каждые 2−3 мес от начала лечения. Пациентам с измеряемыми опухолевыми </w:t>
      </w:r>
      <w:r>
        <w:t>очагами, получающим антиангиогенную терапию, оценка эффекта производится по критериям RECIST; пациентам, получающим ингибиторы PD-1/PD-L1, − по критериям iRECIST. В случае появления клинических признаков прогрессирования заболевания возможно назначение кон</w:t>
      </w:r>
      <w:r>
        <w:t>трольного обследования раньше намеченного срока [180–182, 184, 186, 187, 192–197, 219].</w:t>
      </w:r>
    </w:p>
    <w:p w:rsidR="00C3791F" w:rsidRDefault="00AE1F83">
      <w:pPr>
        <w:spacing w:after="114" w:line="259" w:lineRule="auto"/>
        <w:ind w:left="10" w:right="181"/>
        <w:jc w:val="right"/>
      </w:pPr>
      <w:r>
        <w:rPr>
          <w:b/>
          <w:shd w:val="clear" w:color="auto" w:fill="FCFCFC"/>
        </w:rPr>
        <w:t>Уровень убедительности рекомендаций − С (уровень достоверности</w:t>
      </w:r>
      <w:r>
        <w:rPr>
          <w:b/>
        </w:rPr>
        <w:t xml:space="preserve"> </w:t>
      </w:r>
    </w:p>
    <w:p w:rsidR="00C3791F" w:rsidRDefault="00AE1F83">
      <w:pPr>
        <w:shd w:val="clear" w:color="auto" w:fill="FCFCFC"/>
        <w:spacing w:after="568" w:line="259" w:lineRule="auto"/>
        <w:ind w:left="142" w:firstLine="0"/>
        <w:jc w:val="left"/>
      </w:pPr>
      <w:r>
        <w:rPr>
          <w:b/>
        </w:rPr>
        <w:t>доказательств – 5)</w:t>
      </w:r>
      <w:r>
        <w:t>.</w:t>
      </w:r>
    </w:p>
    <w:p w:rsidR="00C3791F" w:rsidRDefault="00AE1F83">
      <w:pPr>
        <w:spacing w:after="108" w:line="265" w:lineRule="auto"/>
        <w:ind w:left="861"/>
      </w:pPr>
      <w:r>
        <w:rPr>
          <w:b/>
        </w:rPr>
        <w:t>3.5. Обезболивание</w:t>
      </w:r>
    </w:p>
    <w:p w:rsidR="00C3791F" w:rsidRDefault="00AE1F83">
      <w:pPr>
        <w:spacing w:after="447"/>
        <w:ind w:left="127" w:right="189" w:firstLine="709"/>
      </w:pPr>
      <w:r>
        <w:t>Принципы обезболивания и оптимального выбора противоболевой терап</w:t>
      </w:r>
      <w:r>
        <w:t>ии у пациентов, страдающих раком паренхимы почки, с хроническим болевым синдромом, соответствуют принципам обезболивания, изложенным в действующих клинических рекомендациях «Хронический болевой синдром у взрослых пациентов, нуждающихся в паллиативной медиц</w:t>
      </w:r>
      <w:r>
        <w:t>инской помощи».</w:t>
      </w:r>
    </w:p>
    <w:p w:rsidR="00C3791F" w:rsidRDefault="00AE1F83">
      <w:pPr>
        <w:pStyle w:val="Heading3"/>
        <w:ind w:left="21"/>
      </w:pPr>
      <w:r>
        <w:t>3.6. Сопроводительная терапия у пациентов с почечно-клеточным раком</w:t>
      </w:r>
    </w:p>
    <w:p w:rsidR="00C3791F" w:rsidRDefault="00AE1F83">
      <w:pPr>
        <w:spacing w:after="113"/>
        <w:ind w:left="127" w:right="189" w:firstLine="709"/>
      </w:pPr>
      <w:r>
        <w:rPr>
          <w:b/>
        </w:rPr>
        <w:t xml:space="preserve">Принципы профилактики и лечения анемии </w:t>
      </w:r>
      <w:r>
        <w:t>соответствуют принципам, изложенным в клинических рекомендациях «Анемия при злокачественных новообразованиях» (ID: КР624.2, год утвер</w:t>
      </w:r>
      <w:r>
        <w:t xml:space="preserve">ждения 2024) и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Орлова Р.В. и соавт. Анемия [41]. </w:t>
      </w:r>
    </w:p>
    <w:p w:rsidR="00C3791F" w:rsidRDefault="00AE1F83">
      <w:pPr>
        <w:spacing w:after="228" w:line="265" w:lineRule="auto"/>
        <w:ind w:left="846"/>
        <w:jc w:val="left"/>
      </w:pPr>
      <w:hyperlink r:id="rId9">
        <w:r>
          <w:rPr>
            <w:color w:val="000080"/>
            <w:u w:val="single" w:color="000080"/>
          </w:rPr>
          <w:t>https://rosoncoweb.ru/standarts/?chapter=anemia</w:t>
        </w:r>
      </w:hyperlink>
      <w:r>
        <w:t xml:space="preserve"> </w:t>
      </w:r>
    </w:p>
    <w:p w:rsidR="00C3791F" w:rsidRDefault="00AE1F83">
      <w:pPr>
        <w:ind w:left="127" w:right="189" w:firstLine="709"/>
      </w:pPr>
      <w:r>
        <w:rPr>
          <w:b/>
        </w:rPr>
        <w:t>Принципы лечения и профилактики тошноты и рвоты</w:t>
      </w:r>
      <w:r>
        <w:t xml:space="preserve"> у пациентов с раком паренхимы почки изложены в Практических Рекомендациях Российского общества клинической онкологии по п</w:t>
      </w:r>
      <w:r>
        <w:t xml:space="preserve">рофилактике и лечению осложнений злокачественных опухолей и противоопухолевой лекарственной терапии: Владимирова Л. Ю. и соавт. </w:t>
      </w:r>
    </w:p>
    <w:p w:rsidR="00C3791F" w:rsidRDefault="00AE1F83">
      <w:pPr>
        <w:spacing w:after="234" w:line="259" w:lineRule="auto"/>
        <w:ind w:left="137" w:right="189"/>
      </w:pPr>
      <w:r>
        <w:t xml:space="preserve">Тошнота и рвота. </w:t>
      </w:r>
    </w:p>
    <w:p w:rsidR="00C3791F" w:rsidRDefault="00AE1F83">
      <w:pPr>
        <w:spacing w:after="228" w:line="265" w:lineRule="auto"/>
        <w:ind w:left="846"/>
        <w:jc w:val="left"/>
      </w:pPr>
      <w:hyperlink r:id="rId10">
        <w:r>
          <w:rPr>
            <w:color w:val="000080"/>
            <w:u w:val="single" w:color="000080"/>
          </w:rPr>
          <w:t>https://rosoncoweb.ru/standarts/?</w:t>
        </w:r>
        <w:r>
          <w:rPr>
            <w:color w:val="000080"/>
            <w:u w:val="single" w:color="000080"/>
          </w:rPr>
          <w:t>chapter=nausea_vomiting</w:t>
        </w:r>
      </w:hyperlink>
      <w:r>
        <w:t xml:space="preserve"> </w:t>
      </w:r>
    </w:p>
    <w:p w:rsidR="00C3791F" w:rsidRDefault="00AE1F83">
      <w:pPr>
        <w:ind w:left="127" w:right="189" w:firstLine="709"/>
      </w:pPr>
      <w:r>
        <w:rPr>
          <w:b/>
        </w:rPr>
        <w:t>Принципы лечения и профилактики костных осложнений</w:t>
      </w:r>
      <w:r>
        <w:t xml:space="preserve"> у пациентов с раком паренхимы почки изложены в Практических Рекомендациях Российского общества клинической онкологии по профилактике и лечению осложнений злокачественных опухолей и</w:t>
      </w:r>
      <w:r>
        <w:t xml:space="preserve"> противоопухолевой лекарственной терапии: Багрова С. Г. и соавт. Патология костной ткани.</w:t>
      </w:r>
    </w:p>
    <w:p w:rsidR="00C3791F" w:rsidRDefault="00AE1F83">
      <w:pPr>
        <w:spacing w:after="108" w:line="265" w:lineRule="auto"/>
        <w:ind w:left="846"/>
        <w:jc w:val="left"/>
      </w:pPr>
      <w:hyperlink r:id="rId11">
        <w:r>
          <w:rPr>
            <w:color w:val="000080"/>
            <w:u w:val="single" w:color="000080"/>
          </w:rPr>
          <w:t>https://rosoncoweb.ru/standarts/?chapter=bone_pathology</w:t>
        </w:r>
      </w:hyperlink>
      <w:r>
        <w:t xml:space="preserve"> </w:t>
      </w:r>
    </w:p>
    <w:p w:rsidR="00C3791F" w:rsidRDefault="00AE1F83">
      <w:pPr>
        <w:ind w:left="127" w:right="189" w:firstLine="709"/>
      </w:pPr>
      <w:r>
        <w:rPr>
          <w:b/>
        </w:rPr>
        <w:t>Принципы профилактики и лечения инфекционных осложнений и фебрильной нейтропении</w:t>
      </w:r>
      <w:r>
        <w:t xml:space="preserve"> у пациентов с раком паренхимы почки принципы антибактериальной терапии изложены в Практических Рекомендациях Российского общества клинической онкологии по профилактике и лечен</w:t>
      </w:r>
      <w:r>
        <w:t>ию осложнений злокачественных опухолей и противоопухолевой лекарственной терапии: Сакаева Д. Д. и соавт. Практические рекомендации по диагностике и лечению фебрильной нейтропении.</w:t>
      </w:r>
    </w:p>
    <w:p w:rsidR="00C3791F" w:rsidRDefault="00AE1F83">
      <w:pPr>
        <w:spacing w:after="108" w:line="265" w:lineRule="auto"/>
        <w:ind w:left="846"/>
        <w:jc w:val="left"/>
      </w:pPr>
      <w:hyperlink r:id="rId12">
        <w:r>
          <w:rPr>
            <w:color w:val="000080"/>
            <w:u w:val="single" w:color="000080"/>
          </w:rPr>
          <w:t>https://rosoncoweb.ru/standarts/?chapter=febrile_neutropenia</w:t>
        </w:r>
      </w:hyperlink>
      <w:r>
        <w:t xml:space="preserve"> </w:t>
      </w:r>
    </w:p>
    <w:p w:rsidR="00C3791F" w:rsidRDefault="00AE1F83">
      <w:pPr>
        <w:ind w:left="127" w:right="189" w:firstLine="709"/>
      </w:pPr>
      <w:r>
        <w:rPr>
          <w:b/>
        </w:rPr>
        <w:t>Принципы профилактики и лечения гепатотоксичности</w:t>
      </w:r>
      <w:r>
        <w:t xml:space="preserve"> у пациентов с раком паренхимы почки изложены в Практических Рекомендациях Российского общества клинической онкологии по профилактике и лечен</w:t>
      </w:r>
      <w:r>
        <w:t>ию осложнений злокачественных опухолей и противоопухолевой лекарственной терапии: Ткаченко П. Е. и соавт. Гепатотоксичность.</w:t>
      </w:r>
    </w:p>
    <w:p w:rsidR="00C3791F" w:rsidRDefault="00AE1F83">
      <w:pPr>
        <w:spacing w:after="108" w:line="265" w:lineRule="auto"/>
        <w:ind w:left="846"/>
        <w:jc w:val="left"/>
      </w:pPr>
      <w:hyperlink r:id="rId13">
        <w:r>
          <w:rPr>
            <w:color w:val="000080"/>
            <w:u w:val="single" w:color="000080"/>
          </w:rPr>
          <w:t>https://rosoncoweb.ru/standarts/?chapter=hepatotoxicity</w:t>
        </w:r>
      </w:hyperlink>
      <w:r>
        <w:t xml:space="preserve"> </w:t>
      </w:r>
      <w:r>
        <w:t xml:space="preserve"> </w:t>
      </w:r>
    </w:p>
    <w:p w:rsidR="00C3791F" w:rsidRDefault="00AE1F83">
      <w:pPr>
        <w:ind w:left="127" w:right="189" w:firstLine="709"/>
      </w:pPr>
      <w:r>
        <w:rPr>
          <w:b/>
        </w:rPr>
        <w:t>Принципы профилактики и лечения сердечно-сосудистых осложнений</w:t>
      </w:r>
      <w:r>
        <w:t xml:space="preserve"> у пациентов с раком паренхимы почки изложены в Практических Рекомендациях Российского общества по профилактике и лечению осложнений злокачественных опухолей и противоопухолевой лекарственной </w:t>
      </w:r>
      <w:r>
        <w:t xml:space="preserve">терапии: Виценя М. В. И соавт. Кардиоваскулярная токсичность. </w:t>
      </w:r>
    </w:p>
    <w:p w:rsidR="00C3791F" w:rsidRDefault="00AE1F83">
      <w:pPr>
        <w:spacing w:after="108" w:line="265" w:lineRule="auto"/>
        <w:ind w:left="846"/>
        <w:jc w:val="left"/>
      </w:pPr>
      <w:hyperlink r:id="rId14">
        <w:r>
          <w:rPr>
            <w:color w:val="000080"/>
            <w:u w:val="single" w:color="000080"/>
          </w:rPr>
          <w:t>https://rosoncoweb.ru/standarts/?chapter=cardiovascular_toxicity</w:t>
        </w:r>
      </w:hyperlink>
      <w:r>
        <w:t xml:space="preserve"> </w:t>
      </w:r>
    </w:p>
    <w:p w:rsidR="00C3791F" w:rsidRDefault="00AE1F83">
      <w:pPr>
        <w:ind w:left="127" w:right="189" w:firstLine="709"/>
      </w:pPr>
      <w:r>
        <w:rPr>
          <w:b/>
        </w:rPr>
        <w:t>Принципы профилактики и лечения кожных осло</w:t>
      </w:r>
      <w:r>
        <w:rPr>
          <w:b/>
        </w:rPr>
        <w:t>жнений</w:t>
      </w:r>
      <w:r>
        <w:t xml:space="preserve"> у пациентов с раком паренхимы почки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Королева И. А. и соавт. </w:t>
      </w:r>
    </w:p>
    <w:p w:rsidR="00C3791F" w:rsidRDefault="00AE1F83">
      <w:pPr>
        <w:spacing w:after="114" w:line="259" w:lineRule="auto"/>
        <w:ind w:left="137" w:right="189"/>
      </w:pPr>
      <w:r>
        <w:t>Де</w:t>
      </w:r>
      <w:r>
        <w:t xml:space="preserve">рматологические реакции. </w:t>
      </w:r>
    </w:p>
    <w:p w:rsidR="00C3791F" w:rsidRDefault="00AE1F83">
      <w:pPr>
        <w:spacing w:after="108" w:line="265" w:lineRule="auto"/>
        <w:ind w:left="846"/>
        <w:jc w:val="left"/>
      </w:pPr>
      <w:hyperlink r:id="rId15">
        <w:r>
          <w:rPr>
            <w:color w:val="000080"/>
            <w:u w:val="single" w:color="000080"/>
          </w:rPr>
          <w:t>https://rosoncoweb.ru/standarts/?chapter=dermatological_reactions</w:t>
        </w:r>
      </w:hyperlink>
      <w:r>
        <w:t xml:space="preserve">  </w:t>
      </w:r>
    </w:p>
    <w:p w:rsidR="00C3791F" w:rsidRDefault="00AE1F83">
      <w:pPr>
        <w:ind w:left="127" w:right="189" w:firstLine="709"/>
      </w:pPr>
      <w:r>
        <w:rPr>
          <w:b/>
        </w:rPr>
        <w:t>Принципы нутритивной поддержки</w:t>
      </w:r>
      <w:r>
        <w:t xml:space="preserve"> у пациентов с раком паренхимы почки представле</w:t>
      </w:r>
      <w:r>
        <w:t xml:space="preserve">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Сытов А. В. и соавт. Нутритивная поддержка. </w:t>
      </w:r>
    </w:p>
    <w:p w:rsidR="00C3791F" w:rsidRDefault="00AE1F83">
      <w:pPr>
        <w:spacing w:after="108" w:line="265" w:lineRule="auto"/>
        <w:ind w:left="846"/>
        <w:jc w:val="left"/>
      </w:pPr>
      <w:hyperlink r:id="rId16">
        <w:r>
          <w:rPr>
            <w:color w:val="000080"/>
            <w:u w:val="single" w:color="000080"/>
          </w:rPr>
          <w:t>https://rosoncoweb.ru/standarts/?chapter=nutritional_support</w:t>
        </w:r>
      </w:hyperlink>
      <w:r>
        <w:t xml:space="preserve"> </w:t>
      </w:r>
    </w:p>
    <w:p w:rsidR="00C3791F" w:rsidRDefault="00AE1F83">
      <w:pPr>
        <w:ind w:left="127" w:right="189" w:firstLine="709"/>
      </w:pPr>
      <w:r>
        <w:rPr>
          <w:b/>
        </w:rPr>
        <w:t>Принципы профилактики и лечения нефротоксичности</w:t>
      </w:r>
      <w:r>
        <w:t xml:space="preserve"> у пациентов с раком паренхимы почки представлены в Практических рекомендациях Российского общест</w:t>
      </w:r>
      <w:r>
        <w:t xml:space="preserve">ва клинической онкологии по профилактике и лечению осложнений злокачественных опухолей и противоопухолевой лекарственной терапии: Громова Е. Г. и соавт. </w:t>
      </w:r>
    </w:p>
    <w:p w:rsidR="00C3791F" w:rsidRDefault="00AE1F83">
      <w:pPr>
        <w:spacing w:after="114" w:line="259" w:lineRule="auto"/>
        <w:ind w:left="137" w:right="189"/>
      </w:pPr>
      <w:r>
        <w:t xml:space="preserve">Нефротоксичность. </w:t>
      </w:r>
    </w:p>
    <w:p w:rsidR="00C3791F" w:rsidRDefault="00AE1F83">
      <w:pPr>
        <w:spacing w:after="108" w:line="265" w:lineRule="auto"/>
        <w:ind w:left="846"/>
        <w:jc w:val="left"/>
      </w:pPr>
      <w:hyperlink r:id="rId17">
        <w:r>
          <w:rPr>
            <w:color w:val="000080"/>
            <w:u w:val="single" w:color="000080"/>
          </w:rPr>
          <w:t>https://</w:t>
        </w:r>
        <w:r>
          <w:rPr>
            <w:color w:val="000080"/>
            <w:u w:val="single" w:color="000080"/>
          </w:rPr>
          <w:t>rosoncoweb.ru/standarts/?chapter=nephrotoxicity</w:t>
        </w:r>
      </w:hyperlink>
      <w:r>
        <w:t xml:space="preserve"> </w:t>
      </w:r>
    </w:p>
    <w:p w:rsidR="00C3791F" w:rsidRDefault="00AE1F83">
      <w:pPr>
        <w:spacing w:line="359" w:lineRule="auto"/>
        <w:ind w:left="127" w:right="131" w:firstLine="709"/>
        <w:jc w:val="left"/>
      </w:pPr>
      <w:r>
        <w:rPr>
          <w:b/>
        </w:rPr>
        <w:t>Принципы профилактики и лечения тромбоэмболических осложнений</w:t>
      </w:r>
      <w:r>
        <w:t xml:space="preserve"> у пациентов с раком паренхимы почки изложены в Практических Рекомендациях Российского общества клинической онкологии по профилактике и лечению ос</w:t>
      </w:r>
      <w:r>
        <w:t xml:space="preserve">ложнений злокачественных опухолей и противоопухолевой лекарственной терапии: Сомонова О. В. </w:t>
      </w:r>
    </w:p>
    <w:p w:rsidR="00C3791F" w:rsidRDefault="00AE1F83">
      <w:pPr>
        <w:spacing w:after="114" w:line="259" w:lineRule="auto"/>
        <w:ind w:left="137" w:right="189"/>
      </w:pPr>
      <w:r>
        <w:t xml:space="preserve">и соавт. Тромбоэмболические осложнения. </w:t>
      </w:r>
    </w:p>
    <w:p w:rsidR="00C3791F" w:rsidRDefault="00AE1F83">
      <w:pPr>
        <w:spacing w:after="108" w:line="265" w:lineRule="auto"/>
        <w:ind w:left="846"/>
        <w:jc w:val="left"/>
      </w:pPr>
      <w:hyperlink r:id="rId18">
        <w:r>
          <w:rPr>
            <w:color w:val="000080"/>
            <w:u w:val="single" w:color="000080"/>
          </w:rPr>
          <w:t>https://rosoncoweb.ru/standarts/?chapter=throm</w:t>
        </w:r>
        <w:r>
          <w:rPr>
            <w:color w:val="000080"/>
            <w:u w:val="single" w:color="000080"/>
          </w:rPr>
          <w:t>boembolism</w:t>
        </w:r>
      </w:hyperlink>
      <w:r>
        <w:rPr>
          <w:color w:val="000080"/>
        </w:rPr>
        <w:t xml:space="preserve"> </w:t>
      </w:r>
    </w:p>
    <w:p w:rsidR="00C3791F" w:rsidRDefault="00AE1F83">
      <w:pPr>
        <w:ind w:left="127" w:right="189" w:firstLine="709"/>
      </w:pPr>
      <w:r>
        <w:rPr>
          <w:b/>
        </w:rPr>
        <w:t>Принципы профилактики и лечения последствий экстравазации лекарственных препаратов</w:t>
      </w:r>
      <w:r>
        <w:t xml:space="preserve"> у пациентов с раком паренхимы почки изложены в Практических Рекомендациях Российского общества клинической онкологии по профилактике и лечению осложнений злокаче</w:t>
      </w:r>
      <w:r>
        <w:t>ственных опухолей и противоопухолевой лекарственной терапии: Буйденок Ю.В. и соавт. Экстравазация противоопухолевых препаратов.</w:t>
      </w:r>
    </w:p>
    <w:p w:rsidR="00C3791F" w:rsidRDefault="00AE1F83">
      <w:pPr>
        <w:spacing w:after="108" w:line="265" w:lineRule="auto"/>
        <w:ind w:left="846"/>
        <w:jc w:val="left"/>
      </w:pPr>
      <w:hyperlink r:id="rId19">
        <w:r>
          <w:t xml:space="preserve"> </w:t>
        </w:r>
      </w:hyperlink>
      <w:hyperlink r:id="rId20">
        <w:r>
          <w:rPr>
            <w:color w:val="000080"/>
            <w:u w:val="single" w:color="000080"/>
          </w:rPr>
          <w:t>https://rosoncoweb.ru/standarts/?chapter=extravasation_antitumor_drugs</w:t>
        </w:r>
      </w:hyperlink>
      <w:r>
        <w:t xml:space="preserve"> </w:t>
      </w:r>
    </w:p>
    <w:p w:rsidR="00C3791F" w:rsidRDefault="00AE1F83">
      <w:pPr>
        <w:ind w:left="127" w:right="189" w:firstLine="709"/>
      </w:pPr>
      <w:r>
        <w:rPr>
          <w:b/>
        </w:rPr>
        <w:t>Принципы профилактики и лечения иммуноопосредованных НЯ</w:t>
      </w:r>
      <w:r>
        <w:t xml:space="preserve"> у пациентов с раком паренхимы почки изложены в Практических Рекомендациях Р</w:t>
      </w:r>
      <w:r>
        <w:t xml:space="preserve">оссийского общества клинической онкологии по профилактике и лечению осложнений злокачественных опухолей и противоопухолевой лекарственной терапии: Новик А. В. и соавт. </w:t>
      </w:r>
    </w:p>
    <w:p w:rsidR="00C3791F" w:rsidRDefault="00AE1F83">
      <w:pPr>
        <w:spacing w:after="114" w:line="259" w:lineRule="auto"/>
        <w:ind w:left="137" w:right="189"/>
      </w:pPr>
      <w:r>
        <w:t xml:space="preserve">Иммуноопосредованные нежелательные явления. </w:t>
      </w:r>
    </w:p>
    <w:p w:rsidR="00C3791F" w:rsidRDefault="00AE1F83">
      <w:pPr>
        <w:spacing w:after="802" w:line="265" w:lineRule="auto"/>
        <w:ind w:left="846"/>
        <w:jc w:val="left"/>
      </w:pPr>
      <w:hyperlink r:id="rId21">
        <w:r>
          <w:rPr>
            <w:color w:val="000080"/>
            <w:u w:val="single" w:color="000080"/>
          </w:rPr>
          <w:t>https://rosoncoweb.ru/standarts/?chapter=immunerelated_adverse_events</w:t>
        </w:r>
      </w:hyperlink>
      <w:r>
        <w:t xml:space="preserve"> </w:t>
      </w:r>
    </w:p>
    <w:p w:rsidR="00C3791F" w:rsidRDefault="00AE1F83">
      <w:pPr>
        <w:spacing w:after="272" w:line="265" w:lineRule="auto"/>
        <w:ind w:left="861"/>
      </w:pPr>
      <w:r>
        <w:rPr>
          <w:b/>
        </w:rPr>
        <w:t>3.7. Диетотерапия</w:t>
      </w:r>
    </w:p>
    <w:p w:rsidR="00C3791F" w:rsidRDefault="00AE1F83">
      <w:pPr>
        <w:ind w:left="1571" w:right="189" w:hanging="357"/>
      </w:pPr>
      <w:r>
        <w:rPr>
          <w:rFonts w:ascii="Segoe UI Symbol" w:eastAsia="Segoe UI Symbol" w:hAnsi="Segoe UI Symbol" w:cs="Segoe UI Symbol"/>
        </w:rPr>
        <w:t xml:space="preserve"> </w:t>
      </w:r>
      <w:r>
        <w:rPr>
          <w:b/>
        </w:rPr>
        <w:t>Не рекомендованы</w:t>
      </w:r>
      <w:r>
        <w:t xml:space="preserve"> какие-либо изменения в привычном рационе пациентов, если толь</w:t>
      </w:r>
      <w:r>
        <w:t>ко они не продиктованы необходимостью коррекции коморбидных состояний или купирования либо профилактики осложнений проводимого лечения (хирургического/лекарственного/лучевого) [221–223].</w:t>
      </w:r>
    </w:p>
    <w:p w:rsidR="00C3791F" w:rsidRDefault="00AE1F83">
      <w:pPr>
        <w:spacing w:line="357" w:lineRule="auto"/>
        <w:ind w:left="127" w:firstLine="709"/>
      </w:pPr>
      <w:r>
        <w:rPr>
          <w:b/>
        </w:rPr>
        <w:t>Уровень убедительности рекомендаций – С (уровень достоверности доказа</w:t>
      </w:r>
      <w:r>
        <w:rPr>
          <w:b/>
        </w:rPr>
        <w:t>тельств – 4).</w:t>
      </w:r>
    </w:p>
    <w:p w:rsidR="00C3791F" w:rsidRDefault="00AE1F83">
      <w:pPr>
        <w:spacing w:after="450" w:line="359" w:lineRule="auto"/>
        <w:ind w:left="127" w:right="208" w:firstLine="710"/>
      </w:pPr>
      <w:r>
        <w:rPr>
          <w:b/>
          <w:i/>
        </w:rPr>
        <w:t>Комментарий:</w:t>
      </w:r>
      <w:r>
        <w:t xml:space="preserve"> </w:t>
      </w:r>
      <w:r>
        <w:rPr>
          <w:i/>
        </w:rPr>
        <w:t>роль потребления кофе в этиологии ПКР достаточно неизучена. Результаты изучения роли питания в этиологии ПКР также не очень убедительны. Некоторые из них (но не все) показали, что питание, богатое животными жирами, белками, в час</w:t>
      </w:r>
      <w:r>
        <w:rPr>
          <w:i/>
        </w:rPr>
        <w:t>тности молоком, и бедное овощами и фруктами повышает риск ПКР.</w:t>
      </w:r>
      <w:r>
        <w:t xml:space="preserve"> </w:t>
      </w:r>
    </w:p>
    <w:p w:rsidR="00C3791F" w:rsidRDefault="00AE1F83">
      <w:pPr>
        <w:pStyle w:val="Heading1"/>
        <w:spacing w:line="357" w:lineRule="auto"/>
        <w:ind w:left="160" w:right="150"/>
      </w:pPr>
      <w:r>
        <w:t>4. Медицинская реабилитация и санаторно-курортное лечение, медицинские показания и противопоказания к применению методов реабилитации, в том числе основанных на использовании природных лечебны</w:t>
      </w:r>
      <w:r>
        <w:t>х факторов</w:t>
      </w:r>
    </w:p>
    <w:p w:rsidR="00C3791F" w:rsidRDefault="00AE1F83">
      <w:pPr>
        <w:spacing w:after="272" w:line="265" w:lineRule="auto"/>
        <w:ind w:left="861"/>
      </w:pPr>
      <w:r>
        <w:rPr>
          <w:b/>
        </w:rPr>
        <w:t>4.1. Предреабилитация</w:t>
      </w:r>
    </w:p>
    <w:p w:rsidR="00C3791F" w:rsidRDefault="00AE1F83">
      <w:pPr>
        <w:numPr>
          <w:ilvl w:val="0"/>
          <w:numId w:val="43"/>
        </w:numPr>
        <w:ind w:right="189" w:hanging="357"/>
      </w:pPr>
      <w:r>
        <w:t>Всем пациентам с ПКР</w:t>
      </w:r>
      <w:r>
        <w:rPr>
          <w:b/>
        </w:rPr>
        <w:t xml:space="preserve"> рекомендуется</w:t>
      </w:r>
      <w:r>
        <w:t xml:space="preserve"> проведение предреабилитации. Предреабилитация значительно ускоряет функциональное восстановление, сокращает сроки пребывания в стационаре после операции и снижает частоту развития осложнен</w:t>
      </w:r>
      <w:r>
        <w:t xml:space="preserve">ий и летальных исходов на фоне лечения ПКР. Предреабилитация включает физическую подготовку (лечебную физкультуру, ЛФК), психологическую и нутритивную поддержку, информирование пациентов [224]. </w:t>
      </w:r>
    </w:p>
    <w:p w:rsidR="00C3791F" w:rsidRDefault="00AE1F83">
      <w:pPr>
        <w:spacing w:after="164" w:line="357" w:lineRule="auto"/>
        <w:ind w:left="127" w:firstLine="709"/>
      </w:pPr>
      <w:r>
        <w:rPr>
          <w:b/>
        </w:rPr>
        <w:t>Уровень убедительности рекомендаций – C (уровень достоверност</w:t>
      </w:r>
      <w:r>
        <w:rPr>
          <w:b/>
        </w:rPr>
        <w:t>и доказательств – 5).</w:t>
      </w:r>
    </w:p>
    <w:p w:rsidR="00C3791F" w:rsidRDefault="00AE1F83">
      <w:pPr>
        <w:numPr>
          <w:ilvl w:val="0"/>
          <w:numId w:val="43"/>
        </w:numPr>
        <w:ind w:right="189" w:hanging="357"/>
      </w:pPr>
      <w:r>
        <w:rPr>
          <w:b/>
        </w:rPr>
        <w:t>Рекомендуется</w:t>
      </w:r>
      <w:r>
        <w:t xml:space="preserve"> проведение психологической поддержки в плане предреабилитации у всех пациентов с ПКР, которым планируется хирургическое лечение [225].</w:t>
      </w:r>
    </w:p>
    <w:p w:rsidR="00C3791F" w:rsidRDefault="00AE1F83">
      <w:pPr>
        <w:spacing w:line="357" w:lineRule="auto"/>
        <w:ind w:left="127" w:firstLine="709"/>
      </w:pPr>
      <w:r>
        <w:rPr>
          <w:b/>
        </w:rPr>
        <w:t>Уровень убедительности рекомендаций − В (уровень достоверности доказательств – 3).</w:t>
      </w:r>
    </w:p>
    <w:p w:rsidR="00C3791F" w:rsidRDefault="00AE1F83">
      <w:pPr>
        <w:spacing w:after="452" w:line="359" w:lineRule="auto"/>
        <w:ind w:left="127" w:right="208" w:firstLine="710"/>
      </w:pPr>
      <w:r>
        <w:rPr>
          <w:b/>
          <w:i/>
        </w:rPr>
        <w:t>Ко</w:t>
      </w:r>
      <w:r>
        <w:rPr>
          <w:b/>
          <w:i/>
        </w:rPr>
        <w:t>мментарий:</w:t>
      </w:r>
      <w:r>
        <w:rPr>
          <w:i/>
        </w:rPr>
        <w:t xml:space="preserve"> психологическая поддержка в плане предреабилитации улучшает настроение, снижает уровень тревоги и депрессии. Пациенты, прошедшие курс психологической предреабилитации, лучше адаптируются к повседневной жизни после хирургического лечения.</w:t>
      </w:r>
    </w:p>
    <w:p w:rsidR="00C3791F" w:rsidRDefault="00AE1F83">
      <w:pPr>
        <w:spacing w:after="148" w:line="265" w:lineRule="auto"/>
        <w:ind w:left="861"/>
      </w:pPr>
      <w:r>
        <w:rPr>
          <w:b/>
        </w:rPr>
        <w:t>4.2. Ре</w:t>
      </w:r>
      <w:r>
        <w:rPr>
          <w:b/>
        </w:rPr>
        <w:t>абилитация после хирургического лечения</w:t>
      </w:r>
    </w:p>
    <w:p w:rsidR="00C3791F" w:rsidRDefault="00AE1F83">
      <w:pPr>
        <w:spacing w:after="272" w:line="265" w:lineRule="auto"/>
        <w:ind w:left="861"/>
      </w:pPr>
      <w:r>
        <w:rPr>
          <w:b/>
        </w:rPr>
        <w:t>4.2.1. Первый этап реабилитации</w:t>
      </w:r>
    </w:p>
    <w:p w:rsidR="00C3791F" w:rsidRDefault="00AE1F83">
      <w:pPr>
        <w:numPr>
          <w:ilvl w:val="0"/>
          <w:numId w:val="43"/>
        </w:numPr>
        <w:ind w:right="189" w:hanging="357"/>
      </w:pPr>
      <w:r>
        <w:rPr>
          <w:b/>
        </w:rPr>
        <w:t>Рекомендуется</w:t>
      </w:r>
      <w:r>
        <w:t xml:space="preserve"> мультидисциплинарный подход к уменьшению выраженности болевого синдрома в послеоперационном периоде с включением физической реабилитации (ЛФК), лечения положением, </w:t>
      </w:r>
      <w:r>
        <w:t>психологических методов коррекции боли (релаксации), чрескожной короткоимпульсной электростимуляции (ЧЭНС) [226].</w:t>
      </w:r>
    </w:p>
    <w:p w:rsidR="00C3791F" w:rsidRDefault="00AE1F83">
      <w:pPr>
        <w:spacing w:after="164" w:line="357" w:lineRule="auto"/>
        <w:ind w:left="127" w:firstLine="709"/>
      </w:pPr>
      <w:r>
        <w:rPr>
          <w:b/>
        </w:rPr>
        <w:t>Уровень убедительности рекомендаций – С (уровень достоверности доказательств – 5).</w:t>
      </w:r>
    </w:p>
    <w:p w:rsidR="00C3791F" w:rsidRDefault="00AE1F83">
      <w:pPr>
        <w:numPr>
          <w:ilvl w:val="0"/>
          <w:numId w:val="43"/>
        </w:numPr>
        <w:ind w:right="189" w:hanging="357"/>
      </w:pPr>
      <w:r>
        <w:rPr>
          <w:b/>
        </w:rPr>
        <w:t>Рекомендуется</w:t>
      </w:r>
      <w:r>
        <w:t xml:space="preserve"> проведение тактики fast track rehabilitation </w:t>
      </w:r>
      <w:r>
        <w:t xml:space="preserve">(«быстрый путь») и программы ERAS (early rehabilitation after surgery – ранняя реабилитация после операции) в периоперационном периоде после хирургического лечения ПКР [227]. </w:t>
      </w:r>
    </w:p>
    <w:p w:rsidR="00C3791F" w:rsidRDefault="00AE1F83">
      <w:pPr>
        <w:spacing w:line="357" w:lineRule="auto"/>
        <w:ind w:left="127" w:firstLine="709"/>
      </w:pPr>
      <w:r>
        <w:rPr>
          <w:b/>
        </w:rPr>
        <w:t>Уровень убедительности рекомендаций − А (уровень достоверности доказательств – 3</w:t>
      </w:r>
      <w:r>
        <w:rPr>
          <w:b/>
        </w:rPr>
        <w:t>).</w:t>
      </w:r>
    </w:p>
    <w:p w:rsidR="00C3791F" w:rsidRDefault="00AE1F83">
      <w:pPr>
        <w:spacing w:after="163" w:line="359" w:lineRule="auto"/>
        <w:ind w:left="127" w:right="208" w:firstLine="710"/>
      </w:pPr>
      <w:r>
        <w:rPr>
          <w:b/>
          <w:i/>
        </w:rPr>
        <w:t>Комментарий:</w:t>
      </w:r>
      <w:r>
        <w:rPr>
          <w:i/>
        </w:rPr>
        <w:t xml:space="preserve"> тактика fast track rehabilitation и ERAS, включающая комплексное обезболивание, раннее энтеральное питание, отказ от рутинного применения зондов и дренажей, раннюю мобилизацию (активизация и вертикализация) пациентов, уже с 1–2-х суток посл</w:t>
      </w:r>
      <w:r>
        <w:rPr>
          <w:i/>
        </w:rPr>
        <w:t xml:space="preserve">е операции не увеличивает риски ранних послеоперационных осложнений, частоту повторных госпитализаций. Тактика fast track rehabilitation уменьшает длительность пребывания в стационаре и частоту послеоперационных осложнений. Тактика fast track эффективна и </w:t>
      </w:r>
      <w:r>
        <w:rPr>
          <w:i/>
        </w:rPr>
        <w:t>безопасна у пациентов урологического профиля.</w:t>
      </w:r>
    </w:p>
    <w:p w:rsidR="00C3791F" w:rsidRDefault="00AE1F83">
      <w:pPr>
        <w:numPr>
          <w:ilvl w:val="0"/>
          <w:numId w:val="43"/>
        </w:numPr>
        <w:ind w:right="189" w:hanging="357"/>
      </w:pPr>
      <w:r>
        <w:rPr>
          <w:b/>
        </w:rPr>
        <w:t xml:space="preserve">Рекомендуется </w:t>
      </w:r>
      <w:r>
        <w:t xml:space="preserve">комплексный fast-track-подход к реабилитации пациентов после лапароскопической нефрэктомии [228]. </w:t>
      </w:r>
    </w:p>
    <w:p w:rsidR="00C3791F" w:rsidRDefault="00AE1F83">
      <w:pPr>
        <w:spacing w:line="357" w:lineRule="auto"/>
        <w:ind w:left="127" w:firstLine="709"/>
      </w:pPr>
      <w:r>
        <w:rPr>
          <w:b/>
        </w:rPr>
        <w:t>Уровень убедительности рекомендаций − В (уровень достоверности доказательств – 2).</w:t>
      </w:r>
    </w:p>
    <w:p w:rsidR="00C3791F" w:rsidRDefault="00AE1F83">
      <w:pPr>
        <w:spacing w:after="163" w:line="359" w:lineRule="auto"/>
        <w:ind w:left="127" w:right="208" w:firstLine="710"/>
      </w:pPr>
      <w:r>
        <w:rPr>
          <w:b/>
          <w:i/>
        </w:rPr>
        <w:t>Комментарий:</w:t>
      </w:r>
      <w:r>
        <w:rPr>
          <w:i/>
        </w:rPr>
        <w:t xml:space="preserve"> к</w:t>
      </w:r>
      <w:r>
        <w:rPr>
          <w:i/>
        </w:rPr>
        <w:t>омплексный fast-track-подход к реабилитации пациентов после лапароскопической нефрэктомии позволяет сократить длительность пребывания пациента в отделении интенсивной терапии, продолжительность госпитализации. Кроме того, данная стратегия позволяет лучше к</w:t>
      </w:r>
      <w:r>
        <w:rPr>
          <w:i/>
        </w:rPr>
        <w:t>онтролировать болевой синдром и удовлетворенность пациента хирургическим лечением.</w:t>
      </w:r>
    </w:p>
    <w:p w:rsidR="00C3791F" w:rsidRDefault="00AE1F83">
      <w:pPr>
        <w:numPr>
          <w:ilvl w:val="0"/>
          <w:numId w:val="43"/>
        </w:numPr>
        <w:ind w:right="189" w:hanging="357"/>
      </w:pPr>
      <w:r>
        <w:rPr>
          <w:b/>
        </w:rPr>
        <w:t>Рекомендуются</w:t>
      </w:r>
      <w:r>
        <w:t xml:space="preserve"> ранняя вертикализация и активизация пациентов после хирургического лечения с целью улучшения функциональных возможностей в раннем послеоперационном периоде [22</w:t>
      </w:r>
      <w:r>
        <w:t>9].</w:t>
      </w:r>
    </w:p>
    <w:p w:rsidR="00C3791F" w:rsidRDefault="00AE1F83">
      <w:pPr>
        <w:spacing w:after="164" w:line="357" w:lineRule="auto"/>
        <w:ind w:left="127" w:firstLine="709"/>
      </w:pPr>
      <w:r>
        <w:rPr>
          <w:b/>
        </w:rPr>
        <w:t>Уровень убедительности рекомендаций – C (уровень достоверности доказательств – 4).</w:t>
      </w:r>
    </w:p>
    <w:p w:rsidR="00C3791F" w:rsidRDefault="00AE1F83">
      <w:pPr>
        <w:numPr>
          <w:ilvl w:val="0"/>
          <w:numId w:val="43"/>
        </w:numPr>
        <w:ind w:right="189" w:hanging="357"/>
      </w:pPr>
      <w:r>
        <w:rPr>
          <w:b/>
        </w:rPr>
        <w:t>Рекомендуется</w:t>
      </w:r>
      <w:r>
        <w:t xml:space="preserve"> проведение сеансов массажа, начиная со 2-х суток после операции [229].</w:t>
      </w:r>
    </w:p>
    <w:p w:rsidR="00C3791F" w:rsidRDefault="00AE1F83">
      <w:pPr>
        <w:spacing w:line="357" w:lineRule="auto"/>
        <w:ind w:left="127" w:firstLine="709"/>
      </w:pPr>
      <w:r>
        <w:rPr>
          <w:b/>
        </w:rPr>
        <w:t>Уровень убедительности рекомендаций − В (уровень достоверности доказательств – 4).</w:t>
      </w:r>
    </w:p>
    <w:p w:rsidR="00C3791F" w:rsidRDefault="00AE1F83">
      <w:pPr>
        <w:spacing w:after="652" w:line="359" w:lineRule="auto"/>
        <w:ind w:left="127" w:right="208" w:firstLine="710"/>
      </w:pPr>
      <w:r>
        <w:rPr>
          <w:b/>
          <w:i/>
        </w:rPr>
        <w:t>К</w:t>
      </w:r>
      <w:r>
        <w:rPr>
          <w:b/>
          <w:i/>
        </w:rPr>
        <w:t>омментарий:</w:t>
      </w:r>
      <w:r>
        <w:rPr>
          <w:i/>
        </w:rPr>
        <w:t xml:space="preserve"> проведение 20-минутных сеансов массажа, начиная со 2-х суток после операции, уменьшает интенсивность болевого синдрома, беспокойство, напряжение, улучшая качество жизни.</w:t>
      </w:r>
    </w:p>
    <w:p w:rsidR="00C3791F" w:rsidRDefault="00AE1F83">
      <w:pPr>
        <w:spacing w:after="272" w:line="265" w:lineRule="auto"/>
        <w:ind w:left="861"/>
      </w:pPr>
      <w:r>
        <w:rPr>
          <w:b/>
        </w:rPr>
        <w:t>4.2.2. Второй и третий этапы реабилитации</w:t>
      </w:r>
    </w:p>
    <w:p w:rsidR="00C3791F" w:rsidRDefault="00AE1F83">
      <w:pPr>
        <w:numPr>
          <w:ilvl w:val="0"/>
          <w:numId w:val="43"/>
        </w:numPr>
        <w:ind w:right="189" w:hanging="357"/>
      </w:pPr>
      <w:r>
        <w:rPr>
          <w:b/>
        </w:rPr>
        <w:t>Рекомендуется</w:t>
      </w:r>
      <w:r>
        <w:t xml:space="preserve"> проведение комплекса аэробных упражнений после хирургического лечения с целью улучшения качества жизни пациента, психологического состояния, контроля массы тела [230–232].</w:t>
      </w:r>
    </w:p>
    <w:p w:rsidR="00C3791F" w:rsidRDefault="00AE1F83">
      <w:pPr>
        <w:spacing w:line="357" w:lineRule="auto"/>
        <w:ind w:left="127" w:firstLine="709"/>
      </w:pPr>
      <w:r>
        <w:rPr>
          <w:b/>
        </w:rPr>
        <w:t>Уровень убедительности рекомендаций − A (уровень достоверности доказательств − 1).</w:t>
      </w:r>
    </w:p>
    <w:p w:rsidR="00C3791F" w:rsidRDefault="00AE1F83">
      <w:pPr>
        <w:spacing w:after="163" w:line="359" w:lineRule="auto"/>
        <w:ind w:left="127" w:right="208" w:firstLine="710"/>
      </w:pPr>
      <w:r>
        <w:rPr>
          <w:b/>
          <w:i/>
        </w:rPr>
        <w:t>Комментарий:</w:t>
      </w:r>
      <w:r>
        <w:t xml:space="preserve"> </w:t>
      </w:r>
      <w:r>
        <w:rPr>
          <w:i/>
        </w:rPr>
        <w:t>аэробные нагрузки следует проводить длительностью 150 мин в неделю и силовые – 2 раза в неделю.</w:t>
      </w:r>
    </w:p>
    <w:p w:rsidR="00C3791F" w:rsidRDefault="00AE1F83">
      <w:pPr>
        <w:numPr>
          <w:ilvl w:val="0"/>
          <w:numId w:val="43"/>
        </w:numPr>
        <w:ind w:right="189" w:hanging="357"/>
      </w:pPr>
      <w:r>
        <w:rPr>
          <w:b/>
        </w:rPr>
        <w:t>Рекомендуется</w:t>
      </w:r>
      <w:r>
        <w:t xml:space="preserve"> проведение занятий ЛФК средней интенсивности по 15–30 мин в день 3–5 раз в неделю, постепенно увеличивая длительность [231]. </w:t>
      </w:r>
    </w:p>
    <w:p w:rsidR="00C3791F" w:rsidRDefault="00AE1F83">
      <w:pPr>
        <w:spacing w:after="164" w:line="357" w:lineRule="auto"/>
        <w:ind w:left="127" w:firstLine="709"/>
      </w:pPr>
      <w:r>
        <w:rPr>
          <w:b/>
        </w:rPr>
        <w:t>Уровень убедительности рекомендаций − С (уровень достоверности доказательств − 4).</w:t>
      </w:r>
    </w:p>
    <w:p w:rsidR="00C3791F" w:rsidRDefault="00AE1F83">
      <w:pPr>
        <w:numPr>
          <w:ilvl w:val="0"/>
          <w:numId w:val="43"/>
        </w:numPr>
        <w:ind w:right="189" w:hanging="357"/>
      </w:pPr>
      <w:r>
        <w:rPr>
          <w:b/>
        </w:rPr>
        <w:t>Рекомендуется</w:t>
      </w:r>
      <w:r>
        <w:t xml:space="preserve"> проведение акупунктуры в сочетании с медикаментозной терапией для снижения болевого синдрома у пациентов с ПКР [233, 234]. </w:t>
      </w:r>
    </w:p>
    <w:p w:rsidR="00C3791F" w:rsidRDefault="00AE1F83">
      <w:pPr>
        <w:spacing w:after="40" w:line="357" w:lineRule="auto"/>
        <w:ind w:left="127" w:firstLine="567"/>
      </w:pPr>
      <w:r>
        <w:rPr>
          <w:b/>
        </w:rPr>
        <w:t>Уровень убедительности рекомендаций</w:t>
      </w:r>
      <w:r>
        <w:rPr>
          <w:b/>
        </w:rPr>
        <w:t xml:space="preserve"> − В (уровень достоверности доказательств − 1).</w:t>
      </w:r>
    </w:p>
    <w:p w:rsidR="00C3791F" w:rsidRDefault="00AE1F83">
      <w:pPr>
        <w:spacing w:after="272" w:line="265" w:lineRule="auto"/>
        <w:ind w:left="861"/>
      </w:pPr>
      <w:r>
        <w:rPr>
          <w:b/>
        </w:rPr>
        <w:t>4.2.3. Третий этап реабилитации</w:t>
      </w:r>
    </w:p>
    <w:p w:rsidR="00C3791F" w:rsidRDefault="00AE1F83">
      <w:pPr>
        <w:numPr>
          <w:ilvl w:val="0"/>
          <w:numId w:val="43"/>
        </w:numPr>
        <w:ind w:right="189" w:hanging="357"/>
      </w:pPr>
      <w:r>
        <w:rPr>
          <w:b/>
        </w:rPr>
        <w:t>Рекомендован</w:t>
      </w:r>
      <w:r>
        <w:t xml:space="preserve"> массаж для улучшения качества жизни, уменьшения болевого синдрома, выраженности слабости всем пациентам [235, 236].</w:t>
      </w:r>
    </w:p>
    <w:p w:rsidR="00C3791F" w:rsidRDefault="00AE1F83">
      <w:pPr>
        <w:spacing w:after="454" w:line="357" w:lineRule="auto"/>
        <w:ind w:left="127" w:firstLine="709"/>
      </w:pPr>
      <w:r>
        <w:rPr>
          <w:b/>
        </w:rPr>
        <w:t>Уровень убедительности рекомендаций – A (уровен</w:t>
      </w:r>
      <w:r>
        <w:rPr>
          <w:b/>
        </w:rPr>
        <w:t>ь достоверности доказательств – 2).</w:t>
      </w:r>
    </w:p>
    <w:p w:rsidR="00C3791F" w:rsidRDefault="00AE1F83">
      <w:pPr>
        <w:spacing w:after="272" w:line="265" w:lineRule="auto"/>
        <w:ind w:left="861"/>
      </w:pPr>
      <w:r>
        <w:rPr>
          <w:b/>
        </w:rPr>
        <w:t>4.3. Реабилитация при лучевой терапии</w:t>
      </w:r>
    </w:p>
    <w:p w:rsidR="00C3791F" w:rsidRDefault="00AE1F83">
      <w:pPr>
        <w:numPr>
          <w:ilvl w:val="0"/>
          <w:numId w:val="43"/>
        </w:numPr>
        <w:ind w:right="189" w:hanging="357"/>
      </w:pPr>
      <w:r>
        <w:t>Пациентам с ПКР на фоне лучевой терапии</w:t>
      </w:r>
      <w:r>
        <w:rPr>
          <w:b/>
        </w:rPr>
        <w:t xml:space="preserve"> рекомендуется</w:t>
      </w:r>
      <w:r>
        <w:t xml:space="preserve"> выполнение комплекса ЛФК (аэробной нагрузки в сочетании с силовой), что увеличивает плотность костной ткани, позволяет проводить</w:t>
      </w:r>
      <w:r>
        <w:t xml:space="preserve"> профилактику слабости, повышает выносливость пациента, улучшает качество жизни [237, 238].</w:t>
      </w:r>
    </w:p>
    <w:p w:rsidR="00C3791F" w:rsidRDefault="00AE1F83">
      <w:pPr>
        <w:spacing w:after="164" w:line="357" w:lineRule="auto"/>
        <w:ind w:left="127" w:firstLine="709"/>
      </w:pPr>
      <w:r>
        <w:rPr>
          <w:b/>
        </w:rPr>
        <w:t>Уровень убедительности рекомендаций – А (уровень достоверности доказательств – 2).</w:t>
      </w:r>
    </w:p>
    <w:p w:rsidR="00C3791F" w:rsidRDefault="00AE1F83">
      <w:pPr>
        <w:numPr>
          <w:ilvl w:val="0"/>
          <w:numId w:val="43"/>
        </w:numPr>
        <w:ind w:right="189" w:hanging="357"/>
      </w:pPr>
      <w:r>
        <w:rPr>
          <w:b/>
        </w:rPr>
        <w:t>Рекомендуется</w:t>
      </w:r>
      <w:r>
        <w:t xml:space="preserve"> через 3 дня после начала лучевой терапии подключить низкоинтенсивну</w:t>
      </w:r>
      <w:r>
        <w:t>ю лазеротерапию на 3 дня в неделю для профилактики лучевого дерматита [239].</w:t>
      </w:r>
    </w:p>
    <w:p w:rsidR="00C3791F" w:rsidRDefault="00AE1F83">
      <w:pPr>
        <w:spacing w:line="357" w:lineRule="auto"/>
        <w:ind w:left="127" w:firstLine="709"/>
      </w:pPr>
      <w:r>
        <w:rPr>
          <w:b/>
        </w:rPr>
        <w:t>Уровень убедительности рекомендаций – С (уровень достоверности доказательств – 5).</w:t>
      </w:r>
    </w:p>
    <w:p w:rsidR="00C3791F" w:rsidRDefault="00AE1F83">
      <w:pPr>
        <w:spacing w:after="202" w:line="357" w:lineRule="auto"/>
        <w:ind w:left="160" w:right="150"/>
        <w:jc w:val="center"/>
      </w:pPr>
      <w:r>
        <w:rPr>
          <w:b/>
          <w:sz w:val="28"/>
        </w:rPr>
        <w:t xml:space="preserve">5. Профилактика и диспансерное наблюдение, медицинские показания и </w:t>
      </w:r>
    </w:p>
    <w:p w:rsidR="00C3791F" w:rsidRDefault="00AE1F83">
      <w:pPr>
        <w:pStyle w:val="Heading1"/>
        <w:spacing w:line="357" w:lineRule="auto"/>
        <w:ind w:left="160" w:right="150"/>
      </w:pPr>
      <w:r>
        <w:t>противопоказания к применени</w:t>
      </w:r>
      <w:r>
        <w:t>ю методов профилактики</w:t>
      </w:r>
    </w:p>
    <w:p w:rsidR="00C3791F" w:rsidRDefault="00AE1F83">
      <w:pPr>
        <w:spacing w:after="423"/>
        <w:ind w:left="861" w:right="189"/>
      </w:pPr>
      <w:r>
        <w:t>Эффективной профилактики ПКР не существует.</w:t>
      </w:r>
    </w:p>
    <w:p w:rsidR="00C3791F" w:rsidRDefault="00AE1F83">
      <w:pPr>
        <w:ind w:left="137" w:right="189"/>
      </w:pPr>
      <w:r>
        <w:t>Диспансерному наблюдению подлежат взрослые с онкологическими заболеваниями, включенными в рубрики С00-D09 МКБ-10.</w:t>
      </w:r>
    </w:p>
    <w:p w:rsidR="00C3791F" w:rsidRDefault="00AE1F83">
      <w:pPr>
        <w:spacing w:after="38" w:line="359" w:lineRule="auto"/>
        <w:ind w:left="127" w:right="208" w:firstLine="0"/>
      </w:pPr>
      <w:r>
        <w:t>Диспансерное наблюдение организуется в центре амбулаторной онкологической помощи, либо в первичном онкологическом кабинете медицинской организации, онкологическом диспансере (онкологической больнице) или иных медицинских организациях, оказывающих медицинск</w:t>
      </w:r>
      <w:r>
        <w:t xml:space="preserve">ую помощь больным с онкологическими заболеваниями. </w:t>
      </w:r>
      <w:r>
        <w:rPr>
          <w:b/>
        </w:rPr>
        <w:t>Комментарии:</w:t>
      </w:r>
      <w:r>
        <w:rPr>
          <w:b/>
          <w:i/>
        </w:rPr>
        <w:t xml:space="preserve"> </w:t>
      </w:r>
      <w:r>
        <w:rPr>
          <w:i/>
        </w:rPr>
        <w:t>в соответствии с приказом Министерства здравоохранения Российской Федерации от 04 июня 2020 г. № 548н «Об утверждении порядка диспансерного наблюдения за взрослыми с онкологическими заболевани</w:t>
      </w:r>
      <w:r>
        <w:rPr>
          <w:i/>
        </w:rPr>
        <w:t xml:space="preserve">ями» для пациентов с ПКР устанавливается группа диспансерного наблюдения (2-ДН-онко). Категория наблюдаемых пациентов – лица с подтвержденным диагнозом ЗНО. Рекомендуемая периодичность диспансерных приемов пациента врачом (в течение первого года-1 раз в 3 </w:t>
      </w:r>
      <w:r>
        <w:rPr>
          <w:i/>
        </w:rPr>
        <w:t>месяца, в течение второго года-1 раз в 6 месяцев, в дальейшем-1 раз в год (если течение заболевания не требует изменения тактики ведения больного).</w:t>
      </w:r>
    </w:p>
    <w:p w:rsidR="00C3791F" w:rsidRDefault="00AE1F83">
      <w:pPr>
        <w:spacing w:after="108" w:line="265" w:lineRule="auto"/>
        <w:ind w:left="861"/>
      </w:pPr>
      <w:r>
        <w:rPr>
          <w:b/>
        </w:rPr>
        <w:t>5.1. Диспансерное наблюдение после радикального хирургического лечения</w:t>
      </w:r>
    </w:p>
    <w:p w:rsidR="00C3791F" w:rsidRDefault="00AE1F83">
      <w:pPr>
        <w:ind w:left="127" w:right="189" w:firstLine="709"/>
      </w:pPr>
      <w:r>
        <w:t>Наблюдение за пациентами с ПКР, подве</w:t>
      </w:r>
      <w:r>
        <w:t>ргнутыми хирургическому лечению, проводится с целью выявления рецидивов заболевания (местный рецидив, отдаленные метастазы) и осложнений проведенного лечения (включая поздние хирургические осложнения и прогрессирование хронической болезни почек). Для дости</w:t>
      </w:r>
      <w:r>
        <w:t>жения поставленной цели необходимо регулярное проведение комплексного обследования, включающего визуализацию области операции и зон типичного метастазирования ПКР, а также оценку почечной функции (биохимический анализ крови). Доказано, что проведение регул</w:t>
      </w:r>
      <w:r>
        <w:t>ярного обследования пациентов ассоциировано с увеличением ОВ, однако использование методов радиологической диагностики связано с лучевой нагрузкой на организм пациента. Введение рентгеноконтрастного вещества больным со скоростью клубочковой фильтрации</w:t>
      </w:r>
      <w:r>
        <w:rPr>
          <w:i/>
        </w:rPr>
        <w:t xml:space="preserve"> </w:t>
      </w:r>
      <w:r>
        <w:t xml:space="preserve">&lt;20 </w:t>
      </w:r>
      <w:r>
        <w:t>мл/мин/1,73 м</w:t>
      </w:r>
      <w:r>
        <w:rPr>
          <w:sz w:val="22"/>
          <w:vertAlign w:val="superscript"/>
        </w:rPr>
        <w:t>2</w:t>
      </w:r>
      <w:r>
        <w:t xml:space="preserve"> может привести к острой почечной недостаточности. Для соблюдения баланса между риском и пользой алгоритм наблюдения должен зависеть от вероятности развития рецидива [240].</w:t>
      </w:r>
    </w:p>
    <w:p w:rsidR="00C3791F" w:rsidRDefault="00AE1F83">
      <w:pPr>
        <w:spacing w:after="113"/>
        <w:ind w:left="127" w:right="189" w:firstLine="709"/>
      </w:pPr>
      <w:r>
        <w:t>От 20 до 30 % пациентов после радикального хирургического лечения име</w:t>
      </w:r>
      <w:r>
        <w:t>ют прогрессирование ПКР. Наиболее частой локализацией рецидивов являются легкие (50−60 % пациентов). Чаще всего рецидивы развиваются в течение 1−2 лет, доминирующая доля всех случаев прогрессирования регистрируется в первые 3 года после операции [241]. Рис</w:t>
      </w:r>
      <w:r>
        <w:t>к прогрессирования ПКР у радикально оперированных пациентов прямо коррелирует со стадией опухолевого процесса TNM, наличием нПКР, степенью анаплазии опухоли (для местных рецидивов и метастазов) и использованием органосохраняющего лечения (для местных рецид</w:t>
      </w:r>
      <w:r>
        <w:t>ивов). Риск местного рецидива ПКР наиболее высок при использовании аблативного лечения, несколько ниже – после РП (коррелирует с размерами удаленной опухоли) и является минимальным после РН [242].</w:t>
      </w:r>
    </w:p>
    <w:p w:rsidR="00C3791F" w:rsidRDefault="00AE1F83">
      <w:pPr>
        <w:spacing w:after="164" w:line="357" w:lineRule="auto"/>
        <w:ind w:left="127" w:firstLine="709"/>
      </w:pPr>
      <w:r>
        <w:rPr>
          <w:b/>
        </w:rPr>
        <w:t>5.1.1. Наблюдение после аблативного лечения почечно-клеточн</w:t>
      </w:r>
      <w:r>
        <w:rPr>
          <w:b/>
        </w:rPr>
        <w:t>ого рака сТ1аN0M0</w:t>
      </w:r>
    </w:p>
    <w:p w:rsidR="00C3791F" w:rsidRDefault="00AE1F83">
      <w:pPr>
        <w:numPr>
          <w:ilvl w:val="0"/>
          <w:numId w:val="44"/>
        </w:numPr>
        <w:ind w:right="83" w:hanging="357"/>
      </w:pPr>
      <w:r>
        <w:rPr>
          <w:b/>
        </w:rPr>
        <w:t>Рекомендуется</w:t>
      </w:r>
      <w:r>
        <w:t xml:space="preserve"> в целях своевременного выявления и предупреждения осложнений и обострений заболевания соблюдать следующую периодичность обследований пациентов после аблативного лечения ПКР сТ1аN0M0:</w:t>
      </w:r>
    </w:p>
    <w:p w:rsidR="00C3791F" w:rsidRDefault="00AE1F83">
      <w:pPr>
        <w:numPr>
          <w:ilvl w:val="3"/>
          <w:numId w:val="45"/>
        </w:numPr>
        <w:spacing w:after="33"/>
        <w:ind w:right="189" w:hanging="363"/>
      </w:pPr>
      <w:r>
        <w:t>сбор жалоб и анамнеза, физикальное обслед</w:t>
      </w:r>
      <w:r>
        <w:t>ование через 3, 6 и 12 мес после аблации, далее – ежегодно;</w:t>
      </w:r>
    </w:p>
    <w:p w:rsidR="00C3791F" w:rsidRDefault="00AE1F83">
      <w:pPr>
        <w:numPr>
          <w:ilvl w:val="3"/>
          <w:numId w:val="45"/>
        </w:numPr>
        <w:spacing w:after="33"/>
        <w:ind w:right="189" w:hanging="363"/>
      </w:pPr>
      <w:r>
        <w:t>выполнение общего и биохимического анализов крови через 3, 6 и 12 мес после аблации, далее – ежегодно;</w:t>
      </w:r>
    </w:p>
    <w:p w:rsidR="00C3791F" w:rsidRDefault="00AE1F83">
      <w:pPr>
        <w:numPr>
          <w:ilvl w:val="3"/>
          <w:numId w:val="45"/>
        </w:numPr>
        <w:ind w:right="189" w:hanging="363"/>
      </w:pPr>
      <w:r>
        <w:t>КТ или МРТ органов брюшной полости и забрюшинного пространства с в/в контрастированием (при о</w:t>
      </w:r>
      <w:r>
        <w:t xml:space="preserve">тсутствии противопоказаний) через 3, 6 и </w:t>
      </w:r>
    </w:p>
    <w:p w:rsidR="00C3791F" w:rsidRDefault="00AE1F83">
      <w:pPr>
        <w:spacing w:after="155" w:line="259" w:lineRule="auto"/>
        <w:ind w:left="2137" w:right="189"/>
      </w:pPr>
      <w:r>
        <w:t>12 мес после аблации, далее – ежегодно;</w:t>
      </w:r>
    </w:p>
    <w:p w:rsidR="00C3791F" w:rsidRDefault="00AE1F83">
      <w:pPr>
        <w:tabs>
          <w:tab w:val="center" w:pos="1824"/>
          <w:tab w:val="center" w:pos="4780"/>
        </w:tabs>
        <w:spacing w:after="120" w:line="259" w:lineRule="auto"/>
        <w:ind w:left="0" w:firstLine="0"/>
        <w:jc w:val="left"/>
      </w:pPr>
      <w:r>
        <w:rPr>
          <w:rFonts w:ascii="Calibri" w:eastAsia="Calibri" w:hAnsi="Calibri" w:cs="Calibri"/>
          <w:sz w:val="22"/>
        </w:rPr>
        <w:tab/>
      </w:r>
      <w:r>
        <w:t>–</w:t>
      </w:r>
      <w:r>
        <w:tab/>
        <w:t>рентгенография или КТ грудной полости ежегодно.</w:t>
      </w:r>
    </w:p>
    <w:p w:rsidR="00C3791F" w:rsidRDefault="00AE1F83">
      <w:pPr>
        <w:ind w:left="137" w:right="189"/>
      </w:pPr>
      <w:r>
        <w:rPr>
          <w:shd w:val="clear" w:color="auto" w:fill="F5F5F5"/>
        </w:rPr>
        <w:t>Дспансерное наблюдение</w:t>
      </w:r>
      <w:r>
        <w:t xml:space="preserve"> проводится в сроки, установленные в "Порядке диспансерного </w:t>
      </w:r>
      <w:r>
        <w:t>наблюдения за онкологическими больными". При подозрении на рецидив обследование может проводиться чаще и включать биопсию опухоли [240, 243, 244].</w:t>
      </w:r>
    </w:p>
    <w:p w:rsidR="00C3791F" w:rsidRDefault="00AE1F83">
      <w:pPr>
        <w:spacing w:line="357" w:lineRule="auto"/>
        <w:ind w:left="127" w:firstLine="709"/>
      </w:pPr>
      <w:r>
        <w:rPr>
          <w:b/>
        </w:rPr>
        <w:t>Уровень убедительности рекомендаций ‒ C (уровень достоверности доказательств – 4).</w:t>
      </w:r>
    </w:p>
    <w:p w:rsidR="00C3791F" w:rsidRDefault="00AE1F83">
      <w:pPr>
        <w:spacing w:after="164" w:line="357" w:lineRule="auto"/>
        <w:ind w:left="127" w:firstLine="709"/>
      </w:pPr>
      <w:r>
        <w:rPr>
          <w:b/>
        </w:rPr>
        <w:t>5.1.2. Наблюдение после хи</w:t>
      </w:r>
      <w:r>
        <w:rPr>
          <w:b/>
        </w:rPr>
        <w:t>рургического лечения почечно-клеточного рака I стадии</w:t>
      </w:r>
    </w:p>
    <w:p w:rsidR="00C3791F" w:rsidRDefault="00AE1F83">
      <w:pPr>
        <w:numPr>
          <w:ilvl w:val="0"/>
          <w:numId w:val="44"/>
        </w:numPr>
        <w:spacing w:after="34"/>
        <w:ind w:right="83" w:hanging="357"/>
      </w:pPr>
      <w:r>
        <w:rPr>
          <w:b/>
        </w:rPr>
        <w:t>Рекомендуется</w:t>
      </w:r>
      <w:r>
        <w:t xml:space="preserve"> в целях своевременного выявления и предупреждения осложнений и обострений заболевания соблюдать следующую периодичность обследований пациентов после хирургического лечения ПКР I стадии:</w:t>
      </w:r>
    </w:p>
    <w:p w:rsidR="00C3791F" w:rsidRDefault="00AE1F83">
      <w:pPr>
        <w:numPr>
          <w:ilvl w:val="1"/>
          <w:numId w:val="44"/>
        </w:numPr>
        <w:spacing w:after="33"/>
        <w:ind w:right="189" w:hanging="363"/>
      </w:pPr>
      <w:r>
        <w:t>сб</w:t>
      </w:r>
      <w:r>
        <w:t>ор жалоб и анамнеза, физикальное обследование через 3, 6 и 12 мес после РП или РН, далее – ежегодно;</w:t>
      </w:r>
    </w:p>
    <w:p w:rsidR="00C3791F" w:rsidRDefault="00AE1F83">
      <w:pPr>
        <w:numPr>
          <w:ilvl w:val="1"/>
          <w:numId w:val="44"/>
        </w:numPr>
        <w:spacing w:after="33"/>
        <w:ind w:right="189" w:hanging="363"/>
      </w:pPr>
      <w:r>
        <w:t>выполнение общего и биохимического анализов крови через 3, 6 и 12 мес после РП или РН, далее – ежегодно;</w:t>
      </w:r>
    </w:p>
    <w:p w:rsidR="00C3791F" w:rsidRDefault="00AE1F83">
      <w:pPr>
        <w:numPr>
          <w:ilvl w:val="1"/>
          <w:numId w:val="44"/>
        </w:numPr>
        <w:spacing w:after="34"/>
        <w:ind w:right="189" w:hanging="363"/>
      </w:pPr>
      <w:r>
        <w:t>предпочтительно выполнение КТ или МРТ органов брюш</w:t>
      </w:r>
      <w:r>
        <w:t>ной полости и забрюшинного пространства с в/в контрастированием (при отсутствии противопоказаний) или − менее желательно − УЗИ органов брюшной полости (комплексное) и забрюшинного пространства через 3, 6 и 12 мес после РП или РН, далее – ежегодно;</w:t>
      </w:r>
    </w:p>
    <w:p w:rsidR="00C3791F" w:rsidRDefault="00AE1F83">
      <w:pPr>
        <w:numPr>
          <w:ilvl w:val="1"/>
          <w:numId w:val="44"/>
        </w:numPr>
        <w:spacing w:after="120" w:line="259" w:lineRule="auto"/>
        <w:ind w:right="189" w:hanging="363"/>
      </w:pPr>
      <w:r>
        <w:t>рентгено</w:t>
      </w:r>
      <w:r>
        <w:t>графия или КТ грудной полости ежегодно.</w:t>
      </w:r>
    </w:p>
    <w:p w:rsidR="00C3791F" w:rsidRDefault="00AE1F83">
      <w:pPr>
        <w:ind w:left="137" w:right="189"/>
      </w:pPr>
      <w:r>
        <w:t>При саркоматоидном компоненте в первичной опухоли, степени анаплазии ПКР G3–G4 или выявлении опухолевых клеток по краю резекции частота исследований должна быть выше (каждые 3 мес в течение 1 года, каждые 6 мес в теч</w:t>
      </w:r>
      <w:r>
        <w:t xml:space="preserve">ение 2-го и 3-го года наблюдения, далее – ежегодно). Наблюдение проводится в течение 5 лет, при саркоматоидном компоненте в первичной опухоли, степени анаплазии ПКР G3–G4 или выявлении опухолевых клеток по краю резекции – более длительное время [240, 243, </w:t>
      </w:r>
      <w:r>
        <w:t>244].</w:t>
      </w:r>
    </w:p>
    <w:p w:rsidR="00C3791F" w:rsidRDefault="00AE1F83">
      <w:pPr>
        <w:spacing w:after="108" w:line="265" w:lineRule="auto"/>
        <w:ind w:left="137"/>
      </w:pPr>
      <w:r>
        <w:rPr>
          <w:b/>
        </w:rPr>
        <w:t xml:space="preserve">Уровень убедительности рекомендаций ‒ C (уровень достоверности доказательств – </w:t>
      </w:r>
    </w:p>
    <w:p w:rsidR="00C3791F" w:rsidRDefault="00AE1F83">
      <w:pPr>
        <w:spacing w:after="562" w:line="265" w:lineRule="auto"/>
        <w:ind w:left="137"/>
      </w:pPr>
      <w:r>
        <w:rPr>
          <w:b/>
        </w:rPr>
        <w:t>4).</w:t>
      </w:r>
    </w:p>
    <w:p w:rsidR="00C3791F" w:rsidRDefault="00AE1F83">
      <w:pPr>
        <w:spacing w:after="108" w:line="265" w:lineRule="auto"/>
        <w:ind w:left="861"/>
      </w:pPr>
      <w:r>
        <w:rPr>
          <w:b/>
        </w:rPr>
        <w:t xml:space="preserve">5.1.3. Наблюдение после хирургического лечения почечно-клеточного рака </w:t>
      </w:r>
    </w:p>
    <w:p w:rsidR="00C3791F" w:rsidRDefault="00AE1F83">
      <w:pPr>
        <w:spacing w:after="272" w:line="265" w:lineRule="auto"/>
        <w:ind w:left="137"/>
      </w:pPr>
      <w:r>
        <w:rPr>
          <w:b/>
        </w:rPr>
        <w:t>II−IV стадий</w:t>
      </w:r>
    </w:p>
    <w:p w:rsidR="00C3791F" w:rsidRDefault="00AE1F83">
      <w:pPr>
        <w:numPr>
          <w:ilvl w:val="0"/>
          <w:numId w:val="44"/>
        </w:numPr>
        <w:ind w:right="83" w:hanging="357"/>
      </w:pPr>
      <w:r>
        <w:rPr>
          <w:b/>
        </w:rPr>
        <w:t>Рекомендуется</w:t>
      </w:r>
      <w:r>
        <w:t xml:space="preserve"> в целях своевременного выявления и предупреждения осложнений и </w:t>
      </w:r>
      <w:r>
        <w:t xml:space="preserve">обострений заболевания соблюдать следующую периодичность обследований пациентов после хирургического лечения ПКР II−IV стадий: каждые 3 мес в течение 1 года, каждые 6 мес в течение 2-го и 3-го года наблюдения, далее – ежегодно. </w:t>
      </w:r>
    </w:p>
    <w:p w:rsidR="00C3791F" w:rsidRDefault="00AE1F83">
      <w:pPr>
        <w:spacing w:line="259" w:lineRule="auto"/>
        <w:ind w:left="861" w:right="189"/>
      </w:pPr>
      <w:r>
        <w:t>Методы обследования включаю</w:t>
      </w:r>
      <w:r>
        <w:t xml:space="preserve">т опрос и физикальное обследование, развернутый </w:t>
      </w:r>
    </w:p>
    <w:p w:rsidR="00C3791F" w:rsidRDefault="00AE1F83">
      <w:pPr>
        <w:ind w:left="861" w:right="189"/>
      </w:pPr>
      <w:r>
        <w:t>общий клинический и общетерапевтический биохимический анализы крови, КТ или МРТ органов брюшной полости и забрюшинного пространства с в/в контрастированием при отсутствии противопоказаний (предпочтительно) и</w:t>
      </w:r>
      <w:r>
        <w:t>ли УЗИ органов брюшной полости (комплексное) и забрюшинного пространства, рентгенографию или КТ грудной полости, при появлении общемозговых и/или очаговых неврологических симптомов – МРТ головного мозга с контрастированием, при появлении боли в костях – сц</w:t>
      </w:r>
      <w:r>
        <w:t xml:space="preserve">интиграфию костей всего тела </w:t>
      </w:r>
    </w:p>
    <w:p w:rsidR="00C3791F" w:rsidRDefault="00AE1F83">
      <w:pPr>
        <w:spacing w:after="114" w:line="259" w:lineRule="auto"/>
        <w:ind w:left="861" w:right="189"/>
      </w:pPr>
      <w:r>
        <w:t>(остеосцинтиграфию).</w:t>
      </w:r>
    </w:p>
    <w:p w:rsidR="00C3791F" w:rsidRDefault="00AE1F83">
      <w:pPr>
        <w:ind w:left="137" w:right="189"/>
      </w:pPr>
      <w:r>
        <w:t>Наблюдение проводится в течение 5 лет и может быть пролонгировано по решению лечащего врача [240, 243, 244].</w:t>
      </w:r>
    </w:p>
    <w:p w:rsidR="00C3791F" w:rsidRDefault="00AE1F83">
      <w:pPr>
        <w:spacing w:after="454" w:line="357" w:lineRule="auto"/>
        <w:ind w:left="127" w:firstLine="709"/>
      </w:pPr>
      <w:r>
        <w:rPr>
          <w:b/>
        </w:rPr>
        <w:t>Уровень убедительности рекомендаций ‒ А (уровень достоверности доказательств – 2).</w:t>
      </w:r>
    </w:p>
    <w:p w:rsidR="00C3791F" w:rsidRDefault="00AE1F83">
      <w:pPr>
        <w:spacing w:after="108" w:line="265" w:lineRule="auto"/>
        <w:ind w:left="861"/>
      </w:pPr>
      <w:r>
        <w:rPr>
          <w:b/>
        </w:rPr>
        <w:t>5.2. Наблюден</w:t>
      </w:r>
      <w:r>
        <w:rPr>
          <w:b/>
        </w:rPr>
        <w:t>ие при рецидиве или неоперабельном почечно-клеточном раке</w:t>
      </w:r>
    </w:p>
    <w:p w:rsidR="00C3791F" w:rsidRDefault="00AE1F83">
      <w:pPr>
        <w:spacing w:after="37"/>
        <w:ind w:left="127" w:right="189" w:firstLine="709"/>
      </w:pPr>
      <w:r>
        <w:t>Цели наблюдения за пациентами с рецидивом ПКР или неоперабельной опухолью, получающими системную противоопухолевую терапию, заключаются в оценке эффекта лечения, выявлении прогрессирования, своеврем</w:t>
      </w:r>
      <w:r>
        <w:t>енной диагностике НЯ, развившихся во время терапии.</w:t>
      </w:r>
    </w:p>
    <w:p w:rsidR="00C3791F" w:rsidRDefault="00AE1F83">
      <w:pPr>
        <w:ind w:left="851" w:right="83" w:hanging="357"/>
      </w:pPr>
      <w:r>
        <w:rPr>
          <w:rFonts w:ascii="Segoe UI Symbol" w:eastAsia="Segoe UI Symbol" w:hAnsi="Segoe UI Symbol" w:cs="Segoe UI Symbol"/>
        </w:rPr>
        <w:t xml:space="preserve"> </w:t>
      </w:r>
      <w:r>
        <w:rPr>
          <w:b/>
        </w:rPr>
        <w:t>Рекомендуется</w:t>
      </w:r>
      <w:r>
        <w:t xml:space="preserve"> в целях своевременного выявления и предупреждения осложнений и обострений заболевания график и объем обследования пациентов при рецидиве или неоперабельном ПКР определять с учетом соматиче</w:t>
      </w:r>
      <w:r>
        <w:t>ского статуса пациента, распространенности опухолевого процесса, ожидаемых сроков развития эффекта/прогрессирования, а также ожидаемых сроков развития и видов прогнозируемой токсичности. Обследование пациента включает:</w:t>
      </w:r>
    </w:p>
    <w:p w:rsidR="00C3791F" w:rsidRDefault="00AE1F83">
      <w:pPr>
        <w:numPr>
          <w:ilvl w:val="1"/>
          <w:numId w:val="46"/>
        </w:numPr>
        <w:ind w:right="189" w:hanging="363"/>
      </w:pPr>
      <w:r>
        <w:t>опрос и физикальный осмотр каждые 4 н</w:t>
      </w:r>
      <w:r>
        <w:t>ед в течение 1 цикла лечения, далее при отсутствии отклонений, требующих пристального контроля, – по решению лечащего врача, после каждых 3–6 циклов лечения;</w:t>
      </w:r>
    </w:p>
    <w:p w:rsidR="00C3791F" w:rsidRDefault="00AE1F83">
      <w:pPr>
        <w:numPr>
          <w:ilvl w:val="1"/>
          <w:numId w:val="46"/>
        </w:numPr>
        <w:ind w:right="189" w:hanging="363"/>
      </w:pPr>
      <w:r>
        <w:t xml:space="preserve">выполнение рутинных лабораторных тестов, включающих общий клинический анализ крови, биохимический </w:t>
      </w:r>
      <w:r>
        <w:t>общетерапевтический анализ крови, общий анализ мочи до начала и в процессе лечения. Частота выполнения лабораторных тестов определяется индивидуальными требованиями, предъявляемыми к пациентам, получающим конкретные режимы терапии;</w:t>
      </w:r>
    </w:p>
    <w:p w:rsidR="00C3791F" w:rsidRDefault="00AE1F83">
      <w:pPr>
        <w:numPr>
          <w:ilvl w:val="1"/>
          <w:numId w:val="46"/>
        </w:numPr>
        <w:ind w:right="189" w:hanging="363"/>
      </w:pPr>
      <w:r>
        <w:t>определение уровня тиреотропного гормона в крови до начала терапии TKI и ингибиторами PD-1, далее при отсутствии лабораторных и клинических отклонений, требующих более пристального контроля, – после каждых 3–6 циклов лечения;</w:t>
      </w:r>
    </w:p>
    <w:p w:rsidR="00C3791F" w:rsidRDefault="00AE1F83">
      <w:pPr>
        <w:numPr>
          <w:ilvl w:val="1"/>
          <w:numId w:val="46"/>
        </w:numPr>
        <w:ind w:right="189" w:hanging="363"/>
      </w:pPr>
      <w:r>
        <w:t>радиологическое исследование о</w:t>
      </w:r>
      <w:r>
        <w:t>рганов грудной, брюшной полостей, забрюшинного пространства и таза до начала и в процессе лекарственной терапии. Методы выбора для визуализации данных областей – КТ или МРТ с контрастированием. Частота контрольных исследований – каждые 6–16 нед – определяе</w:t>
      </w:r>
      <w:r>
        <w:t>тся лечащим врачом индивидуально;</w:t>
      </w:r>
    </w:p>
    <w:p w:rsidR="00C3791F" w:rsidRDefault="00AE1F83">
      <w:pPr>
        <w:numPr>
          <w:ilvl w:val="1"/>
          <w:numId w:val="46"/>
        </w:numPr>
        <w:ind w:right="189" w:hanging="363"/>
      </w:pPr>
      <w:r>
        <w:t>МРТ головного мозга с контрастированием пациентам с впервые возникшими в процессе терапии неврологическими симптомами и пациентам с метастазами в головной мозг, получающими лечение. Частота контрольных исследований – кажды</w:t>
      </w:r>
      <w:r>
        <w:t>е 6–16 нед – определяется лечащим врачом индивидуально;</w:t>
      </w:r>
    </w:p>
    <w:p w:rsidR="00C3791F" w:rsidRDefault="00AE1F83">
      <w:pPr>
        <w:numPr>
          <w:ilvl w:val="1"/>
          <w:numId w:val="46"/>
        </w:numPr>
        <w:ind w:right="189" w:hanging="363"/>
      </w:pPr>
      <w:r>
        <w:t>сцинтиграфия костей всего тела (остеосцинтиграфию) пациентам с впервые возникшими в процессе терапии симптомами костного поражения и пациентам с метастазами в кости, получающими лечение. Частота контр</w:t>
      </w:r>
      <w:r>
        <w:t>ольных исследований – каждые 6–16 нед, определяется лечащим врачом индивидуально;</w:t>
      </w:r>
    </w:p>
    <w:p w:rsidR="00C3791F" w:rsidRDefault="00AE1F83">
      <w:pPr>
        <w:numPr>
          <w:ilvl w:val="1"/>
          <w:numId w:val="46"/>
        </w:numPr>
        <w:ind w:right="189" w:hanging="363"/>
      </w:pPr>
      <w:r>
        <w:t>рентгенография, КТ или МРТ костей при сомнительных результатах сцинтиграфии костей скелета или наличии клинических показаний к коррекции костных осложнений для планирования л</w:t>
      </w:r>
      <w:r>
        <w:t>учевой терапии или хирургического вмешательства;</w:t>
      </w:r>
    </w:p>
    <w:p w:rsidR="00C3791F" w:rsidRDefault="00AE1F83">
      <w:pPr>
        <w:numPr>
          <w:ilvl w:val="1"/>
          <w:numId w:val="46"/>
        </w:numPr>
        <w:ind w:right="189" w:hanging="363"/>
      </w:pPr>
      <w:r>
        <w:t>ЭхоКГ пациентам группы высокого риска кардиоваскулярных осложнений антиангиогенной терапии до начала лечения и каждые 12– 24 нед в процессе лечения или при развитии/прогрессировании клинических симптомов сер</w:t>
      </w:r>
      <w:r>
        <w:t>дечной недостаточности [240, 243, 244].</w:t>
      </w:r>
    </w:p>
    <w:p w:rsidR="00C3791F" w:rsidRDefault="00AE1F83">
      <w:pPr>
        <w:spacing w:line="357" w:lineRule="auto"/>
        <w:ind w:left="127" w:firstLine="709"/>
      </w:pPr>
      <w:r>
        <w:rPr>
          <w:b/>
        </w:rPr>
        <w:t>Уровень убедительности рекомендаций ‒ C (уровень достоверности доказательств – 4).</w:t>
      </w:r>
    </w:p>
    <w:p w:rsidR="00C3791F" w:rsidRDefault="00AE1F83">
      <w:pPr>
        <w:spacing w:line="357" w:lineRule="auto"/>
        <w:ind w:left="127" w:right="197" w:firstLine="709"/>
      </w:pPr>
      <w:r>
        <w:rPr>
          <w:b/>
        </w:rPr>
        <w:t>5.3. Динамическое наблюдение пациентов с наследственным почечноклеточным раком и выявленных бессимптомных носителей патогенных гермин</w:t>
      </w:r>
      <w:r>
        <w:rPr>
          <w:b/>
        </w:rPr>
        <w:t>альных мутаций</w:t>
      </w:r>
    </w:p>
    <w:p w:rsidR="00C3791F" w:rsidRDefault="00AE1F83">
      <w:pPr>
        <w:ind w:left="127" w:right="189" w:firstLine="708"/>
      </w:pPr>
      <w:r>
        <w:t>После постановки диагноза наследственного онкологического синдрома и удаления первичной опухоли(ей) возникает необходимость дальнейшего динамического наблюдения носителя герминальной патогенной (вероятно патогенной) мутации, чтобы вовремя об</w:t>
      </w:r>
      <w:r>
        <w:t>наружить новый ПКР и/или опухоли в других органах-мишенях. Также динамическое наблюдение показано родственникам пациента, если в ходе медико-генетического консультирования и молекулярно-генетической диагностики у них была выявлена мутация, идентичная таков</w:t>
      </w:r>
      <w:r>
        <w:t>ой у пациента.</w:t>
      </w:r>
    </w:p>
    <w:p w:rsidR="00C3791F" w:rsidRDefault="00AE1F83">
      <w:pPr>
        <w:numPr>
          <w:ilvl w:val="0"/>
          <w:numId w:val="47"/>
        </w:numPr>
        <w:ind w:right="189" w:hanging="360"/>
      </w:pPr>
      <w:r>
        <w:t>Динамическое наблюдение при VHL-синдроме показано в возрасте от 1 до 65 лет 1 раз в 1–3 года и в зависимости от возраста и определяемого патологического процесса включает:</w:t>
      </w:r>
    </w:p>
    <w:p w:rsidR="00C3791F" w:rsidRDefault="00AE1F83">
      <w:pPr>
        <w:numPr>
          <w:ilvl w:val="1"/>
          <w:numId w:val="47"/>
        </w:numPr>
        <w:spacing w:after="32"/>
        <w:ind w:right="189" w:hanging="360"/>
      </w:pPr>
      <w:r>
        <w:t>с 1 года офтальмоскопию (для выявления ангиом/гемангиобластом сетчатк</w:t>
      </w:r>
      <w:r>
        <w:t xml:space="preserve">и); </w:t>
      </w:r>
      <w:r>
        <w:rPr>
          <w:rFonts w:ascii="Courier New" w:eastAsia="Courier New" w:hAnsi="Courier New" w:cs="Courier New"/>
        </w:rPr>
        <w:t xml:space="preserve">o </w:t>
      </w:r>
      <w:r>
        <w:t>с 5 лет мониторинг артериального давления и исследование уровня метанефринов в крови и/или в моче (для выявления феохромоцитомы);</w:t>
      </w:r>
    </w:p>
    <w:p w:rsidR="00C3791F" w:rsidRDefault="00AE1F83">
      <w:pPr>
        <w:numPr>
          <w:ilvl w:val="1"/>
          <w:numId w:val="47"/>
        </w:numPr>
        <w:ind w:right="189" w:hanging="360"/>
      </w:pPr>
      <w:r>
        <w:t>с 12 лет МРТ головного и спинного мозга (для выявления гемангиобластом центральной нервной системы), органов брюшной пол</w:t>
      </w:r>
      <w:r>
        <w:t>ости (для выявления опухолей и кист почек, надпочечников и поджелудочной железы);</w:t>
      </w:r>
    </w:p>
    <w:p w:rsidR="00C3791F" w:rsidRDefault="00AE1F83">
      <w:pPr>
        <w:numPr>
          <w:ilvl w:val="1"/>
          <w:numId w:val="47"/>
        </w:numPr>
        <w:spacing w:after="28"/>
        <w:ind w:right="189" w:hanging="360"/>
      </w:pPr>
      <w:r>
        <w:t>с 14 лет аудиограмму (для выявления опухолей эндолимфатического протока внутреннего уха).</w:t>
      </w:r>
    </w:p>
    <w:p w:rsidR="00C3791F" w:rsidRDefault="00AE1F83">
      <w:pPr>
        <w:ind w:left="127" w:right="189" w:firstLine="708"/>
      </w:pPr>
      <w:r>
        <w:t xml:space="preserve">Диагностика новообразований почки при более редких наследственных </w:t>
      </w:r>
      <w:r>
        <w:t>онкологических синдромах проводится при динамическом наблюдении со следующей периодичностью:</w:t>
      </w:r>
    </w:p>
    <w:p w:rsidR="00C3791F" w:rsidRDefault="00AE1F83">
      <w:pPr>
        <w:numPr>
          <w:ilvl w:val="0"/>
          <w:numId w:val="47"/>
        </w:numPr>
        <w:ind w:right="189" w:hanging="360"/>
      </w:pPr>
      <w:r>
        <w:t>BHDS: МРТ или КТ органов брюшной полости не реже 1 раза в 3 года (у бессимптомных носителей мутации) или ежегодно (после удаления первичного ПКР у пациента), начин</w:t>
      </w:r>
      <w:r>
        <w:t>ая с возраста 20 лет; ежегодно осмотр дерматолога, КТ легких по показаниям;</w:t>
      </w:r>
    </w:p>
    <w:p w:rsidR="00C3791F" w:rsidRDefault="00AE1F83">
      <w:pPr>
        <w:numPr>
          <w:ilvl w:val="0"/>
          <w:numId w:val="47"/>
        </w:numPr>
        <w:spacing w:after="109" w:line="259" w:lineRule="auto"/>
        <w:ind w:right="189" w:hanging="360"/>
      </w:pPr>
      <w:r>
        <w:t>HPRC: МРТ или КТ органов брюшной полости ежегодно, начиная с возраста 30 лет;</w:t>
      </w:r>
    </w:p>
    <w:p w:rsidR="00C3791F" w:rsidRDefault="00AE1F83">
      <w:pPr>
        <w:numPr>
          <w:ilvl w:val="0"/>
          <w:numId w:val="47"/>
        </w:numPr>
        <w:ind w:right="189" w:hanging="360"/>
      </w:pPr>
      <w:r>
        <w:t>HLRCC: МРТ или КТ органов брюшной полости ежегодно, начиная с возраста 10 лет;</w:t>
      </w:r>
    </w:p>
    <w:p w:rsidR="00C3791F" w:rsidRDefault="00AE1F83">
      <w:pPr>
        <w:numPr>
          <w:ilvl w:val="0"/>
          <w:numId w:val="47"/>
        </w:numPr>
        <w:ind w:right="189" w:hanging="360"/>
      </w:pPr>
      <w:r>
        <w:t>BAP1-TPDS: МРТ или КТ органов брюшной полости не реже 1 раза в 2 года, начиная с возраста 30 лет;</w:t>
      </w:r>
    </w:p>
    <w:p w:rsidR="00C3791F" w:rsidRDefault="00AE1F83">
      <w:pPr>
        <w:numPr>
          <w:ilvl w:val="0"/>
          <w:numId w:val="47"/>
        </w:numPr>
        <w:ind w:right="189" w:hanging="360"/>
      </w:pPr>
      <w:r>
        <w:t>туберозный склероз: МРТ или КТ органов брюшной полости не реже 1 раза в 3 года, начиная с возраста 12 лет;</w:t>
      </w:r>
    </w:p>
    <w:p w:rsidR="00C3791F" w:rsidRDefault="00AE1F83">
      <w:pPr>
        <w:numPr>
          <w:ilvl w:val="0"/>
          <w:numId w:val="47"/>
        </w:numPr>
        <w:spacing w:after="444"/>
        <w:ind w:right="189" w:hanging="360"/>
      </w:pPr>
      <w:r>
        <w:t>SDH-феохромоцитома/параганглиома: МРТ или КТ органо</w:t>
      </w:r>
      <w:r>
        <w:t>в брюшной полости не реже 1 раза в 4 года, начиная с возраста 12 лет [102].</w:t>
      </w:r>
    </w:p>
    <w:p w:rsidR="00C3791F" w:rsidRDefault="00AE1F83">
      <w:pPr>
        <w:pStyle w:val="Heading1"/>
        <w:spacing w:after="328"/>
        <w:ind w:left="160" w:right="199"/>
      </w:pPr>
      <w:r>
        <w:t>6. Организация оказания медицинской помощи</w:t>
      </w:r>
    </w:p>
    <w:p w:rsidR="00C3791F" w:rsidRDefault="00AE1F83">
      <w:pPr>
        <w:ind w:left="127" w:right="189" w:firstLine="709"/>
      </w:pPr>
      <w:r>
        <w:t xml:space="preserve">Медицинская помощь, за исключением медицинской помощи в рамках клинической апробации, в соответствии с Федеральным законом от 21.11.2011 </w:t>
      </w:r>
      <w:r>
        <w:t>№ 323-ФЗ «Об основах охраны здоровья граждан в Российской Федерации», организуется и оказывается:</w:t>
      </w:r>
    </w:p>
    <w:p w:rsidR="00C3791F" w:rsidRDefault="00AE1F83">
      <w:pPr>
        <w:numPr>
          <w:ilvl w:val="0"/>
          <w:numId w:val="48"/>
        </w:numPr>
        <w:ind w:right="189" w:firstLine="709"/>
      </w:pPr>
      <w: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w:t>
      </w:r>
      <w:r>
        <w:t>полнительной власти;</w:t>
      </w:r>
    </w:p>
    <w:p w:rsidR="00C3791F" w:rsidRDefault="00AE1F83">
      <w:pPr>
        <w:numPr>
          <w:ilvl w:val="0"/>
          <w:numId w:val="48"/>
        </w:numPr>
        <w:ind w:right="189" w:firstLine="709"/>
      </w:pPr>
      <w:r>
        <w:t>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C3791F" w:rsidRDefault="00AE1F83">
      <w:pPr>
        <w:numPr>
          <w:ilvl w:val="0"/>
          <w:numId w:val="48"/>
        </w:numPr>
        <w:spacing w:after="114" w:line="259" w:lineRule="auto"/>
        <w:ind w:right="189" w:firstLine="709"/>
      </w:pPr>
      <w:r>
        <w:t>на основе</w:t>
      </w:r>
      <w:r>
        <w:t xml:space="preserve"> настоящих клинических рекомендаций;</w:t>
      </w:r>
    </w:p>
    <w:p w:rsidR="00C3791F" w:rsidRDefault="00AE1F83">
      <w:pPr>
        <w:numPr>
          <w:ilvl w:val="0"/>
          <w:numId w:val="48"/>
        </w:numPr>
        <w:ind w:right="189" w:firstLine="709"/>
      </w:pPr>
      <w:r>
        <w:t>с учетом стандартов медицинской помощи, утвержденных уполномоченным Федеральным органом исполнительной власти.</w:t>
      </w:r>
    </w:p>
    <w:p w:rsidR="00C3791F" w:rsidRDefault="00AE1F83">
      <w:pPr>
        <w:ind w:left="127" w:right="189" w:firstLine="709"/>
      </w:pPr>
      <w:r>
        <w:t>Первичная специализированная медико-санитарная помощь оказывается врачомонкологом и иными врачами-специалист</w:t>
      </w:r>
      <w:r>
        <w:t xml:space="preserve">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 </w:t>
      </w:r>
    </w:p>
    <w:p w:rsidR="00C3791F" w:rsidRDefault="00AE1F83">
      <w:pPr>
        <w:ind w:left="127" w:right="189" w:firstLine="709"/>
      </w:pPr>
      <w:r>
        <w:t xml:space="preserve">При подозрении или выявлении у пациента онкологического заболевания </w:t>
      </w:r>
      <w:r>
        <w:t>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отсутствии в пе</w:t>
      </w:r>
      <w:r>
        <w:t>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C3791F" w:rsidRDefault="00AE1F83">
      <w:pPr>
        <w:ind w:left="127" w:right="189" w:firstLine="709"/>
      </w:pPr>
      <w:r>
        <w:t>Консультация в центре амбулаторной онкологической помощи либо в первичном</w:t>
      </w:r>
      <w:r>
        <w:t xml:space="preserve"> онкологическом кабинете, поликлиническом отделении онкологического диспансера (онкологической больницы) не должна превышать срока, установленного в программе государственных гарантий бесплатного оказания гражданам медицинской помощи, утверждаемой Правител</w:t>
      </w:r>
      <w:r>
        <w:t>ьством Российской Федерации.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w:t>
      </w:r>
      <w:r>
        <w:t>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r>
        <w:t>.</w:t>
      </w:r>
    </w:p>
    <w:p w:rsidR="00C3791F" w:rsidRDefault="00AE1F83">
      <w:pPr>
        <w:ind w:left="127" w:right="189" w:firstLine="709"/>
      </w:pPr>
      <w: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w:t>
      </w:r>
      <w:r>
        <w:t xml:space="preserve">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C3791F" w:rsidRDefault="00AE1F83">
      <w:pPr>
        <w:ind w:left="127" w:right="189" w:firstLine="709"/>
      </w:pPr>
      <w:r>
        <w:t>Срок выполнения патологоанатомических исследований, необходимых для</w:t>
      </w:r>
      <w:r>
        <w:t xml:space="preserve"> гистологической верификации злокачественных новообразований не должен превышать срок, установленный в программе государственных гарантий бесплатного оказания гражданам медицинской помощи, утверждаемой Правительством Российской Федерации.</w:t>
      </w:r>
    </w:p>
    <w:p w:rsidR="00C3791F" w:rsidRDefault="00AE1F83">
      <w:pPr>
        <w:ind w:left="127" w:right="189" w:firstLine="709"/>
      </w:pPr>
      <w:r>
        <w:t xml:space="preserve">Сроки проведения </w:t>
      </w:r>
      <w:r>
        <w:t>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w:t>
      </w:r>
      <w:r>
        <w:t>авительством Российской Федерации.</w:t>
      </w:r>
    </w:p>
    <w:p w:rsidR="00C3791F" w:rsidRDefault="00AE1F83">
      <w:pPr>
        <w:ind w:left="127" w:right="189" w:firstLine="709"/>
      </w:pPr>
      <w:r>
        <w:t xml:space="preserve">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w:t>
      </w:r>
      <w:r>
        <w:t>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C3791F" w:rsidRDefault="00AE1F83">
      <w:pPr>
        <w:ind w:left="127" w:right="189" w:firstLine="709"/>
      </w:pPr>
      <w:r>
        <w:t>Врач-онколог центра амбулаторной онкологической помощи (первичного онкологического каб</w:t>
      </w:r>
      <w:r>
        <w:t>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w:t>
      </w:r>
      <w:r>
        <w:t>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w:t>
      </w:r>
      <w:r>
        <w:t>ских показаний для оказания специализированной, в том числе высокотехнологичной, медицинской помощи.</w:t>
      </w:r>
    </w:p>
    <w:p w:rsidR="00C3791F" w:rsidRDefault="00AE1F83">
      <w:pPr>
        <w:ind w:left="127" w:right="189" w:firstLine="709"/>
      </w:pPr>
      <w: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w:t>
      </w:r>
      <w:r>
        <w:t>тадию заболевания) в целях проведения оценки, интерпретации и описания результатов врачонколог организует направление:</w:t>
      </w:r>
    </w:p>
    <w:p w:rsidR="00C3791F" w:rsidRDefault="00AE1F83">
      <w:pPr>
        <w:spacing w:after="109" w:line="259" w:lineRule="auto"/>
        <w:ind w:left="724" w:right="181"/>
        <w:jc w:val="right"/>
      </w:pPr>
      <w:r>
        <w:t xml:space="preserve">цифровых изображений, полученных по результатам патоморфологических </w:t>
      </w:r>
    </w:p>
    <w:p w:rsidR="00C3791F" w:rsidRDefault="00AE1F83">
      <w:pPr>
        <w:ind w:left="137" w:right="189"/>
      </w:pPr>
      <w:r>
        <w:t>исследований, в патолого-анатомическое бюро (отделение) четвертой гр</w:t>
      </w:r>
      <w:r>
        <w:t>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 цифровых изображений, полученных по результатам лучевых методов исследовани</w:t>
      </w:r>
      <w:r>
        <w:t>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 биопсийного (операционного) матери</w:t>
      </w:r>
      <w:r>
        <w:t>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w:t>
      </w:r>
      <w:r>
        <w:t>екулярногенетических исследований.</w:t>
      </w:r>
    </w:p>
    <w:p w:rsidR="00C3791F" w:rsidRDefault="00AE1F83">
      <w:pPr>
        <w:ind w:left="127" w:right="189" w:firstLine="709"/>
      </w:pPr>
      <w: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w:t>
      </w:r>
      <w:r>
        <w:t>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w:t>
      </w:r>
      <w:r>
        <w:t>и необходимости других врачей-специалистов.</w:t>
      </w:r>
    </w:p>
    <w:p w:rsidR="00C3791F" w:rsidRDefault="00AE1F83">
      <w:pPr>
        <w:ind w:left="127" w:right="189" w:firstLine="709"/>
      </w:pPr>
      <w: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w:t>
      </w:r>
      <w:r>
        <w:t>леваниями.</w:t>
      </w:r>
    </w:p>
    <w:p w:rsidR="00C3791F" w:rsidRDefault="00AE1F83">
      <w:pPr>
        <w:ind w:left="127" w:right="189" w:firstLine="709"/>
      </w:pPr>
      <w: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w:t>
      </w:r>
      <w:r>
        <w:t>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 В случае подтверждения у п</w:t>
      </w:r>
      <w:r>
        <w:t>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новообраз</w:t>
      </w:r>
      <w:r>
        <w:t>ованием, в медицинскую организацию, осуществляющую диспансерное наблюдение пациента</w:t>
      </w:r>
    </w:p>
    <w:p w:rsidR="00C3791F" w:rsidRDefault="00AE1F83">
      <w:pPr>
        <w:ind w:left="127" w:right="189" w:firstLine="709"/>
      </w:pPr>
      <w: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w:t>
      </w:r>
      <w:r>
        <w:t>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C3791F" w:rsidRDefault="00AE1F83">
      <w:pPr>
        <w:ind w:left="127" w:right="189" w:firstLine="709"/>
      </w:pPr>
      <w:r>
        <w:t>Специализированная, за исключением высокотехнологичной, медицинская помощь в меди</w:t>
      </w:r>
      <w:r>
        <w:t>цинских организациях, подведомственных федеральным органам исполнительной власти, оказывается по медицинским показаниям, предусмотренным порядком направления пациентов в медицинские организации и иные организации, подведомственные федеральным органам испол</w:t>
      </w:r>
      <w:r>
        <w:t>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В случае е</w:t>
      </w:r>
      <w:r>
        <w:t>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w:t>
      </w:r>
      <w:r>
        <w:t>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w:t>
      </w:r>
      <w:r>
        <w:t xml:space="preserve"> могут превышать сроки ожидания, установленные программой государственных гарантий бесплатного оказания гражданам медицинской помощи.</w:t>
      </w:r>
    </w:p>
    <w:p w:rsidR="00C3791F" w:rsidRDefault="00AE1F83">
      <w:pPr>
        <w:ind w:left="127" w:right="189" w:firstLine="709"/>
      </w:pPr>
      <w:r>
        <w:t>Сроки ожидания оказания специализированной (за исключением высокотехнологичной) медицинской помощи не должны превышать сро</w:t>
      </w:r>
      <w:r>
        <w:t>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C3791F" w:rsidRDefault="00AE1F83">
      <w:pPr>
        <w:ind w:left="127" w:right="189" w:firstLine="709"/>
      </w:pPr>
      <w:r>
        <w:t>При наличии у пациента с онкологическим заболеванием медицинских показаний для проведения медицинск</w:t>
      </w:r>
      <w:r>
        <w:t>ой реабилитации врач-онколог организует ее проведение в соответствии с порядком организации медицинской реабилитации взрослых.</w:t>
      </w:r>
    </w:p>
    <w:p w:rsidR="00C3791F" w:rsidRDefault="00AE1F83">
      <w:pPr>
        <w:ind w:left="127" w:right="189" w:firstLine="709"/>
      </w:pPr>
      <w:r>
        <w:t>При наличии у пациента с онкологическим заболеванием медицинских показаний к санаторно-курортному лечению врач-онколог организует</w:t>
      </w:r>
      <w:r>
        <w:t xml:space="preserve"> его в соответствии порядком организации санаторно-курортного лечения.</w:t>
      </w:r>
    </w:p>
    <w:p w:rsidR="00C3791F" w:rsidRDefault="00AE1F83">
      <w:pPr>
        <w:ind w:left="127" w:right="189" w:firstLine="709"/>
      </w:pPr>
      <w: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w:t>
      </w:r>
      <w:r>
        <w:t xml:space="preserve">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C3791F" w:rsidRDefault="00AE1F83">
      <w:pPr>
        <w:spacing w:after="407"/>
        <w:ind w:left="127" w:right="189" w:firstLine="709"/>
      </w:pPr>
      <w:r>
        <w:t>При подозрении и (или) выявлении у пациента онкологического</w:t>
      </w:r>
      <w:r>
        <w:t xml:space="preserve">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w:t>
      </w:r>
      <w:r>
        <w:t>ельно других методов специализированного противоопухолевого лечения.</w:t>
      </w:r>
    </w:p>
    <w:p w:rsidR="00C3791F" w:rsidRDefault="00AE1F83">
      <w:pPr>
        <w:ind w:left="127" w:right="189" w:firstLine="709"/>
      </w:pPr>
      <w:r>
        <w:t>Показаниями для госпитализации в медицинскую организацию в экстренной или неотложной форме являются:</w:t>
      </w:r>
    </w:p>
    <w:p w:rsidR="00C3791F" w:rsidRDefault="00AE1F83">
      <w:pPr>
        <w:numPr>
          <w:ilvl w:val="0"/>
          <w:numId w:val="49"/>
        </w:numPr>
        <w:ind w:right="189" w:firstLine="709"/>
      </w:pPr>
      <w:r>
        <w:t>наличие осложнений онкологического заболевания, требующих оказания ему специализирован</w:t>
      </w:r>
      <w:r>
        <w:t>ной медицинской помощи в экстренной и неотложной форме;</w:t>
      </w:r>
    </w:p>
    <w:p w:rsidR="00C3791F" w:rsidRDefault="00AE1F83">
      <w:pPr>
        <w:numPr>
          <w:ilvl w:val="0"/>
          <w:numId w:val="49"/>
        </w:numPr>
        <w:ind w:right="189" w:firstLine="709"/>
      </w:pPr>
      <w:r>
        <w:t>наличие осложнений лечения онкологического заболевания (хирургическое вмешательство, ЛТ, лекарственная терапия и т.д.), требующих оказания ему специализированной медицинской помощи в экстренной и неот</w:t>
      </w:r>
      <w:r>
        <w:t>ложной форме</w:t>
      </w:r>
    </w:p>
    <w:p w:rsidR="00C3791F" w:rsidRDefault="00AE1F83">
      <w:pPr>
        <w:ind w:left="127" w:right="189" w:firstLine="709"/>
      </w:pPr>
      <w:r>
        <w:t>Показаниями для госпитализации в медицинскую организацию в плановой форме являются:</w:t>
      </w:r>
    </w:p>
    <w:p w:rsidR="00C3791F" w:rsidRDefault="00AE1F83">
      <w:pPr>
        <w:numPr>
          <w:ilvl w:val="0"/>
          <w:numId w:val="50"/>
        </w:numPr>
        <w:ind w:right="189" w:firstLine="709"/>
      </w:pPr>
      <w:r>
        <w:t xml:space="preserve">необходимость выполнения сложных интервенционных диагностических медицинских вмешательств, а также проведение эндоскопических исследований при </w:t>
      </w:r>
      <w:r>
        <w:t>невозможности выполнить их амбулаторно, требуют последующего наблюдения в условиях круглосуточного или дневного стационара;</w:t>
      </w:r>
    </w:p>
    <w:p w:rsidR="00C3791F" w:rsidRDefault="00AE1F83">
      <w:pPr>
        <w:numPr>
          <w:ilvl w:val="0"/>
          <w:numId w:val="50"/>
        </w:numPr>
        <w:ind w:right="189" w:firstLine="709"/>
      </w:pPr>
      <w:r>
        <w:t>наличие показаний к специализированному противоопухолевому лечению(хирургическое вмешательство, ЛТ, в том числе контактная, ДЛТ и др</w:t>
      </w:r>
      <w:r>
        <w:t>угие виды ЛТ, лекарственная терапия и др.), требующему наблюдения в условиях круглосуточного или дневного стационара.</w:t>
      </w:r>
    </w:p>
    <w:p w:rsidR="00C3791F" w:rsidRDefault="00AE1F83">
      <w:pPr>
        <w:spacing w:after="114" w:line="259" w:lineRule="auto"/>
        <w:ind w:left="861" w:right="189"/>
      </w:pPr>
      <w:r>
        <w:t>Показаниями к выписке пациента из медицинской организации являются:</w:t>
      </w:r>
    </w:p>
    <w:p w:rsidR="00C3791F" w:rsidRDefault="00AE1F83">
      <w:pPr>
        <w:numPr>
          <w:ilvl w:val="0"/>
          <w:numId w:val="51"/>
        </w:numPr>
        <w:ind w:right="189" w:firstLine="709"/>
      </w:pPr>
      <w:r>
        <w:t>завершение курса лечения или одного из этапов оказания специализирован</w:t>
      </w:r>
      <w:r>
        <w:t>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C3791F" w:rsidRDefault="00AE1F83">
      <w:pPr>
        <w:numPr>
          <w:ilvl w:val="0"/>
          <w:numId w:val="51"/>
        </w:numPr>
        <w:ind w:right="189" w:firstLine="709"/>
      </w:pPr>
      <w:r>
        <w:t>отказ пациент</w:t>
      </w:r>
      <w:r>
        <w:t>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w:t>
      </w:r>
    </w:p>
    <w:p w:rsidR="00C3791F" w:rsidRDefault="00AE1F83">
      <w:pPr>
        <w:numPr>
          <w:ilvl w:val="0"/>
          <w:numId w:val="51"/>
        </w:numPr>
        <w:ind w:right="189" w:firstLine="709"/>
      </w:pPr>
      <w:r>
        <w:t>в случаях несоблю</w:t>
      </w:r>
      <w:r>
        <w:t>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C3791F" w:rsidRDefault="00AE1F83">
      <w:pPr>
        <w:numPr>
          <w:ilvl w:val="0"/>
          <w:numId w:val="51"/>
        </w:numPr>
        <w:ind w:right="189" w:firstLine="709"/>
      </w:pPr>
      <w:r>
        <w:t>необходимость перевода пациента в другую медицинскую организацию по соответствующему профилю оказ</w:t>
      </w:r>
      <w:r>
        <w:t>ания медицинской помощи.</w:t>
      </w:r>
    </w:p>
    <w:p w:rsidR="00C3791F" w:rsidRDefault="00AE1F83">
      <w:pPr>
        <w:spacing w:after="1273"/>
        <w:ind w:left="127" w:right="189" w:firstLine="709"/>
      </w:pPr>
      <w: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w:t>
      </w:r>
      <w:r>
        <w:t>истами медицинской организации, в которую планируется перевод.</w:t>
      </w:r>
    </w:p>
    <w:p w:rsidR="00C3791F" w:rsidRDefault="00AE1F83">
      <w:pPr>
        <w:pStyle w:val="Heading1"/>
        <w:spacing w:line="357" w:lineRule="auto"/>
        <w:ind w:left="137" w:right="163"/>
        <w:jc w:val="left"/>
      </w:pPr>
      <w:r>
        <w:t>7. Дополнительная информация (в том числе факторы, влияющие на исход заболевания или состояния)</w:t>
      </w:r>
    </w:p>
    <w:p w:rsidR="00C3791F" w:rsidRDefault="00AE1F83">
      <w:pPr>
        <w:spacing w:line="359" w:lineRule="auto"/>
        <w:ind w:left="127" w:right="131" w:firstLine="709"/>
        <w:jc w:val="left"/>
      </w:pPr>
      <w:r>
        <w:t>Известные</w:t>
      </w:r>
      <w:r>
        <w:tab/>
        <w:t xml:space="preserve"> </w:t>
      </w:r>
      <w:r>
        <w:tab/>
        <w:t>прогностические</w:t>
      </w:r>
      <w:r>
        <w:tab/>
        <w:t xml:space="preserve"> </w:t>
      </w:r>
      <w:r>
        <w:tab/>
        <w:t>факторы</w:t>
      </w:r>
      <w:r>
        <w:tab/>
        <w:t xml:space="preserve"> </w:t>
      </w:r>
      <w:r>
        <w:tab/>
        <w:t>при</w:t>
      </w:r>
      <w:r>
        <w:tab/>
        <w:t xml:space="preserve"> </w:t>
      </w:r>
      <w:r>
        <w:tab/>
        <w:t>местно-распространенном неоперабельном и мПКР, кото</w:t>
      </w:r>
      <w:r>
        <w:t>рые рекомендуется регистрировать (факторы прогноза IMDC) [15]:</w:t>
      </w:r>
    </w:p>
    <w:p w:rsidR="00C3791F" w:rsidRDefault="00AE1F83">
      <w:pPr>
        <w:numPr>
          <w:ilvl w:val="0"/>
          <w:numId w:val="52"/>
        </w:numPr>
        <w:spacing w:after="105" w:line="259" w:lineRule="auto"/>
        <w:ind w:right="189" w:hanging="363"/>
      </w:pPr>
      <w:r>
        <w:t>низкий соматический статус (&lt;80 баллов по шкале Карновского);</w:t>
      </w:r>
    </w:p>
    <w:p w:rsidR="00C3791F" w:rsidRDefault="00AE1F83">
      <w:pPr>
        <w:numPr>
          <w:ilvl w:val="0"/>
          <w:numId w:val="52"/>
        </w:numPr>
        <w:spacing w:after="106" w:line="259" w:lineRule="auto"/>
        <w:ind w:right="189" w:hanging="363"/>
      </w:pPr>
      <w:r>
        <w:t xml:space="preserve">время от диагноза до лечения метастатической болезни &lt;1 года; </w:t>
      </w:r>
    </w:p>
    <w:p w:rsidR="00C3791F" w:rsidRDefault="00AE1F83">
      <w:pPr>
        <w:numPr>
          <w:ilvl w:val="0"/>
          <w:numId w:val="52"/>
        </w:numPr>
        <w:spacing w:after="106" w:line="259" w:lineRule="auto"/>
        <w:ind w:right="189" w:hanging="363"/>
      </w:pPr>
      <w:r>
        <w:t xml:space="preserve">уровень гемоглобина меньше нижней границы нормы; </w:t>
      </w:r>
    </w:p>
    <w:p w:rsidR="00C3791F" w:rsidRDefault="00AE1F83">
      <w:pPr>
        <w:numPr>
          <w:ilvl w:val="0"/>
          <w:numId w:val="52"/>
        </w:numPr>
        <w:spacing w:after="106" w:line="259" w:lineRule="auto"/>
        <w:ind w:right="189" w:hanging="363"/>
      </w:pPr>
      <w:r>
        <w:t>количество нейтрофилов выше верхней границы нормы;</w:t>
      </w:r>
    </w:p>
    <w:p w:rsidR="00C3791F" w:rsidRDefault="00AE1F83">
      <w:pPr>
        <w:numPr>
          <w:ilvl w:val="0"/>
          <w:numId w:val="52"/>
        </w:numPr>
        <w:spacing w:after="105" w:line="259" w:lineRule="auto"/>
        <w:ind w:right="189" w:hanging="363"/>
      </w:pPr>
      <w:r>
        <w:t>количество тромбоцитов выше верхней границы нормы;</w:t>
      </w:r>
    </w:p>
    <w:p w:rsidR="00C3791F" w:rsidRDefault="00AE1F83">
      <w:pPr>
        <w:numPr>
          <w:ilvl w:val="0"/>
          <w:numId w:val="52"/>
        </w:numPr>
        <w:ind w:right="189" w:hanging="363"/>
      </w:pPr>
      <w:r>
        <w:t>уровень скорректированного по концентрации сывороточного альбумина кальция выше верхней границы нормы.</w:t>
      </w:r>
    </w:p>
    <w:p w:rsidR="00C3791F" w:rsidRDefault="00AE1F83">
      <w:pPr>
        <w:ind w:left="127" w:right="189" w:firstLine="709"/>
      </w:pPr>
      <w:r>
        <w:t xml:space="preserve">На основании наличия и количества имеющихся факторов риска выделены группы прогноза: </w:t>
      </w:r>
    </w:p>
    <w:p w:rsidR="00C3791F" w:rsidRDefault="00AE1F83">
      <w:pPr>
        <w:numPr>
          <w:ilvl w:val="0"/>
          <w:numId w:val="52"/>
        </w:numPr>
        <w:spacing w:after="106" w:line="259" w:lineRule="auto"/>
        <w:ind w:right="189" w:hanging="363"/>
      </w:pPr>
      <w:r>
        <w:t>хороший – 0 факторов риска;</w:t>
      </w:r>
    </w:p>
    <w:p w:rsidR="00C3791F" w:rsidRDefault="00AE1F83">
      <w:pPr>
        <w:numPr>
          <w:ilvl w:val="0"/>
          <w:numId w:val="52"/>
        </w:numPr>
        <w:spacing w:after="808"/>
        <w:ind w:right="189" w:hanging="363"/>
      </w:pPr>
      <w:r>
        <w:t xml:space="preserve">промежуточный – 1−2 фактора риска; </w:t>
      </w:r>
      <w:r>
        <w:rPr>
          <w:rFonts w:ascii="Calibri" w:eastAsia="Calibri" w:hAnsi="Calibri" w:cs="Calibri"/>
        </w:rPr>
        <w:t xml:space="preserve">● </w:t>
      </w:r>
      <w:r>
        <w:t>плохой – ≥3 факторов риска.</w:t>
      </w:r>
    </w:p>
    <w:p w:rsidR="00C3791F" w:rsidRDefault="00AE1F83">
      <w:pPr>
        <w:spacing w:after="108" w:line="265" w:lineRule="auto"/>
        <w:ind w:left="861"/>
      </w:pPr>
      <w:r>
        <w:rPr>
          <w:b/>
        </w:rPr>
        <w:t>Критерии оценки качества медицинской помощи</w:t>
      </w:r>
    </w:p>
    <w:p w:rsidR="00C3791F" w:rsidRDefault="00AE1F83">
      <w:pPr>
        <w:spacing w:after="233"/>
        <w:ind w:left="127" w:right="189" w:firstLine="709"/>
      </w:pPr>
      <w:r>
        <w:t>Критерии оценки качества специали</w:t>
      </w:r>
      <w:r>
        <w:t xml:space="preserve">зированной медицинской помощи взрослым пациентам при раке паренхимы почки указаны в табл. 4. </w:t>
      </w:r>
    </w:p>
    <w:p w:rsidR="00C3791F" w:rsidRDefault="00AE1F83">
      <w:pPr>
        <w:spacing w:line="259" w:lineRule="auto"/>
        <w:ind w:left="137" w:right="189"/>
      </w:pPr>
      <w:r>
        <w:rPr>
          <w:b/>
        </w:rPr>
        <w:t>Таблица 4.</w:t>
      </w:r>
      <w:r>
        <w:t xml:space="preserve"> Критерии оценки качества медицинской помощи</w:t>
      </w:r>
    </w:p>
    <w:tbl>
      <w:tblPr>
        <w:tblStyle w:val="TableGrid"/>
        <w:tblW w:w="9338" w:type="dxa"/>
        <w:tblInd w:w="147" w:type="dxa"/>
        <w:tblCellMar>
          <w:top w:w="16" w:type="dxa"/>
          <w:left w:w="109" w:type="dxa"/>
          <w:bottom w:w="0" w:type="dxa"/>
          <w:right w:w="115" w:type="dxa"/>
        </w:tblCellMar>
        <w:tblLook w:val="04A0" w:firstRow="1" w:lastRow="0" w:firstColumn="1" w:lastColumn="0" w:noHBand="0" w:noVBand="1"/>
      </w:tblPr>
      <w:tblGrid>
        <w:gridCol w:w="1138"/>
        <w:gridCol w:w="6076"/>
        <w:gridCol w:w="2124"/>
      </w:tblGrid>
      <w:tr w:rsidR="00C3791F">
        <w:trPr>
          <w:trHeight w:val="788"/>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341" w:firstLine="0"/>
              <w:jc w:val="left"/>
            </w:pPr>
            <w:r>
              <w:rPr>
                <w:b/>
              </w:rPr>
              <w:t>№</w:t>
            </w:r>
          </w:p>
        </w:tc>
        <w:tc>
          <w:tcPr>
            <w:tcW w:w="6076"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717" w:firstLine="0"/>
              <w:jc w:val="center"/>
            </w:pPr>
            <w:r>
              <w:rPr>
                <w:b/>
              </w:rPr>
              <w:t>Критерии качества</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7" w:firstLine="0"/>
              <w:jc w:val="center"/>
            </w:pPr>
            <w:r>
              <w:rPr>
                <w:b/>
              </w:rPr>
              <w:t>Выполнение</w:t>
            </w:r>
          </w:p>
        </w:tc>
      </w:tr>
      <w:tr w:rsidR="00C3791F">
        <w:trPr>
          <w:trHeight w:val="568"/>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10" w:firstLine="0"/>
              <w:jc w:val="center"/>
            </w:pPr>
            <w:r>
              <w:t>1</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Выполнено УЗИ органов забрюшинного пространства и органов брюшной полости (комплексное)</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153" w:firstLine="0"/>
              <w:jc w:val="center"/>
            </w:pPr>
            <w:r>
              <w:t>да/нет</w:t>
            </w:r>
          </w:p>
        </w:tc>
      </w:tr>
      <w:tr w:rsidR="00C3791F">
        <w:trPr>
          <w:trHeight w:val="842"/>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10" w:firstLine="0"/>
              <w:jc w:val="center"/>
            </w:pPr>
            <w:r>
              <w:t>2</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Выполнена 3-фазная спиральная КТ органов брюшной полости и забрюшинного пространства с в/в болюсным контрастированием</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153" w:firstLine="0"/>
              <w:jc w:val="center"/>
            </w:pPr>
            <w:r>
              <w:t>да/нет</w:t>
            </w:r>
          </w:p>
        </w:tc>
      </w:tr>
      <w:tr w:rsidR="00C3791F">
        <w:trPr>
          <w:trHeight w:val="844"/>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10" w:firstLine="0"/>
              <w:jc w:val="center"/>
            </w:pPr>
            <w:r>
              <w:t>3</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Выполнена ЭхоКГ пациенту с опухолевым венозным тромбозом, распространяющимся выше нижней границы печени</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153" w:firstLine="0"/>
              <w:jc w:val="center"/>
            </w:pPr>
            <w:r>
              <w:t>да/нет</w:t>
            </w:r>
          </w:p>
        </w:tc>
      </w:tr>
      <w:tr w:rsidR="00C3791F">
        <w:trPr>
          <w:trHeight w:val="290"/>
        </w:trPr>
        <w:tc>
          <w:tcPr>
            <w:tcW w:w="1138"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10" w:firstLine="0"/>
              <w:jc w:val="center"/>
            </w:pPr>
            <w:r>
              <w:t>4</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Выполнена КТ органов грудной полости</w:t>
            </w:r>
          </w:p>
        </w:tc>
        <w:tc>
          <w:tcPr>
            <w:tcW w:w="2124"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153" w:firstLine="0"/>
              <w:jc w:val="center"/>
            </w:pPr>
            <w:r>
              <w:t>да/нет</w:t>
            </w:r>
          </w:p>
        </w:tc>
      </w:tr>
      <w:tr w:rsidR="00C3791F">
        <w:trPr>
          <w:trHeight w:val="1948"/>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10" w:firstLine="0"/>
              <w:jc w:val="center"/>
            </w:pPr>
            <w:r>
              <w:t>5</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Выполнены сцинтиграфия почек (динамическая нефросцинтиграфия) у пациента, имеющего нарушение почечной функции и/или единственную функционирующую почку, или билатеральное опухолевое поражение почек, и/или риск нарушения почечной функции вследствие сопутству</w:t>
            </w:r>
            <w:r>
              <w:t>ющих заболеваний или состояний</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153" w:firstLine="0"/>
              <w:jc w:val="center"/>
            </w:pPr>
            <w:r>
              <w:t>да/нет</w:t>
            </w:r>
          </w:p>
        </w:tc>
      </w:tr>
      <w:tr w:rsidR="00C3791F">
        <w:trPr>
          <w:trHeight w:val="290"/>
        </w:trPr>
        <w:tc>
          <w:tcPr>
            <w:tcW w:w="1138"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10" w:firstLine="0"/>
              <w:jc w:val="center"/>
            </w:pPr>
            <w:r>
              <w:t>6</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 xml:space="preserve">Выполнена сцинтиграфия костей всего тела </w:t>
            </w:r>
          </w:p>
        </w:tc>
        <w:tc>
          <w:tcPr>
            <w:tcW w:w="2124"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153" w:firstLine="0"/>
              <w:jc w:val="center"/>
            </w:pPr>
            <w:r>
              <w:t>да/нет</w:t>
            </w:r>
          </w:p>
        </w:tc>
      </w:tr>
    </w:tbl>
    <w:p w:rsidR="00C3791F" w:rsidRDefault="00C3791F">
      <w:pPr>
        <w:spacing w:after="0" w:line="259" w:lineRule="auto"/>
        <w:ind w:left="-1561" w:right="199" w:firstLine="0"/>
        <w:jc w:val="left"/>
      </w:pPr>
    </w:p>
    <w:tbl>
      <w:tblPr>
        <w:tblStyle w:val="TableGrid"/>
        <w:tblW w:w="9338" w:type="dxa"/>
        <w:tblInd w:w="147" w:type="dxa"/>
        <w:tblCellMar>
          <w:top w:w="16" w:type="dxa"/>
          <w:left w:w="109" w:type="dxa"/>
          <w:bottom w:w="0" w:type="dxa"/>
          <w:right w:w="51" w:type="dxa"/>
        </w:tblCellMar>
        <w:tblLook w:val="04A0" w:firstRow="1" w:lastRow="0" w:firstColumn="1" w:lastColumn="0" w:noHBand="0" w:noVBand="1"/>
      </w:tblPr>
      <w:tblGrid>
        <w:gridCol w:w="1138"/>
        <w:gridCol w:w="6076"/>
        <w:gridCol w:w="2124"/>
      </w:tblGrid>
      <w:tr w:rsidR="00C3791F">
        <w:trPr>
          <w:trHeight w:val="1396"/>
        </w:trPr>
        <w:tc>
          <w:tcPr>
            <w:tcW w:w="1138" w:type="dxa"/>
            <w:tcBorders>
              <w:top w:val="single" w:sz="6" w:space="0" w:color="000000"/>
              <w:left w:val="single" w:sz="6" w:space="0" w:color="000000"/>
              <w:bottom w:val="single" w:sz="6" w:space="0" w:color="000000"/>
              <w:right w:val="single" w:sz="6" w:space="0" w:color="000000"/>
            </w:tcBorders>
          </w:tcPr>
          <w:p w:rsidR="00C3791F" w:rsidRDefault="00C3791F">
            <w:pPr>
              <w:spacing w:after="160" w:line="259" w:lineRule="auto"/>
              <w:ind w:left="0" w:firstLine="0"/>
              <w:jc w:val="left"/>
            </w:pP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(остеосцинтиграфия) у пациента с костными болями и/или переломами костей, и/или повышением уровня щелочной фосфатазы сыворотки крови, и/или при наличии местно-распространенной или метастатической стадии заболевания</w:t>
            </w:r>
          </w:p>
        </w:tc>
        <w:tc>
          <w:tcPr>
            <w:tcW w:w="2124" w:type="dxa"/>
            <w:tcBorders>
              <w:top w:val="single" w:sz="6" w:space="0" w:color="000000"/>
              <w:left w:val="single" w:sz="6" w:space="0" w:color="000000"/>
              <w:bottom w:val="single" w:sz="6" w:space="0" w:color="000000"/>
              <w:right w:val="single" w:sz="6" w:space="0" w:color="000000"/>
            </w:tcBorders>
          </w:tcPr>
          <w:p w:rsidR="00C3791F" w:rsidRDefault="00C3791F">
            <w:pPr>
              <w:spacing w:after="160" w:line="259" w:lineRule="auto"/>
              <w:ind w:left="0" w:firstLine="0"/>
              <w:jc w:val="left"/>
            </w:pPr>
          </w:p>
        </w:tc>
      </w:tr>
      <w:tr w:rsidR="00C3791F">
        <w:trPr>
          <w:trHeight w:val="1118"/>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0" w:right="54" w:firstLine="0"/>
              <w:jc w:val="center"/>
            </w:pPr>
            <w:r>
              <w:t>7</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Выполнено радикальное хирургическое вмешательство пациенту с операбельным локализованным или местнораспространенным раком почки, способному перенести операцию</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88" w:firstLine="0"/>
              <w:jc w:val="center"/>
            </w:pPr>
            <w:r>
              <w:t>да/нет</w:t>
            </w:r>
          </w:p>
        </w:tc>
      </w:tr>
      <w:tr w:rsidR="00C3791F">
        <w:trPr>
          <w:trHeight w:val="2500"/>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0" w:right="54" w:firstLine="0"/>
              <w:jc w:val="center"/>
            </w:pPr>
            <w:r>
              <w:t>8</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 xml:space="preserve">Выполнена цНЭ пациенту с метастатическим раком почки группы хорошего прогноза IMDC или группы промежуточного прогноза MSKCC с ответом на индукционную таргетную терапию TKI или любой прогностической группы при наличии/высоком риске развития жизнеугрожающих </w:t>
            </w:r>
            <w:r>
              <w:t>симптомов/осложнений первичной опухоли или любой прогностической группы при наличии потенциально удалимых солитарных или единичных метастазов.</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88" w:firstLine="0"/>
              <w:jc w:val="center"/>
            </w:pPr>
            <w:r>
              <w:t>да/нет</w:t>
            </w:r>
          </w:p>
        </w:tc>
      </w:tr>
      <w:tr w:rsidR="00C3791F">
        <w:trPr>
          <w:trHeight w:val="1118"/>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0" w:right="54" w:firstLine="0"/>
              <w:jc w:val="center"/>
            </w:pPr>
            <w:r>
              <w:t>9</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Выполнено радикальное удаление солитарных или единичных или паллиативное удаление симптомных метастазов пациенту с метастатическим раком паренхимы почки, способному перенести операцию</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88" w:firstLine="0"/>
              <w:jc w:val="center"/>
            </w:pPr>
            <w:r>
              <w:t>да/нет</w:t>
            </w:r>
          </w:p>
        </w:tc>
      </w:tr>
      <w:tr w:rsidR="00C3791F">
        <w:trPr>
          <w:trHeight w:val="1120"/>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0" w:right="54" w:firstLine="0"/>
              <w:jc w:val="center"/>
            </w:pPr>
            <w:r>
              <w:t>10</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Выполнено патологоанатомическое исследование операционного материала с указанием параметров в соответствии с рекомендациями (у пациентов, получивших хирургическое лечение)</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88" w:firstLine="0"/>
              <w:jc w:val="center"/>
            </w:pPr>
            <w:r>
              <w:t>да/нет</w:t>
            </w:r>
          </w:p>
        </w:tc>
      </w:tr>
      <w:tr w:rsidR="00C3791F">
        <w:trPr>
          <w:trHeight w:val="842"/>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0" w:right="54" w:firstLine="0"/>
              <w:jc w:val="center"/>
            </w:pPr>
            <w:r>
              <w:t>11</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Проведена лекарственная терапия (таргетная терапия и/или иммунотерапия) пациенту с метастатическим или местно-распространенным неоперабельным ПКР</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88" w:firstLine="0"/>
              <w:jc w:val="center"/>
            </w:pPr>
            <w:r>
              <w:t>да/нет</w:t>
            </w:r>
          </w:p>
        </w:tc>
      </w:tr>
      <w:tr w:rsidR="00C3791F">
        <w:trPr>
          <w:trHeight w:val="844"/>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0" w:right="54" w:firstLine="0"/>
              <w:jc w:val="center"/>
            </w:pPr>
            <w:r>
              <w:t>12</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Проведена оценка эффективности проводимой лекарственной терапии каждые 2−3 мес от начала лечения</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88" w:firstLine="0"/>
              <w:jc w:val="center"/>
            </w:pPr>
            <w:r>
              <w:t>да/нет</w:t>
            </w:r>
          </w:p>
        </w:tc>
      </w:tr>
      <w:tr w:rsidR="00C3791F">
        <w:trPr>
          <w:trHeight w:val="1946"/>
        </w:trPr>
        <w:tc>
          <w:tcPr>
            <w:tcW w:w="1138"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0" w:right="54" w:firstLine="0"/>
              <w:jc w:val="center"/>
            </w:pPr>
            <w:r>
              <w:t>13</w:t>
            </w:r>
          </w:p>
        </w:tc>
        <w:tc>
          <w:tcPr>
            <w:tcW w:w="6076" w:type="dxa"/>
            <w:tcBorders>
              <w:top w:val="single" w:sz="6" w:space="0" w:color="000000"/>
              <w:left w:val="single" w:sz="6" w:space="0" w:color="000000"/>
              <w:bottom w:val="single" w:sz="6" w:space="0" w:color="000000"/>
              <w:right w:val="single" w:sz="6" w:space="0" w:color="000000"/>
            </w:tcBorders>
          </w:tcPr>
          <w:p w:rsidR="00C3791F" w:rsidRDefault="00AE1F83">
            <w:pPr>
              <w:spacing w:after="0" w:line="259" w:lineRule="auto"/>
              <w:ind w:left="0" w:firstLine="0"/>
              <w:jc w:val="left"/>
            </w:pPr>
            <w:r>
              <w:t xml:space="preserve">Выполнены общий клинический и общетерапевтический </w:t>
            </w:r>
            <w:r>
              <w:t>биохимический анализы крови, определение уровня альбумина в крови и определение уровня общего кальция в крови, ионизированного кальция в крови до начала лекарственной терапии у пациента с метастатическим или местно-распространенным неоперабельным ПКР</w:t>
            </w:r>
          </w:p>
        </w:tc>
        <w:tc>
          <w:tcPr>
            <w:tcW w:w="2124" w:type="dxa"/>
            <w:tcBorders>
              <w:top w:val="single" w:sz="6" w:space="0" w:color="000000"/>
              <w:left w:val="single" w:sz="6" w:space="0" w:color="000000"/>
              <w:bottom w:val="single" w:sz="6" w:space="0" w:color="000000"/>
              <w:right w:val="single" w:sz="6" w:space="0" w:color="000000"/>
            </w:tcBorders>
            <w:vAlign w:val="center"/>
          </w:tcPr>
          <w:p w:rsidR="00C3791F" w:rsidRDefault="00AE1F83">
            <w:pPr>
              <w:spacing w:after="0" w:line="259" w:lineRule="auto"/>
              <w:ind w:left="88" w:firstLine="0"/>
              <w:jc w:val="center"/>
            </w:pPr>
            <w:r>
              <w:t>да/не</w:t>
            </w:r>
            <w:r>
              <w:t>т</w:t>
            </w:r>
          </w:p>
        </w:tc>
      </w:tr>
    </w:tbl>
    <w:p w:rsidR="00C3791F" w:rsidRDefault="00AE1F83">
      <w:pPr>
        <w:pStyle w:val="Heading2"/>
        <w:spacing w:after="354" w:line="259" w:lineRule="auto"/>
        <w:ind w:left="21" w:right="58"/>
        <w:jc w:val="center"/>
      </w:pPr>
      <w:r>
        <w:rPr>
          <w:sz w:val="24"/>
        </w:rPr>
        <w:t>Список литературы</w:t>
      </w:r>
    </w:p>
    <w:p w:rsidR="00C3791F" w:rsidRDefault="00AE1F83">
      <w:pPr>
        <w:numPr>
          <w:ilvl w:val="0"/>
          <w:numId w:val="53"/>
        </w:numPr>
        <w:ind w:right="189" w:hanging="425"/>
      </w:pPr>
      <w:r>
        <w:t>Pischon T., Lahmann P.H., Boeing H. et al. Body size and risk of renal cell carcinoma in the European Prospective Investigation into Cancer and Nutrition (EPIC). Int J Cancer 2006;118:728–38.</w:t>
      </w:r>
    </w:p>
    <w:p w:rsidR="00C3791F" w:rsidRDefault="00AE1F83">
      <w:pPr>
        <w:numPr>
          <w:ilvl w:val="0"/>
          <w:numId w:val="53"/>
        </w:numPr>
        <w:ind w:right="189" w:hanging="425"/>
      </w:pPr>
      <w:r>
        <w:t xml:space="preserve">Petejova N., Martinek A. Renal cell carcinoma: Review of etiology, pathophysiology and risk factors. Biomed Pap Med Fac Univ Palacky Olomouc Czech Repub </w:t>
      </w:r>
    </w:p>
    <w:p w:rsidR="00C3791F" w:rsidRDefault="00AE1F83">
      <w:pPr>
        <w:spacing w:after="114" w:line="259" w:lineRule="auto"/>
        <w:ind w:left="872" w:right="189"/>
      </w:pPr>
      <w:r>
        <w:t>2016;160(2):183−94. DOI: 10.5507/bp.2015.050.</w:t>
      </w:r>
    </w:p>
    <w:p w:rsidR="00C3791F" w:rsidRDefault="00AE1F83">
      <w:pPr>
        <w:numPr>
          <w:ilvl w:val="0"/>
          <w:numId w:val="53"/>
        </w:numPr>
        <w:ind w:right="189" w:hanging="425"/>
      </w:pPr>
      <w:r>
        <w:t>Sasco A.J., Secretan M.B., Straif K. Tobacco smoking and</w:t>
      </w:r>
      <w:r>
        <w:t xml:space="preserve"> cancer: a brief review of recent epidemiological evidence. Lung Cancer 2004;45(Suppl 2):3–9. DOI: </w:t>
      </w:r>
    </w:p>
    <w:p w:rsidR="00C3791F" w:rsidRDefault="00AE1F83">
      <w:pPr>
        <w:spacing w:after="114" w:line="259" w:lineRule="auto"/>
        <w:ind w:left="872" w:right="189"/>
      </w:pPr>
      <w:r>
        <w:t>10.1016/j.lungcan.2004.07.998.</w:t>
      </w:r>
    </w:p>
    <w:p w:rsidR="00C3791F" w:rsidRDefault="00AE1F83">
      <w:pPr>
        <w:numPr>
          <w:ilvl w:val="0"/>
          <w:numId w:val="53"/>
        </w:numPr>
        <w:ind w:right="189" w:hanging="425"/>
      </w:pPr>
      <w:r>
        <w:t>Chittiboina P., Lonser R.R. von Hippel–Lindau disease. Hand Clin Neurol 2015;139–56. DOI: 10.1016/b978-0-444-62702-5.00010-x.</w:t>
      </w:r>
    </w:p>
    <w:p w:rsidR="00C3791F" w:rsidRDefault="00AE1F83">
      <w:pPr>
        <w:numPr>
          <w:ilvl w:val="0"/>
          <w:numId w:val="53"/>
        </w:numPr>
        <w:ind w:right="189" w:hanging="425"/>
      </w:pPr>
      <w:r>
        <w:t>Bray F., Ferlay J., Soerjomataram I. et al. Global cancer statistics 2018: GLOBOCAN estimates of incidence and mortality worldwide for 36 cancers in 185 countries. CA Cancer J Clin 2018;68(6):394−424. DOI: 10.3322/caac.21492.</w:t>
      </w:r>
    </w:p>
    <w:p w:rsidR="00C3791F" w:rsidRDefault="00AE1F83">
      <w:pPr>
        <w:numPr>
          <w:ilvl w:val="0"/>
          <w:numId w:val="53"/>
        </w:numPr>
        <w:ind w:right="189" w:hanging="425"/>
      </w:pPr>
      <w:r>
        <w:t>Каприн А.Д., Старинский В.В.,</w:t>
      </w:r>
      <w:r>
        <w:t xml:space="preserve"> Шахзадова А.О. (ред.). Злокачественные новообразования в России в 2023 году (заболеваемость и смертность). М.: МНИОИ им. П.А. Герцена − филиал ФГБУ «НМИЦ радиологии» Минздрава России, 2024. 276 с.</w:t>
      </w:r>
    </w:p>
    <w:p w:rsidR="00C3791F" w:rsidRDefault="00AE1F83">
      <w:pPr>
        <w:numPr>
          <w:ilvl w:val="0"/>
          <w:numId w:val="53"/>
        </w:numPr>
        <w:ind w:right="189" w:hanging="425"/>
      </w:pPr>
      <w:r>
        <w:t>Международная классификация болезней 10-го пересмотра. Вер</w:t>
      </w:r>
      <w:r>
        <w:t>сия 2019. Доступно по: https://mkb-10.com/.</w:t>
      </w:r>
    </w:p>
    <w:p w:rsidR="00C3791F" w:rsidRDefault="00AE1F83">
      <w:pPr>
        <w:numPr>
          <w:ilvl w:val="0"/>
          <w:numId w:val="53"/>
        </w:numPr>
        <w:ind w:right="189" w:hanging="425"/>
      </w:pPr>
      <w:r>
        <w:t>WHO Classification of Tumours Editorial Board. Urinary and male genital tumours. Lyon (France): International Agency for Research on Cancer; 2022. (WHO classification of tumours series, 5th ed.; vol. 8). https://</w:t>
      </w:r>
      <w:r>
        <w:t>publications.iarc.fr/610.</w:t>
      </w:r>
    </w:p>
    <w:p w:rsidR="00C3791F" w:rsidRDefault="00AE1F83">
      <w:pPr>
        <w:numPr>
          <w:ilvl w:val="0"/>
          <w:numId w:val="53"/>
        </w:numPr>
        <w:ind w:right="189" w:hanging="425"/>
      </w:pPr>
      <w:r>
        <w:t>Brierley J.D., Gospodarowicz M.K., Wittekind C. Eds. TNM Classification of Malignant Tumours. 8th ed. Oxford, UK: Wiley-Blackwell, 2017.</w:t>
      </w:r>
    </w:p>
    <w:p w:rsidR="00C3791F" w:rsidRDefault="00AE1F83">
      <w:pPr>
        <w:numPr>
          <w:ilvl w:val="0"/>
          <w:numId w:val="53"/>
        </w:numPr>
        <w:ind w:right="189" w:hanging="425"/>
      </w:pPr>
      <w:r>
        <w:t>Kutikov A., Uzzo R.G. The R.E.N.A.L. nephrometry score: a comprehensive standardized system f</w:t>
      </w:r>
      <w:r>
        <w:t>or quantitating renal tumor size, location and depth. J Urol 2009;182(3):844–53.</w:t>
      </w:r>
    </w:p>
    <w:p w:rsidR="00C3791F" w:rsidRDefault="00AE1F83">
      <w:pPr>
        <w:numPr>
          <w:ilvl w:val="0"/>
          <w:numId w:val="53"/>
        </w:numPr>
        <w:ind w:right="189" w:hanging="425"/>
      </w:pPr>
      <w:r>
        <w:t xml:space="preserve">Ficarra V., Novara G., Secco S. et al. Preoperative aspects and dimensions used for an anatomical (PADUA) classification of renal tumours in patients who are candidates for </w:t>
      </w:r>
      <w:r>
        <w:t>nephron-sparing surgery. Eur Urol 2009;56:786–93.</w:t>
      </w:r>
    </w:p>
    <w:p w:rsidR="00C3791F" w:rsidRDefault="00AE1F83">
      <w:pPr>
        <w:numPr>
          <w:ilvl w:val="0"/>
          <w:numId w:val="53"/>
        </w:numPr>
        <w:spacing w:after="114" w:line="259" w:lineRule="auto"/>
        <w:ind w:right="189" w:hanging="425"/>
      </w:pPr>
      <w:r>
        <w:t>Novick A.C., Cosgrove D.M. Surgical approach for removal of renal cell carcinoma extending into the vena cava and the right atrium. J Urol 1980;123:947–50.</w:t>
      </w:r>
    </w:p>
    <w:p w:rsidR="00C3791F" w:rsidRDefault="00AE1F83">
      <w:pPr>
        <w:numPr>
          <w:ilvl w:val="0"/>
          <w:numId w:val="53"/>
        </w:numPr>
        <w:ind w:right="189" w:hanging="425"/>
      </w:pPr>
      <w:hyperlink r:id="rId22">
        <w:r>
          <w:t>Motzer R.J</w:t>
        </w:r>
      </w:hyperlink>
      <w:r>
        <w:t xml:space="preserve">., </w:t>
      </w:r>
      <w:hyperlink r:id="rId23">
        <w:r>
          <w:t>Mazumdar M</w:t>
        </w:r>
      </w:hyperlink>
      <w:r>
        <w:t xml:space="preserve">., </w:t>
      </w:r>
      <w:hyperlink r:id="rId24">
        <w:r>
          <w:t xml:space="preserve">Bacik </w:t>
        </w:r>
      </w:hyperlink>
      <w:r>
        <w:t xml:space="preserve">J. Survival and prognostic stratification of 670 patients with advanced renal cell carcinoma. </w:t>
      </w:r>
      <w:hyperlink r:id="rId25">
        <w:r>
          <w:t>J Clin Oncol</w:t>
        </w:r>
      </w:hyperlink>
      <w:r>
        <w:t xml:space="preserve"> 199</w:t>
      </w:r>
      <w:r>
        <w:t>9;17(8):2530−40.</w:t>
      </w:r>
    </w:p>
    <w:p w:rsidR="00C3791F" w:rsidRDefault="00AE1F83">
      <w:pPr>
        <w:numPr>
          <w:ilvl w:val="0"/>
          <w:numId w:val="53"/>
        </w:numPr>
        <w:ind w:right="189" w:hanging="425"/>
      </w:pPr>
      <w:hyperlink r:id="rId26">
        <w:r>
          <w:t>Heng</w:t>
        </w:r>
      </w:hyperlink>
      <w:r>
        <w:t xml:space="preserve"> D.Y., Xie </w:t>
      </w:r>
      <w:hyperlink r:id="rId27">
        <w:r>
          <w:t>W.</w:t>
        </w:r>
      </w:hyperlink>
      <w:r>
        <w:t xml:space="preserve">, </w:t>
      </w:r>
      <w:hyperlink r:id="rId28">
        <w:r>
          <w:t>Regan</w:t>
        </w:r>
      </w:hyperlink>
      <w:r>
        <w:t xml:space="preserve"> M.M. et al. Prognostic </w:t>
      </w:r>
      <w:r>
        <w:t>factors for overall survival in patients with metastatic renal cell carcinoma treated with vascular endothelial growth factortargeted agents: results from a large, multicenter study J Clin Oncol 2009;27(34):5794−9.</w:t>
      </w:r>
    </w:p>
    <w:p w:rsidR="00C3791F" w:rsidRDefault="00AE1F83">
      <w:pPr>
        <w:numPr>
          <w:ilvl w:val="0"/>
          <w:numId w:val="53"/>
        </w:numPr>
        <w:ind w:right="189" w:hanging="425"/>
      </w:pPr>
      <w:hyperlink r:id="rId29">
        <w:r>
          <w:t>Israel G.M</w:t>
        </w:r>
      </w:hyperlink>
      <w:r>
        <w:t xml:space="preserve">., </w:t>
      </w:r>
      <w:hyperlink r:id="rId30">
        <w:r>
          <w:t>Bosniak M.A</w:t>
        </w:r>
      </w:hyperlink>
      <w:r>
        <w:t>. How I do it: evaluating renal ma</w:t>
      </w:r>
      <w:r>
        <w:t xml:space="preserve">sses. </w:t>
      </w:r>
      <w:hyperlink r:id="rId31">
        <w:r>
          <w:t>Radiology</w:t>
        </w:r>
      </w:hyperlink>
      <w:r>
        <w:t xml:space="preserve"> 2005;236(2):441−50.</w:t>
      </w:r>
    </w:p>
    <w:p w:rsidR="00C3791F" w:rsidRDefault="00AE1F83">
      <w:pPr>
        <w:numPr>
          <w:ilvl w:val="0"/>
          <w:numId w:val="53"/>
        </w:numPr>
        <w:ind w:right="189" w:hanging="425"/>
      </w:pPr>
      <w:r>
        <w:t>Patard J.J., Leray E., Rodriguez A. et al. Correlation between symptom graduation, tumor characteristics and survival in renal cell carcinoma. Eur Urol 2003</w:t>
      </w:r>
      <w:r>
        <w:t>;44(2):226.</w:t>
      </w:r>
    </w:p>
    <w:p w:rsidR="00C3791F" w:rsidRDefault="00AE1F83">
      <w:pPr>
        <w:numPr>
          <w:ilvl w:val="0"/>
          <w:numId w:val="53"/>
        </w:numPr>
        <w:ind w:right="189" w:hanging="425"/>
      </w:pPr>
      <w:r>
        <w:t>Lee C.T., Katz J., Fearn P.A., Russo P. Mode of presentation of renal cell carcinoma provides prognostic information. Urol Oncol 2002;7(4):135−40.</w:t>
      </w:r>
    </w:p>
    <w:p w:rsidR="00C3791F" w:rsidRDefault="00AE1F83">
      <w:pPr>
        <w:numPr>
          <w:ilvl w:val="0"/>
          <w:numId w:val="53"/>
        </w:numPr>
        <w:ind w:right="189" w:hanging="425"/>
      </w:pPr>
      <w:r>
        <w:t xml:space="preserve">Sacco E., Pinto F., Sasso F. et al. Paraneoplastic syndromes in patients with urological </w:t>
      </w:r>
      <w:r>
        <w:t>malignancies. Urol Int 2009;83(1):1−11.</w:t>
      </w:r>
    </w:p>
    <w:p w:rsidR="00C3791F" w:rsidRDefault="00AE1F83">
      <w:pPr>
        <w:numPr>
          <w:ilvl w:val="0"/>
          <w:numId w:val="53"/>
        </w:numPr>
        <w:ind w:right="189" w:hanging="425"/>
      </w:pPr>
      <w:r>
        <w:t xml:space="preserve">Kim H.L., Belldegrun A.S., Freitas D.G. et al. Paraneoplastic signs and symptoms of renal cell carcinoma: implications for prognosis. J Urol 2003;170(5):1742−6. </w:t>
      </w:r>
    </w:p>
    <w:p w:rsidR="00C3791F" w:rsidRDefault="00AE1F83">
      <w:pPr>
        <w:numPr>
          <w:ilvl w:val="0"/>
          <w:numId w:val="53"/>
        </w:numPr>
        <w:ind w:right="189" w:hanging="425"/>
      </w:pPr>
      <w:r>
        <w:t>Magera J.S. Jr., Leibovich B.C., Lohse C.M. et al. Ass</w:t>
      </w:r>
      <w:r>
        <w:t>ociation of abnormal preoperative laboratory values with survival after radical nephrectomy for clinically confined clear cell renal cell carcinoma. Urology 2008;71(2):278.</w:t>
      </w:r>
    </w:p>
    <w:p w:rsidR="00C3791F" w:rsidRDefault="00AE1F83">
      <w:pPr>
        <w:numPr>
          <w:ilvl w:val="0"/>
          <w:numId w:val="53"/>
        </w:numPr>
        <w:ind w:right="189" w:hanging="425"/>
      </w:pPr>
      <w:r>
        <w:t>Chen Z., Shao Y., Yao H. et al. Preoperative albumin to globulin ratio predicts sur</w:t>
      </w:r>
      <w:r>
        <w:t>vival in clear cell renal cell carcinoma patients. Oncotarget 2017;8(29):48291–302.</w:t>
      </w:r>
    </w:p>
    <w:p w:rsidR="00C3791F" w:rsidRDefault="00AE1F83">
      <w:pPr>
        <w:numPr>
          <w:ilvl w:val="0"/>
          <w:numId w:val="53"/>
        </w:numPr>
        <w:ind w:right="189" w:hanging="425"/>
      </w:pPr>
      <w:r>
        <w:t>Abel E.J., Thompson R.H., Maqulis V. et al. Perioperative outcomes following surgical resection of renal cell carcinoma with inferior vena cava thrombus extending above the</w:t>
      </w:r>
      <w:r>
        <w:t xml:space="preserve"> hepatic veins: a contemporary multicenter experience. Eur Urol 2014;66(3):584–92.</w:t>
      </w:r>
    </w:p>
    <w:p w:rsidR="00C3791F" w:rsidRDefault="00AE1F83">
      <w:pPr>
        <w:numPr>
          <w:ilvl w:val="0"/>
          <w:numId w:val="53"/>
        </w:numPr>
        <w:ind w:right="189" w:hanging="425"/>
      </w:pPr>
      <w:r>
        <w:t>Волкова М.И. Стратегия хирургического лечения больных локализованным и местно-распространенным раком почки. Дисс. … д-ра мед. наук. М., 2015. 426 с.</w:t>
      </w:r>
    </w:p>
    <w:p w:rsidR="00C3791F" w:rsidRDefault="00AE1F83">
      <w:pPr>
        <w:numPr>
          <w:ilvl w:val="0"/>
          <w:numId w:val="53"/>
        </w:numPr>
        <w:ind w:right="189" w:hanging="425"/>
      </w:pPr>
      <w:r>
        <w:t>Shen J., Chen Z., Fan M.</w:t>
      </w:r>
      <w:r>
        <w:t xml:space="preserve"> et al. Prognostic value of pretreatment neutrophil count in metastatic renal cell carcinoma: a systematic review and meta-analysis. Cancer Manag Res 2019;11:5365–74. DOI: 10.2147/cmar.s199849.</w:t>
      </w:r>
    </w:p>
    <w:p w:rsidR="00C3791F" w:rsidRDefault="00AE1F83">
      <w:pPr>
        <w:numPr>
          <w:ilvl w:val="0"/>
          <w:numId w:val="53"/>
        </w:numPr>
        <w:ind w:right="189" w:hanging="425"/>
      </w:pPr>
      <w:r>
        <w:t>Semeniuk-Wojtaś A., Lubas A., Stec R. et al. Neutrophil-to-lym</w:t>
      </w:r>
      <w:r>
        <w:t xml:space="preserve">phocyte ratio, platelet-tolymphocyte ratio, and c-reactive protein as new and simple prognostic factors in patients with metastatic renal cell cancer treated with tyrosine kinase inhibitors: a systemic review </w:t>
      </w:r>
    </w:p>
    <w:p w:rsidR="00C3791F" w:rsidRDefault="00AE1F83">
      <w:pPr>
        <w:spacing w:after="114" w:line="259" w:lineRule="auto"/>
        <w:ind w:left="872" w:right="189"/>
      </w:pPr>
      <w:r>
        <w:t>and meta-analysis. Clin Genitourinary Cancer 2</w:t>
      </w:r>
      <w:r>
        <w:t>018;16(3):e685–93. DOI :10.1016/j.clgc.2018.01.010.</w:t>
      </w:r>
    </w:p>
    <w:p w:rsidR="00C3791F" w:rsidRDefault="00AE1F83">
      <w:pPr>
        <w:numPr>
          <w:ilvl w:val="0"/>
          <w:numId w:val="53"/>
        </w:numPr>
        <w:ind w:right="189" w:hanging="425"/>
      </w:pPr>
      <w:hyperlink r:id="rId32">
        <w:r>
          <w:t>Hu X</w:t>
        </w:r>
      </w:hyperlink>
      <w:r>
        <w:t xml:space="preserve">., </w:t>
      </w:r>
      <w:hyperlink r:id="rId33">
        <w:r>
          <w:t>Wang Y</w:t>
        </w:r>
      </w:hyperlink>
      <w:r>
        <w:t xml:space="preserve">., </w:t>
      </w:r>
      <w:hyperlink r:id="rId34">
        <w:r>
          <w:t>Yang W.X</w:t>
        </w:r>
      </w:hyperlink>
      <w:r>
        <w:t>. et al. Modified Glasgow prognostic score as a prognostic factor for renal cell carcinom</w:t>
      </w:r>
      <w:r>
        <w:t xml:space="preserve">as: a systematic review and meta-analysis. </w:t>
      </w:r>
      <w:hyperlink r:id="rId35">
        <w:r>
          <w:t xml:space="preserve">Cancer Manag Res </w:t>
        </w:r>
      </w:hyperlink>
      <w:r>
        <w:t xml:space="preserve"> 2019;11:6163−73. DOI: 10.2147/CMAR.S208839. eCollection 2019.</w:t>
      </w:r>
    </w:p>
    <w:p w:rsidR="00C3791F" w:rsidRDefault="00AE1F83">
      <w:pPr>
        <w:numPr>
          <w:ilvl w:val="0"/>
          <w:numId w:val="53"/>
        </w:numPr>
        <w:ind w:right="189" w:hanging="425"/>
      </w:pPr>
      <w:r>
        <w:t>Buntinx F., Wauters H. The diagnostic value of macroscopic haematuria</w:t>
      </w:r>
      <w:r>
        <w:t xml:space="preserve"> in diagnosing urological cancers: a meta-analysis. Family Practice 1997;14(1):63–8. DOI:10.1093/fampra/14.1.63.</w:t>
      </w:r>
    </w:p>
    <w:p w:rsidR="00C3791F" w:rsidRDefault="00AE1F83">
      <w:pPr>
        <w:numPr>
          <w:ilvl w:val="0"/>
          <w:numId w:val="53"/>
        </w:numPr>
        <w:ind w:right="189" w:hanging="425"/>
      </w:pPr>
      <w:r>
        <w:t xml:space="preserve">Kara Ö., Maurice M.J., Mouracade P. et al. </w:t>
      </w:r>
      <w:hyperlink r:id="rId36">
        <w:r>
          <w:t>Preoperative proteinuria is associat</w:t>
        </w:r>
        <w:r>
          <w:t>ed with</w:t>
        </w:r>
      </w:hyperlink>
      <w:r>
        <w:t xml:space="preserve"> </w:t>
      </w:r>
      <w:hyperlink r:id="rId37">
        <w:r>
          <w:t>increased rates of acute kidney injury after partial nephrectomy.</w:t>
        </w:r>
      </w:hyperlink>
      <w:r>
        <w:t xml:space="preserve"> Int Braz J Urol 2019;45:932–40. DOI: 10.1590/S1677-5538.IBJU.2018.0776.</w:t>
      </w:r>
    </w:p>
    <w:p w:rsidR="00C3791F" w:rsidRDefault="00AE1F83">
      <w:pPr>
        <w:numPr>
          <w:ilvl w:val="0"/>
          <w:numId w:val="53"/>
        </w:numPr>
        <w:ind w:right="189" w:hanging="425"/>
      </w:pPr>
      <w:r>
        <w:t>Potretzke A.M., Knight B.A., Vetter J.M. et al</w:t>
      </w:r>
      <w:r>
        <w:t>. Diagnostic utility of selective upper tract urinary cytology: a systematic review and meta-analysis of the literature. Urology 2016;96:35–43. DOI:10.1016/j.urology.2016.04.030.</w:t>
      </w:r>
    </w:p>
    <w:p w:rsidR="00C3791F" w:rsidRDefault="00AE1F83">
      <w:pPr>
        <w:numPr>
          <w:ilvl w:val="0"/>
          <w:numId w:val="53"/>
        </w:numPr>
        <w:ind w:right="189" w:hanging="425"/>
      </w:pPr>
      <w:r>
        <w:t xml:space="preserve">Rossi S.H., Hsu R., Blick C. et al. Meta-analysis of the prevalence of renal </w:t>
      </w:r>
      <w:r>
        <w:t>cancer detected by abdominal ultrasonography. Br J Surg 2017;104(6):648–59. DOI:10.1002/bjs.10523.</w:t>
      </w:r>
    </w:p>
    <w:p w:rsidR="00C3791F" w:rsidRDefault="00AE1F83">
      <w:pPr>
        <w:numPr>
          <w:ilvl w:val="0"/>
          <w:numId w:val="53"/>
        </w:numPr>
        <w:ind w:right="189" w:hanging="425"/>
      </w:pPr>
      <w:r>
        <w:t xml:space="preserve">Vogel C., Ziegelmüller B., Ljungberg B. et al. Imaging in Suspected Renal Cell Carcinoma: Systematic Review. Clin Genitourin Cancer 2019;17(2):345−55. DOI: </w:t>
      </w:r>
    </w:p>
    <w:p w:rsidR="00C3791F" w:rsidRDefault="00AE1F83">
      <w:pPr>
        <w:spacing w:after="114" w:line="259" w:lineRule="auto"/>
        <w:ind w:left="872" w:right="189"/>
      </w:pPr>
      <w:r>
        <w:t>10.1016/j.clgc.2018.07.024.</w:t>
      </w:r>
    </w:p>
    <w:p w:rsidR="00C3791F" w:rsidRDefault="00AE1F83">
      <w:pPr>
        <w:numPr>
          <w:ilvl w:val="0"/>
          <w:numId w:val="53"/>
        </w:numPr>
        <w:ind w:right="189" w:hanging="425"/>
      </w:pPr>
      <w:hyperlink r:id="rId38">
        <w:r>
          <w:t>Salameh J.P</w:t>
        </w:r>
      </w:hyperlink>
      <w:r>
        <w:t xml:space="preserve">., </w:t>
      </w:r>
      <w:hyperlink r:id="rId39">
        <w:r>
          <w:t>McInnes M.D.F</w:t>
        </w:r>
      </w:hyperlink>
      <w:r>
        <w:t xml:space="preserve">., </w:t>
      </w:r>
      <w:hyperlink r:id="rId40">
        <w:r>
          <w:t>McGrath T.A</w:t>
        </w:r>
      </w:hyperlink>
      <w:r>
        <w:t>. et al. Diagnostic accuracy of dual-energy CT for evaluation of renal masses: sys</w:t>
      </w:r>
      <w:r>
        <w:t xml:space="preserve">tematic review and meta-analysis. </w:t>
      </w:r>
      <w:hyperlink r:id="rId41">
        <w:r>
          <w:t>Am J Roentgenol</w:t>
        </w:r>
      </w:hyperlink>
      <w:r>
        <w:t xml:space="preserve"> 2019;212(4):W100−5. DOI: 10.2214/AJR.18.20527.</w:t>
      </w:r>
    </w:p>
    <w:p w:rsidR="00C3791F" w:rsidRDefault="00AE1F83">
      <w:pPr>
        <w:numPr>
          <w:ilvl w:val="0"/>
          <w:numId w:val="53"/>
        </w:numPr>
        <w:ind w:right="189" w:hanging="425"/>
      </w:pPr>
      <w:r>
        <w:t xml:space="preserve">Sevcenco S., Spick C., Helbich T.H. et al. Malignancy rates and diagnostic performance of </w:t>
      </w:r>
      <w:r>
        <w:t>the Bosniak classification for the diagnosis of cystic renal lesions in computed tomography – a systematic review and meta-analysis. Eur Radiol 2016;27(6):2239–47. DOI: 10.1007/s00330-016-4631-9.</w:t>
      </w:r>
    </w:p>
    <w:p w:rsidR="00C3791F" w:rsidRDefault="00AE1F83">
      <w:pPr>
        <w:numPr>
          <w:ilvl w:val="0"/>
          <w:numId w:val="53"/>
        </w:numPr>
        <w:ind w:right="189" w:hanging="425"/>
      </w:pPr>
      <w:r>
        <w:t>Kang S.K., Chandarana H. Contemporary imaging of the renal m</w:t>
      </w:r>
      <w:r>
        <w:t>ass. Urol Clin North Am 2012;39:161–70.</w:t>
      </w:r>
    </w:p>
    <w:p w:rsidR="00C3791F" w:rsidRDefault="00AE1F83">
      <w:pPr>
        <w:numPr>
          <w:ilvl w:val="0"/>
          <w:numId w:val="53"/>
        </w:numPr>
        <w:ind w:right="189" w:hanging="425"/>
      </w:pPr>
      <w:r>
        <w:t>Israel G.M., Bosniak M.A. An update of the Bosniak renal cyst classification system. Urol 2005;66:484–8.</w:t>
      </w:r>
    </w:p>
    <w:p w:rsidR="00C3791F" w:rsidRDefault="00AE1F83">
      <w:pPr>
        <w:numPr>
          <w:ilvl w:val="0"/>
          <w:numId w:val="53"/>
        </w:numPr>
        <w:ind w:right="189" w:hanging="425"/>
      </w:pPr>
      <w:hyperlink r:id="rId42">
        <w:r>
          <w:t>Chiarello M.A</w:t>
        </w:r>
      </w:hyperlink>
      <w:r>
        <w:t xml:space="preserve">., </w:t>
      </w:r>
      <w:hyperlink r:id="rId43">
        <w:r>
          <w:t>Mali R.D</w:t>
        </w:r>
      </w:hyperlink>
      <w:r>
        <w:t xml:space="preserve">., </w:t>
      </w:r>
      <w:hyperlink r:id="rId44">
        <w:r>
          <w:t>Kang S.K</w:t>
        </w:r>
      </w:hyperlink>
      <w:r>
        <w:t xml:space="preserve">. Diagnostic accuracy of MRI for detection of papillary renal cell carcinoma: a systematic review and meta-analysis. </w:t>
      </w:r>
      <w:hyperlink r:id="rId45">
        <w:r>
          <w:t>Am J Roentgenol</w:t>
        </w:r>
      </w:hyperlink>
      <w:r>
        <w:t xml:space="preserve"> 2018;211(4):812−21. DOI: 10.2214/AJ</w:t>
      </w:r>
      <w:r>
        <w:t xml:space="preserve">R.17.19462. </w:t>
      </w:r>
    </w:p>
    <w:p w:rsidR="00C3791F" w:rsidRDefault="00AE1F83">
      <w:pPr>
        <w:numPr>
          <w:ilvl w:val="0"/>
          <w:numId w:val="53"/>
        </w:numPr>
        <w:spacing w:line="359" w:lineRule="auto"/>
        <w:ind w:right="189" w:hanging="425"/>
      </w:pPr>
      <w:r>
        <w:t>Nomoto N., Tani T., Konda T. et al. Primary and metastatic cardiac tumors: echocardiographic diagnosis, treatment and prognosis in a 15-years single center study. J Cardiothorac Surg 2017;12(1):103.</w:t>
      </w:r>
    </w:p>
    <w:p w:rsidR="00C3791F" w:rsidRDefault="00AE1F83">
      <w:pPr>
        <w:numPr>
          <w:ilvl w:val="0"/>
          <w:numId w:val="53"/>
        </w:numPr>
        <w:ind w:right="189" w:hanging="425"/>
      </w:pPr>
      <w:hyperlink r:id="rId46">
        <w:r>
          <w:t>Calderone C.E</w:t>
        </w:r>
      </w:hyperlink>
      <w:r>
        <w:t xml:space="preserve">., </w:t>
      </w:r>
      <w:hyperlink r:id="rId47">
        <w:r>
          <w:t>Tuc</w:t>
        </w:r>
        <w:r>
          <w:t>k B.C</w:t>
        </w:r>
      </w:hyperlink>
      <w:r>
        <w:t xml:space="preserve">., </w:t>
      </w:r>
      <w:hyperlink r:id="rId48">
        <w:r>
          <w:t>Gray S.H</w:t>
        </w:r>
      </w:hyperlink>
      <w:r>
        <w:t>. et al. The role of transesophageal echocardiography in the management of renal cell carcinoma with venous tumor thrombus.</w:t>
      </w:r>
      <w:r>
        <w:t xml:space="preserve"> </w:t>
      </w:r>
      <w:hyperlink r:id="rId49">
        <w:r>
          <w:t xml:space="preserve">Echocardiography </w:t>
        </w:r>
      </w:hyperlink>
      <w:r>
        <w:t xml:space="preserve"> 2018;35(12):2047−55. DOI: 10.1111/echo.14187.</w:t>
      </w:r>
    </w:p>
    <w:p w:rsidR="00C3791F" w:rsidRDefault="00AE1F83">
      <w:pPr>
        <w:numPr>
          <w:ilvl w:val="0"/>
          <w:numId w:val="53"/>
        </w:numPr>
        <w:ind w:right="189" w:hanging="425"/>
      </w:pPr>
      <w:r>
        <w:t xml:space="preserve">Zlatanovic P., Koncar I., Jakovljević N. et al. </w:t>
      </w:r>
      <w:hyperlink r:id="rId50">
        <w:r>
          <w:t>Transesophageal</w:t>
        </w:r>
        <w:r>
          <w:t xml:space="preserve"> echocardiography-guided</w:t>
        </w:r>
      </w:hyperlink>
      <w:r>
        <w:t xml:space="preserve"> </w:t>
      </w:r>
      <w:hyperlink r:id="rId51">
        <w:r>
          <w:t>thrombectomy of level IV renal cell carcinoma without cardiopulmonary bypass.</w:t>
        </w:r>
      </w:hyperlink>
      <w:r>
        <w:t xml:space="preserve"> Braz J Cardiovasc Surg 2019;34(2):229−32. DOI: 10.21470/1678-9741-2018-0216.</w:t>
      </w:r>
    </w:p>
    <w:p w:rsidR="00C3791F" w:rsidRDefault="00AE1F83">
      <w:pPr>
        <w:numPr>
          <w:ilvl w:val="0"/>
          <w:numId w:val="53"/>
        </w:numPr>
        <w:ind w:right="189" w:hanging="425"/>
      </w:pPr>
      <w:hyperlink r:id="rId52">
        <w:r>
          <w:t>Kostibas M.P</w:t>
        </w:r>
      </w:hyperlink>
      <w:r>
        <w:t xml:space="preserve">., </w:t>
      </w:r>
      <w:hyperlink r:id="rId53">
        <w:r>
          <w:t>Arora V</w:t>
        </w:r>
      </w:hyperlink>
      <w:r>
        <w:t xml:space="preserve">., </w:t>
      </w:r>
      <w:hyperlink r:id="rId54">
        <w:r>
          <w:t>Gorin M.A</w:t>
        </w:r>
      </w:hyperlink>
      <w:r>
        <w:t>. et al. Defining the role of intraoperative transesophageal echocardiography during radical nephrectomy with inferior vena cava tumor</w:t>
      </w:r>
      <w:r>
        <w:t xml:space="preserve"> thrombectomy for renal cell carcinoma. </w:t>
      </w:r>
      <w:hyperlink r:id="rId55">
        <w:r>
          <w:t>Urol</w:t>
        </w:r>
      </w:hyperlink>
      <w:r>
        <w:t xml:space="preserve"> 2017;107:161−5. DOI: 10.1016/j.urology.2017.03.008.</w:t>
      </w:r>
    </w:p>
    <w:p w:rsidR="00C3791F" w:rsidRDefault="00AE1F83">
      <w:pPr>
        <w:numPr>
          <w:ilvl w:val="0"/>
          <w:numId w:val="53"/>
        </w:numPr>
        <w:ind w:right="189" w:hanging="425"/>
      </w:pPr>
      <w:hyperlink r:id="rId56">
        <w:r>
          <w:t>Larcher A</w:t>
        </w:r>
      </w:hyperlink>
      <w:r>
        <w:t xml:space="preserve">., </w:t>
      </w:r>
      <w:hyperlink r:id="rId57">
        <w:r>
          <w:t>Dell'Oglio P</w:t>
        </w:r>
      </w:hyperlink>
      <w:r>
        <w:t xml:space="preserve">., </w:t>
      </w:r>
      <w:hyperlink r:id="rId58">
        <w:r>
          <w:t>Fossati N</w:t>
        </w:r>
      </w:hyperlink>
      <w:r>
        <w:t xml:space="preserve">. et al. When to perform preoperative chest computed tomography for renal cancer staging. </w:t>
      </w:r>
      <w:hyperlink r:id="rId59">
        <w:r>
          <w:t>BJU Int</w:t>
        </w:r>
      </w:hyperlink>
      <w:r>
        <w:t xml:space="preserve"> 2017;120(4):490−6. DOI: 10.1111/bju.13670. Epub 2</w:t>
      </w:r>
      <w:r>
        <w:t>016 Nov 2.</w:t>
      </w:r>
    </w:p>
    <w:p w:rsidR="00C3791F" w:rsidRDefault="00AE1F83">
      <w:pPr>
        <w:numPr>
          <w:ilvl w:val="0"/>
          <w:numId w:val="53"/>
        </w:numPr>
        <w:ind w:right="189" w:hanging="425"/>
      </w:pPr>
      <w:r>
        <w:t>Miles K.A., London N.J., Lavelle J.M. et al. CT staging of renal carcinoma: a prospective comparison of three dynamic computed tomography techniques. Eur J Radiol 1991;13(1):37−42.</w:t>
      </w:r>
    </w:p>
    <w:p w:rsidR="00C3791F" w:rsidRDefault="00AE1F83">
      <w:pPr>
        <w:numPr>
          <w:ilvl w:val="0"/>
          <w:numId w:val="53"/>
        </w:numPr>
        <w:ind w:right="189" w:hanging="425"/>
      </w:pPr>
      <w:hyperlink r:id="rId60">
        <w:r>
          <w:t>Heidenreich A</w:t>
        </w:r>
      </w:hyperlink>
      <w:r>
        <w:t xml:space="preserve">., </w:t>
      </w:r>
      <w:hyperlink r:id="rId61">
        <w:r>
          <w:t>Ravery V</w:t>
        </w:r>
      </w:hyperlink>
      <w:r>
        <w:t xml:space="preserve">. Preoperative imaging in renal cell cancer. </w:t>
      </w:r>
      <w:hyperlink r:id="rId62">
        <w:r>
          <w:t>World J Urol</w:t>
        </w:r>
      </w:hyperlink>
      <w:r>
        <w:t xml:space="preserve"> 2004;22(5):307−15.</w:t>
      </w:r>
    </w:p>
    <w:p w:rsidR="00C3791F" w:rsidRDefault="00AE1F83">
      <w:pPr>
        <w:numPr>
          <w:ilvl w:val="0"/>
          <w:numId w:val="53"/>
        </w:numPr>
        <w:ind w:right="189" w:hanging="425"/>
      </w:pPr>
      <w:r>
        <w:t xml:space="preserve">Sheth S., Scatarige J.C., Horton K.M. et al. Current concepts in the </w:t>
      </w:r>
      <w:r>
        <w:t xml:space="preserve">diagnosis and management of renal cell carcinoma: role of multidetector CT and three-dimensional CT. </w:t>
      </w:r>
    </w:p>
    <w:p w:rsidR="00C3791F" w:rsidRDefault="00AE1F83">
      <w:pPr>
        <w:spacing w:after="114" w:line="259" w:lineRule="auto"/>
        <w:ind w:left="872" w:right="189"/>
      </w:pPr>
      <w:r>
        <w:t>Radiographics 2001;21 Spec No (suppl 1):S237–54.</w:t>
      </w:r>
    </w:p>
    <w:p w:rsidR="00C3791F" w:rsidRDefault="00AE1F83">
      <w:pPr>
        <w:numPr>
          <w:ilvl w:val="0"/>
          <w:numId w:val="53"/>
        </w:numPr>
        <w:ind w:right="189" w:hanging="425"/>
      </w:pPr>
      <w:r>
        <w:t>Lim D.J., Carter M.F. et al. Computerized tomography in the preoperative staging for pulmonary metastases</w:t>
      </w:r>
      <w:r>
        <w:t xml:space="preserve"> in patients with renal cell carcinoma. J Urol 1993;150(4):1112–4.</w:t>
      </w:r>
    </w:p>
    <w:p w:rsidR="00C3791F" w:rsidRDefault="00AE1F83">
      <w:pPr>
        <w:numPr>
          <w:ilvl w:val="0"/>
          <w:numId w:val="53"/>
        </w:numPr>
        <w:ind w:right="189" w:hanging="425"/>
      </w:pPr>
      <w:r>
        <w:t>Taylor A. Jr., Nally J.V. Clinical applications of renal scintigraphy. Am J Roentgenol 1995;164:31–41.</w:t>
      </w:r>
    </w:p>
    <w:p w:rsidR="00C3791F" w:rsidRDefault="00AE1F83">
      <w:pPr>
        <w:numPr>
          <w:ilvl w:val="0"/>
          <w:numId w:val="53"/>
        </w:numPr>
        <w:ind w:right="189" w:hanging="425"/>
      </w:pPr>
      <w:hyperlink r:id="rId63">
        <w:r>
          <w:t>Uzzo R.G</w:t>
        </w:r>
      </w:hyperlink>
      <w:r>
        <w:t xml:space="preserve">., </w:t>
      </w:r>
      <w:hyperlink r:id="rId64">
        <w:r>
          <w:t>Novick A.C</w:t>
        </w:r>
      </w:hyperlink>
      <w:r>
        <w:t xml:space="preserve">. Nephron sparing surgery for renal tumors: indications, techniques and outcomes. </w:t>
      </w:r>
      <w:hyperlink r:id="rId65">
        <w:r>
          <w:t>J Urol</w:t>
        </w:r>
      </w:hyperlink>
      <w:r>
        <w:t xml:space="preserve"> 2001;166(1):6−18.</w:t>
      </w:r>
    </w:p>
    <w:p w:rsidR="00C3791F" w:rsidRDefault="00AE1F83">
      <w:pPr>
        <w:numPr>
          <w:ilvl w:val="0"/>
          <w:numId w:val="53"/>
        </w:numPr>
        <w:ind w:right="189" w:hanging="425"/>
      </w:pPr>
      <w:hyperlink r:id="rId66">
        <w:r>
          <w:t>Huang W.C</w:t>
        </w:r>
      </w:hyperlink>
      <w:r>
        <w:t xml:space="preserve">., </w:t>
      </w:r>
      <w:hyperlink r:id="rId67">
        <w:r>
          <w:t>Levey A.S</w:t>
        </w:r>
      </w:hyperlink>
      <w:r>
        <w:t xml:space="preserve">., </w:t>
      </w:r>
      <w:hyperlink r:id="rId68">
        <w:r>
          <w:t>Serio A.M</w:t>
        </w:r>
      </w:hyperlink>
      <w:r>
        <w:t>.</w:t>
      </w:r>
      <w:r>
        <w:t xml:space="preserve"> et al. Chronic kidney disease after nephrectomy in patients with renal cortical tumours: a retrospective cohort study. </w:t>
      </w:r>
      <w:hyperlink r:id="rId69">
        <w:r>
          <w:t>Lancet Oncol</w:t>
        </w:r>
      </w:hyperlink>
      <w:r>
        <w:t xml:space="preserve"> 2006;7(9):735−40.</w:t>
      </w:r>
    </w:p>
    <w:p w:rsidR="00C3791F" w:rsidRDefault="00AE1F83">
      <w:pPr>
        <w:numPr>
          <w:ilvl w:val="0"/>
          <w:numId w:val="53"/>
        </w:numPr>
        <w:spacing w:line="359" w:lineRule="auto"/>
        <w:ind w:right="189" w:hanging="425"/>
      </w:pPr>
      <w:r>
        <w:t>Sohaib S.A., Cook G., Allen S.D. et al. C</w:t>
      </w:r>
      <w:r>
        <w:t>omparison of whole-body MRI and bone scintigraphy in the detection of bone metastases in renal cancer. Br J Radiol 2009;82(980):632–9.</w:t>
      </w:r>
    </w:p>
    <w:p w:rsidR="00C3791F" w:rsidRDefault="00AE1F83">
      <w:pPr>
        <w:numPr>
          <w:ilvl w:val="0"/>
          <w:numId w:val="53"/>
        </w:numPr>
        <w:ind w:right="189" w:hanging="425"/>
      </w:pPr>
      <w:hyperlink r:id="rId70">
        <w:r>
          <w:t>La</w:t>
        </w:r>
        <w:r>
          <w:t>rcher A</w:t>
        </w:r>
      </w:hyperlink>
      <w:r>
        <w:t xml:space="preserve">., </w:t>
      </w:r>
      <w:hyperlink r:id="rId71">
        <w:r>
          <w:t>Muttin F</w:t>
        </w:r>
      </w:hyperlink>
      <w:r>
        <w:t xml:space="preserve">., </w:t>
      </w:r>
      <w:hyperlink r:id="rId72">
        <w:r>
          <w:t>Fossati N</w:t>
        </w:r>
      </w:hyperlink>
      <w:r>
        <w:t xml:space="preserve">. et al. When to perform preoperative bone scintigraphy for kidney cancer staging: indications for preoperative bone scintigraphy. </w:t>
      </w:r>
      <w:hyperlink r:id="rId73">
        <w:r>
          <w:t>Urol</w:t>
        </w:r>
      </w:hyperlink>
      <w:r>
        <w:t xml:space="preserve"> 2017;110:114−20. DOI: 10.1016/j.urology.2017.</w:t>
      </w:r>
      <w:r>
        <w:t>08.043.</w:t>
      </w:r>
    </w:p>
    <w:p w:rsidR="00C3791F" w:rsidRDefault="00AE1F83">
      <w:pPr>
        <w:numPr>
          <w:ilvl w:val="0"/>
          <w:numId w:val="53"/>
        </w:numPr>
        <w:ind w:right="189" w:hanging="425"/>
      </w:pPr>
      <w:hyperlink r:id="rId74">
        <w:r>
          <w:t>Henriksson C</w:t>
        </w:r>
      </w:hyperlink>
      <w:r>
        <w:t xml:space="preserve">., </w:t>
      </w:r>
      <w:hyperlink r:id="rId75">
        <w:r>
          <w:t>Haraldsson G</w:t>
        </w:r>
      </w:hyperlink>
      <w:r>
        <w:t xml:space="preserve">., </w:t>
      </w:r>
      <w:hyperlink r:id="rId76">
        <w:r>
          <w:t>Aldenborg F</w:t>
        </w:r>
      </w:hyperlink>
      <w:r>
        <w:t xml:space="preserve">. et al. Skeletal metastases in 102 patients evaluated before surgery for renal cell carcinoma. </w:t>
      </w:r>
      <w:hyperlink r:id="rId77">
        <w:r>
          <w:t>Scand J Urol Nephrol</w:t>
        </w:r>
      </w:hyperlink>
      <w:r>
        <w:t xml:space="preserve"> 1992;26(4):363−6.</w:t>
      </w:r>
    </w:p>
    <w:p w:rsidR="00C3791F" w:rsidRDefault="00AE1F83">
      <w:pPr>
        <w:numPr>
          <w:ilvl w:val="0"/>
          <w:numId w:val="53"/>
        </w:numPr>
        <w:ind w:right="189" w:hanging="425"/>
      </w:pPr>
      <w:hyperlink r:id="rId78">
        <w:r>
          <w:t>Seaman E</w:t>
        </w:r>
      </w:hyperlink>
      <w:r>
        <w:t xml:space="preserve">., </w:t>
      </w:r>
      <w:hyperlink r:id="rId79">
        <w:r>
          <w:t>Goluboff E.T</w:t>
        </w:r>
      </w:hyperlink>
      <w:r>
        <w:t xml:space="preserve">., </w:t>
      </w:r>
      <w:hyperlink r:id="rId80">
        <w:r>
          <w:t>Ross S</w:t>
        </w:r>
      </w:hyperlink>
      <w:r>
        <w:t xml:space="preserve">., </w:t>
      </w:r>
      <w:hyperlink r:id="rId81">
        <w:r>
          <w:t>Sawczuk I.S</w:t>
        </w:r>
      </w:hyperlink>
      <w:r>
        <w:t xml:space="preserve">. Association of radionuclide bone scan and serum alkaline phosphatase in patients with metastatic renal cell carcinoma. </w:t>
      </w:r>
      <w:hyperlink r:id="rId82">
        <w:r>
          <w:t>Urol</w:t>
        </w:r>
      </w:hyperlink>
      <w:r>
        <w:t xml:space="preserve"> 1996;48(5):692−5.</w:t>
      </w:r>
    </w:p>
    <w:p w:rsidR="00C3791F" w:rsidRDefault="00AE1F83">
      <w:pPr>
        <w:numPr>
          <w:ilvl w:val="0"/>
          <w:numId w:val="53"/>
        </w:numPr>
        <w:ind w:right="189" w:hanging="425"/>
      </w:pPr>
      <w:hyperlink r:id="rId83">
        <w:r>
          <w:t>Giżewska A</w:t>
        </w:r>
      </w:hyperlink>
      <w:r>
        <w:t xml:space="preserve">., </w:t>
      </w:r>
      <w:hyperlink r:id="rId84">
        <w:r>
          <w:t>Witkowska-Patena E</w:t>
        </w:r>
      </w:hyperlink>
      <w:r>
        <w:t xml:space="preserve">., </w:t>
      </w:r>
      <w:hyperlink r:id="rId85">
        <w:r>
          <w:t>Stembrowicz-Nowakowska Z</w:t>
        </w:r>
      </w:hyperlink>
      <w:r>
        <w:t xml:space="preserve">. et al. Long </w:t>
      </w:r>
      <w:r>
        <w:t xml:space="preserve">bone metastases as predictors of survival in patients with metastatic renal cancer. </w:t>
      </w:r>
      <w:hyperlink r:id="rId86">
        <w:r>
          <w:t>Nucl Med Rev</w:t>
        </w:r>
      </w:hyperlink>
      <w:r>
        <w:t xml:space="preserve"> </w:t>
      </w:r>
      <w:hyperlink r:id="rId87">
        <w:r>
          <w:t>Cent East Eur</w:t>
        </w:r>
      </w:hyperlink>
      <w:r>
        <w:t xml:space="preserve"> 2015;18(2):89−91.</w:t>
      </w:r>
      <w:r>
        <w:t xml:space="preserve"> DOI: 10.5603/NMR.2015.0021.</w:t>
      </w:r>
    </w:p>
    <w:p w:rsidR="00C3791F" w:rsidRDefault="00AE1F83">
      <w:pPr>
        <w:numPr>
          <w:ilvl w:val="0"/>
          <w:numId w:val="53"/>
        </w:numPr>
        <w:ind w:right="189" w:hanging="425"/>
      </w:pPr>
      <w:r>
        <w:t xml:space="preserve">Casalino D.D., Remer E.M., Bishoff J.T. et al. ACR appropriateness criteria post-treatment follow-up of renal cell carcinoma. J Am Coll Radiol 2014;11:443–9. </w:t>
      </w:r>
    </w:p>
    <w:p w:rsidR="00C3791F" w:rsidRDefault="00AE1F83">
      <w:pPr>
        <w:numPr>
          <w:ilvl w:val="0"/>
          <w:numId w:val="53"/>
        </w:numPr>
        <w:ind w:right="189" w:hanging="425"/>
      </w:pPr>
      <w:hyperlink r:id="rId88">
        <w:r>
          <w:t>Prins F.M</w:t>
        </w:r>
      </w:hyperlink>
      <w:r>
        <w:t xml:space="preserve">., </w:t>
      </w:r>
      <w:hyperlink r:id="rId89">
        <w:r>
          <w:t>van der Velden J.M</w:t>
        </w:r>
      </w:hyperlink>
      <w:r>
        <w:t xml:space="preserve">., </w:t>
      </w:r>
      <w:hyperlink r:id="rId90">
        <w:r>
          <w:t>Gerlich A.S</w:t>
        </w:r>
      </w:hyperlink>
      <w:r>
        <w:t>. et al. Superior target delineation for stereotactic body radiotherapy of bone metastases from renal</w:t>
      </w:r>
      <w:r>
        <w:t xml:space="preserve"> cell carcinoma on MRI compared to CT. </w:t>
      </w:r>
      <w:hyperlink r:id="rId91">
        <w:r>
          <w:t>Ann Palliat Med</w:t>
        </w:r>
      </w:hyperlink>
      <w:r>
        <w:t xml:space="preserve"> 2017;6(Suppl. 2):S147−54. DOI: </w:t>
      </w:r>
    </w:p>
    <w:p w:rsidR="00C3791F" w:rsidRDefault="00AE1F83">
      <w:pPr>
        <w:spacing w:after="114" w:line="259" w:lineRule="auto"/>
        <w:ind w:left="872" w:right="189"/>
      </w:pPr>
      <w:r>
        <w:t>10.21037/apm.2017.06.07.</w:t>
      </w:r>
    </w:p>
    <w:p w:rsidR="00C3791F" w:rsidRDefault="00AE1F83">
      <w:pPr>
        <w:numPr>
          <w:ilvl w:val="0"/>
          <w:numId w:val="53"/>
        </w:numPr>
        <w:ind w:right="189" w:hanging="425"/>
      </w:pPr>
      <w:hyperlink r:id="rId92">
        <w:r>
          <w:t>Nomoto Y</w:t>
        </w:r>
      </w:hyperlink>
      <w:r>
        <w:t xml:space="preserve">., </w:t>
      </w:r>
      <w:hyperlink r:id="rId93">
        <w:r>
          <w:t>Tsukie T</w:t>
        </w:r>
      </w:hyperlink>
      <w:r>
        <w:t xml:space="preserve">., </w:t>
      </w:r>
      <w:hyperlink r:id="rId94">
        <w:r>
          <w:t>Kurita A</w:t>
        </w:r>
      </w:hyperlink>
      <w:r>
        <w:t xml:space="preserve">. et al. Metastatic renal cell carcinoma initially presented with a longitudinally extensive spinal cord lesion on MRI. </w:t>
      </w:r>
      <w:hyperlink r:id="rId95">
        <w:r>
          <w:t>Rinsho Shinkeigaku</w:t>
        </w:r>
      </w:hyperlink>
      <w:r>
        <w:t xml:space="preserve"> 2016;56(5):348−51. DOI: 10.5692/clinicalneurol.cn-000850.</w:t>
      </w:r>
    </w:p>
    <w:p w:rsidR="00C3791F" w:rsidRDefault="00AE1F83">
      <w:pPr>
        <w:numPr>
          <w:ilvl w:val="0"/>
          <w:numId w:val="53"/>
        </w:numPr>
        <w:ind w:right="189" w:hanging="425"/>
      </w:pPr>
      <w:r>
        <w:t>Bhattacharjee P.K., Ahmed T.U., Hoque R. et al. Comparison Between Whole Body Bone Scintigraphy and Regional CT Scan in the D</w:t>
      </w:r>
      <w:r>
        <w:t>iagnosis to Bone Metastasis of Cancer Patients. Nuclear Science and Applications 2015;24(1):33.</w:t>
      </w:r>
    </w:p>
    <w:p w:rsidR="00C3791F" w:rsidRDefault="00AE1F83">
      <w:pPr>
        <w:numPr>
          <w:ilvl w:val="0"/>
          <w:numId w:val="53"/>
        </w:numPr>
        <w:ind w:right="189" w:hanging="425"/>
      </w:pPr>
      <w:r>
        <w:t>Grünwald V., Eberhardt B., Bex A. et al. An interdisciplinary consensus on the management of bone metastases from renal cell carcinoma. Nat Rev Urol 2018;15:511</w:t>
      </w:r>
      <w:r>
        <w:t>–21. DOI: 10.1038/s41585-018-0034-9.</w:t>
      </w:r>
    </w:p>
    <w:p w:rsidR="00C3791F" w:rsidRDefault="00AE1F83">
      <w:pPr>
        <w:numPr>
          <w:ilvl w:val="0"/>
          <w:numId w:val="53"/>
        </w:numPr>
        <w:ind w:right="189" w:hanging="425"/>
      </w:pPr>
      <w:r>
        <w:t xml:space="preserve">Yang H.L., Liu T., Wang X.M. et al. Diagnosis of bone metastases: a meta-analysis comparing </w:t>
      </w:r>
      <w:r>
        <w:rPr>
          <w:sz w:val="22"/>
          <w:vertAlign w:val="superscript"/>
        </w:rPr>
        <w:t>18</w:t>
      </w:r>
      <w:r>
        <w:t xml:space="preserve">FDG PET, CT, MRI and bone scintigraphy. </w:t>
      </w:r>
      <w:hyperlink r:id="rId96">
        <w:r>
          <w:t>Eur Radiol</w:t>
        </w:r>
      </w:hyperlink>
      <w:r>
        <w:t xml:space="preserve"> 2011;21(12</w:t>
      </w:r>
      <w:r>
        <w:t>):2604–17.</w:t>
      </w:r>
    </w:p>
    <w:p w:rsidR="00C3791F" w:rsidRDefault="00AE1F83">
      <w:pPr>
        <w:spacing w:line="259" w:lineRule="auto"/>
        <w:ind w:left="872" w:right="189"/>
      </w:pPr>
      <w:r>
        <w:t>DOI: 10.1007/s00330-011-2221-4.</w:t>
      </w:r>
    </w:p>
    <w:p w:rsidR="00C3791F" w:rsidRDefault="00AE1F83">
      <w:pPr>
        <w:numPr>
          <w:ilvl w:val="0"/>
          <w:numId w:val="53"/>
        </w:numPr>
        <w:ind w:right="189" w:hanging="425"/>
      </w:pPr>
      <w:r>
        <w:t>Dibble E.H., Kravets S., Cheng S.C. et al. Utility of FDG-PET/CT in patients with advanced renal cell carcinoma with osseous metastases: comparison with CT and 99mTcMDP bone scan in a prospective clinical trial. K</w:t>
      </w:r>
      <w:r>
        <w:t xml:space="preserve">idney Cancer 2019;3(4):241–51. </w:t>
      </w:r>
    </w:p>
    <w:p w:rsidR="00C3791F" w:rsidRDefault="00AE1F83">
      <w:pPr>
        <w:numPr>
          <w:ilvl w:val="0"/>
          <w:numId w:val="53"/>
        </w:numPr>
        <w:ind w:right="189" w:hanging="425"/>
      </w:pPr>
      <w:r>
        <w:t>Fink K.R., Fink J.R. Imaging of brain metastases. Surg Neurol Int 2013;4(Suppl. 4):S209– 19.</w:t>
      </w:r>
    </w:p>
    <w:p w:rsidR="00C3791F" w:rsidRDefault="00AE1F83">
      <w:pPr>
        <w:numPr>
          <w:ilvl w:val="0"/>
          <w:numId w:val="53"/>
        </w:numPr>
        <w:ind w:right="189" w:hanging="425"/>
      </w:pPr>
      <w:r>
        <w:t xml:space="preserve">Marshall M.E., Pearson T., Simpson W. et al. Low incidence of asymptomatic brain metastases in patients with renal cell carcinoma. </w:t>
      </w:r>
      <w:r>
        <w:t>Urol 1990;36(4):300−2.</w:t>
      </w:r>
    </w:p>
    <w:p w:rsidR="00C3791F" w:rsidRDefault="00AE1F83">
      <w:pPr>
        <w:numPr>
          <w:ilvl w:val="0"/>
          <w:numId w:val="53"/>
        </w:numPr>
        <w:ind w:right="189" w:hanging="425"/>
      </w:pPr>
      <w:hyperlink r:id="rId97">
        <w:r>
          <w:t>Ha F.J</w:t>
        </w:r>
      </w:hyperlink>
      <w:r>
        <w:t xml:space="preserve">., </w:t>
      </w:r>
      <w:hyperlink r:id="rId98">
        <w:r>
          <w:t>Spain L</w:t>
        </w:r>
      </w:hyperlink>
      <w:r>
        <w:t xml:space="preserve">., </w:t>
      </w:r>
      <w:hyperlink r:id="rId99">
        <w:r>
          <w:t>Dowling A</w:t>
        </w:r>
      </w:hyperlink>
      <w:r>
        <w:t>. et al. Timing of brain metastases development in metastatic renal cell cancer patients treated with targeted</w:t>
      </w:r>
      <w:r>
        <w:t xml:space="preserve"> therapies and survival outcomes: An Australian multicenter study. </w:t>
      </w:r>
      <w:hyperlink r:id="rId100">
        <w:r>
          <w:t>Asia Pac J Clin Oncol</w:t>
        </w:r>
      </w:hyperlink>
      <w:r>
        <w:t xml:space="preserve"> 2019;15(5):e97–102. DOI: </w:t>
      </w:r>
    </w:p>
    <w:p w:rsidR="00C3791F" w:rsidRDefault="00AE1F83">
      <w:pPr>
        <w:spacing w:after="114" w:line="259" w:lineRule="auto"/>
        <w:ind w:left="872" w:right="189"/>
      </w:pPr>
      <w:r>
        <w:t>10.1111/ajco.13109.</w:t>
      </w:r>
    </w:p>
    <w:p w:rsidR="00C3791F" w:rsidRDefault="00AE1F83">
      <w:pPr>
        <w:numPr>
          <w:ilvl w:val="0"/>
          <w:numId w:val="53"/>
        </w:numPr>
        <w:ind w:right="189" w:hanging="425"/>
      </w:pPr>
      <w:hyperlink r:id="rId101">
        <w:r>
          <w:t>Tomiyama A</w:t>
        </w:r>
      </w:hyperlink>
      <w:r>
        <w:t xml:space="preserve">., </w:t>
      </w:r>
      <w:hyperlink r:id="rId102">
        <w:r>
          <w:t>Nakayama H</w:t>
        </w:r>
      </w:hyperlink>
      <w:r>
        <w:t xml:space="preserve">., </w:t>
      </w:r>
      <w:hyperlink r:id="rId103">
        <w:r>
          <w:t>Aoki K</w:t>
        </w:r>
      </w:hyperlink>
      <w:r>
        <w:t xml:space="preserve">., </w:t>
      </w:r>
      <w:hyperlink r:id="rId104">
        <w:r>
          <w:t>Ueda M</w:t>
        </w:r>
      </w:hyperlink>
      <w:r>
        <w:t>. Solitary metastasis of renal cell carcinoma to the thi</w:t>
      </w:r>
      <w:r>
        <w:t xml:space="preserve">rd ventricular choroid plexus with rapid clinical manifestation by intratumoral hemorrhage. </w:t>
      </w:r>
      <w:hyperlink r:id="rId105">
        <w:r>
          <w:t>Neurol India</w:t>
        </w:r>
      </w:hyperlink>
      <w:r>
        <w:t xml:space="preserve"> 2008;56(2):179−81.</w:t>
      </w:r>
    </w:p>
    <w:p w:rsidR="00C3791F" w:rsidRDefault="00AE1F83">
      <w:pPr>
        <w:numPr>
          <w:ilvl w:val="0"/>
          <w:numId w:val="53"/>
        </w:numPr>
        <w:ind w:right="189" w:hanging="425"/>
      </w:pPr>
      <w:hyperlink r:id="rId106">
        <w:r>
          <w:t>El Ali Z</w:t>
        </w:r>
      </w:hyperlink>
      <w:r>
        <w:t xml:space="preserve">., </w:t>
      </w:r>
      <w:hyperlink r:id="rId107">
        <w:r>
          <w:t>Rottey S</w:t>
        </w:r>
      </w:hyperlink>
      <w:r>
        <w:t>.</w:t>
      </w:r>
      <w:r>
        <w:t xml:space="preserve">, </w:t>
      </w:r>
      <w:hyperlink r:id="rId108">
        <w:r>
          <w:t>Barthelemy P</w:t>
        </w:r>
      </w:hyperlink>
      <w:r>
        <w:t xml:space="preserve">. et al. Brain metastasis and renal cell carcinoma: prognostic scores assessment in the era of targeted therapies. </w:t>
      </w:r>
      <w:hyperlink r:id="rId109">
        <w:r>
          <w:t>Anticancer Res</w:t>
        </w:r>
      </w:hyperlink>
      <w:r>
        <w:t xml:space="preserve"> 2019;39(6):2993−3002. DOI: 10.21873/anticanres.13431.</w:t>
      </w:r>
    </w:p>
    <w:p w:rsidR="00C3791F" w:rsidRDefault="00AE1F83">
      <w:pPr>
        <w:numPr>
          <w:ilvl w:val="0"/>
          <w:numId w:val="53"/>
        </w:numPr>
        <w:ind w:right="189" w:hanging="425"/>
      </w:pPr>
      <w:hyperlink r:id="rId110">
        <w:r>
          <w:t>Takeshi</w:t>
        </w:r>
        <w:r>
          <w:t>ta N</w:t>
        </w:r>
      </w:hyperlink>
      <w:r>
        <w:t xml:space="preserve">., </w:t>
      </w:r>
      <w:hyperlink r:id="rId111">
        <w:r>
          <w:t>Otsuka M</w:t>
        </w:r>
      </w:hyperlink>
      <w:r>
        <w:t xml:space="preserve">., </w:t>
      </w:r>
      <w:hyperlink r:id="rId112">
        <w:r>
          <w:t>Kamasako T</w:t>
        </w:r>
      </w:hyperlink>
      <w:r>
        <w:t xml:space="preserve">. et al. Prognostic factors and survival in Japanese patients with brain metastasis from renal cell cancer. </w:t>
      </w:r>
      <w:hyperlink r:id="rId113">
        <w:r>
          <w:t>Int J Clin Oncol</w:t>
        </w:r>
      </w:hyperlink>
      <w:r>
        <w:t xml:space="preserve"> 2019;24(10):1231–7. DOI: 10.1007/s10147-019-01474-2.</w:t>
      </w:r>
    </w:p>
    <w:p w:rsidR="00C3791F" w:rsidRDefault="00AE1F83">
      <w:pPr>
        <w:numPr>
          <w:ilvl w:val="0"/>
          <w:numId w:val="53"/>
        </w:numPr>
        <w:ind w:right="189" w:hanging="425"/>
      </w:pPr>
      <w:hyperlink r:id="rId114">
        <w:r>
          <w:t>Lamb G.W</w:t>
        </w:r>
      </w:hyperlink>
      <w:r>
        <w:t xml:space="preserve">., </w:t>
      </w:r>
      <w:hyperlink r:id="rId115">
        <w:r>
          <w:t>Bromwich E.</w:t>
        </w:r>
        <w:r>
          <w:t>J</w:t>
        </w:r>
      </w:hyperlink>
      <w:r>
        <w:t xml:space="preserve">., </w:t>
      </w:r>
      <w:hyperlink r:id="rId116">
        <w:r>
          <w:t>Vasey P</w:t>
        </w:r>
      </w:hyperlink>
      <w:r>
        <w:t xml:space="preserve">., </w:t>
      </w:r>
      <w:hyperlink r:id="rId117">
        <w:r>
          <w:t>Aitc</w:t>
        </w:r>
        <w:r>
          <w:t>hison M</w:t>
        </w:r>
      </w:hyperlink>
      <w:r>
        <w:t xml:space="preserve">. Management of renal masses in patients medically unsuitable for nephrectomy − natural history, complications, and outcome. </w:t>
      </w:r>
      <w:hyperlink r:id="rId118">
        <w:r>
          <w:t>Urology</w:t>
        </w:r>
      </w:hyperlink>
      <w:r>
        <w:t xml:space="preserve"> 2004;64(5):909−13.</w:t>
      </w:r>
    </w:p>
    <w:p w:rsidR="00C3791F" w:rsidRDefault="00AE1F83">
      <w:pPr>
        <w:numPr>
          <w:ilvl w:val="0"/>
          <w:numId w:val="53"/>
        </w:numPr>
        <w:ind w:right="189" w:hanging="425"/>
      </w:pPr>
      <w:hyperlink r:id="rId119">
        <w:r>
          <w:t>Hallscheidt P</w:t>
        </w:r>
      </w:hyperlink>
      <w:r>
        <w:t xml:space="preserve">., </w:t>
      </w:r>
      <w:hyperlink r:id="rId120">
        <w:r>
          <w:t>Besharati S</w:t>
        </w:r>
      </w:hyperlink>
      <w:r>
        <w:t xml:space="preserve">., </w:t>
      </w:r>
      <w:hyperlink r:id="rId121">
        <w:r>
          <w:t>Noeldge G</w:t>
        </w:r>
      </w:hyperlink>
      <w:r>
        <w:t xml:space="preserve">. et al. Preoperative and palliative embolization of renal cell carcinomas: follow-up of 49 patients. </w:t>
      </w:r>
      <w:hyperlink r:id="rId122">
        <w:r>
          <w:t>Rofo</w:t>
        </w:r>
      </w:hyperlink>
      <w:r>
        <w:t xml:space="preserve"> 2006;178(4):391−9.</w:t>
      </w:r>
    </w:p>
    <w:p w:rsidR="00C3791F" w:rsidRDefault="00AE1F83">
      <w:pPr>
        <w:numPr>
          <w:ilvl w:val="0"/>
          <w:numId w:val="53"/>
        </w:numPr>
        <w:ind w:right="189" w:hanging="425"/>
      </w:pPr>
      <w:hyperlink r:id="rId123">
        <w:r>
          <w:t>Schwartz M.J</w:t>
        </w:r>
      </w:hyperlink>
      <w:r>
        <w:t xml:space="preserve">., </w:t>
      </w:r>
      <w:hyperlink r:id="rId124">
        <w:r>
          <w:t>Smith E.B</w:t>
        </w:r>
      </w:hyperlink>
      <w:r>
        <w:t xml:space="preserve">., </w:t>
      </w:r>
      <w:hyperlink r:id="rId125">
        <w:r>
          <w:t>Trost D.W</w:t>
        </w:r>
      </w:hyperlink>
      <w:r>
        <w:t xml:space="preserve">., </w:t>
      </w:r>
      <w:hyperlink r:id="rId126">
        <w:r>
          <w:t>Vaughan E.D. Jr</w:t>
        </w:r>
      </w:hyperlink>
      <w:r>
        <w:t xml:space="preserve">. Renal artery embolization: clinical indications and experience from over 100 cases. </w:t>
      </w:r>
      <w:hyperlink r:id="rId127">
        <w:r>
          <w:t>BJU Int</w:t>
        </w:r>
      </w:hyperlink>
      <w:r>
        <w:t xml:space="preserve"> 2007;99(4):881−6.</w:t>
      </w:r>
    </w:p>
    <w:p w:rsidR="00C3791F" w:rsidRDefault="00AE1F83">
      <w:pPr>
        <w:numPr>
          <w:ilvl w:val="0"/>
          <w:numId w:val="53"/>
        </w:numPr>
        <w:ind w:right="189" w:hanging="425"/>
      </w:pPr>
      <w:hyperlink r:id="rId128">
        <w:r>
          <w:t>Maxwell N.J</w:t>
        </w:r>
      </w:hyperlink>
      <w:r>
        <w:t xml:space="preserve">., </w:t>
      </w:r>
      <w:hyperlink r:id="rId129">
        <w:r>
          <w:t>Saleem A.N</w:t>
        </w:r>
      </w:hyperlink>
      <w:r>
        <w:t xml:space="preserve">, </w:t>
      </w:r>
      <w:hyperlink r:id="rId130">
        <w:r>
          <w:t>Rogers E</w:t>
        </w:r>
      </w:hyperlink>
      <w:r>
        <w:t xml:space="preserve">. et al. Renal artery embolisation in the palliative treatment of renal carcinoma. </w:t>
      </w:r>
      <w:hyperlink r:id="rId131">
        <w:r>
          <w:t>Br J Radiol</w:t>
        </w:r>
      </w:hyperlink>
      <w:r>
        <w:t xml:space="preserve"> 2007;80(950):96−102.</w:t>
      </w:r>
    </w:p>
    <w:p w:rsidR="00C3791F" w:rsidRDefault="00AE1F83">
      <w:pPr>
        <w:numPr>
          <w:ilvl w:val="0"/>
          <w:numId w:val="53"/>
        </w:numPr>
        <w:ind w:right="189" w:hanging="425"/>
      </w:pPr>
      <w:hyperlink r:id="rId132">
        <w:r>
          <w:t>Zelens’kyĭ R.O</w:t>
        </w:r>
      </w:hyperlink>
      <w:r>
        <w:t>. Evaluation of vascular bed before and after emboli</w:t>
      </w:r>
      <w:r>
        <w:t xml:space="preserve">zation of renal artery for renal cancer. </w:t>
      </w:r>
      <w:hyperlink r:id="rId133">
        <w:r>
          <w:t>Klin Khir</w:t>
        </w:r>
      </w:hyperlink>
      <w:r>
        <w:t xml:space="preserve"> 2015;1:32−4.</w:t>
      </w:r>
    </w:p>
    <w:p w:rsidR="00C3791F" w:rsidRDefault="00AE1F83">
      <w:pPr>
        <w:numPr>
          <w:ilvl w:val="0"/>
          <w:numId w:val="53"/>
        </w:numPr>
        <w:spacing w:after="112"/>
        <w:ind w:right="189" w:hanging="425"/>
      </w:pPr>
      <w:hyperlink r:id="rId134">
        <w:r>
          <w:t>Ma H</w:t>
        </w:r>
      </w:hyperlink>
      <w:r>
        <w:t xml:space="preserve">., </w:t>
      </w:r>
      <w:hyperlink r:id="rId135">
        <w:r>
          <w:t>Shen G</w:t>
        </w:r>
      </w:hyperlink>
      <w:r>
        <w:t xml:space="preserve">., </w:t>
      </w:r>
      <w:hyperlink r:id="rId136">
        <w:r>
          <w:t>Liu B</w:t>
        </w:r>
      </w:hyperlink>
      <w:r>
        <w:t>. et al. Diagnosti</w:t>
      </w:r>
      <w:r>
        <w:t xml:space="preserve">c performance of 18F-FDG PET or PET/CT in restaging renal cell carcinoma: a systematic review and meta-analysis. </w:t>
      </w:r>
      <w:hyperlink r:id="rId137">
        <w:r>
          <w:t xml:space="preserve">Nucl Med Commun </w:t>
        </w:r>
      </w:hyperlink>
      <w:r>
        <w:t xml:space="preserve"> 2017;38(2):156−63. DOI: 10.1097/MNM.0000000000000618.</w:t>
      </w:r>
    </w:p>
    <w:p w:rsidR="00C3791F" w:rsidRDefault="00AE1F83">
      <w:pPr>
        <w:numPr>
          <w:ilvl w:val="0"/>
          <w:numId w:val="53"/>
        </w:numPr>
        <w:ind w:right="189" w:hanging="425"/>
      </w:pPr>
      <w:hyperlink r:id="rId138">
        <w:r>
          <w:t>Lindenberg L</w:t>
        </w:r>
      </w:hyperlink>
      <w:r>
        <w:t xml:space="preserve">., </w:t>
      </w:r>
      <w:hyperlink r:id="rId139">
        <w:r>
          <w:t>Mena E</w:t>
        </w:r>
      </w:hyperlink>
      <w:r>
        <w:t xml:space="preserve">., </w:t>
      </w:r>
      <w:hyperlink r:id="rId140">
        <w:r>
          <w:t>Choyke P.L</w:t>
        </w:r>
      </w:hyperlink>
      <w:r>
        <w:t xml:space="preserve">., </w:t>
      </w:r>
      <w:hyperlink r:id="rId141">
        <w:r>
          <w:t>Bo</w:t>
        </w:r>
        <w:r>
          <w:t>uchelouche K</w:t>
        </w:r>
      </w:hyperlink>
      <w:r>
        <w:t xml:space="preserve">. PET imaging in renal cancer. </w:t>
      </w:r>
      <w:hyperlink r:id="rId142">
        <w:r>
          <w:t>Curr</w:t>
        </w:r>
      </w:hyperlink>
      <w:r>
        <w:t xml:space="preserve"> </w:t>
      </w:r>
      <w:hyperlink r:id="rId143">
        <w:r>
          <w:t>Opin Oncol</w:t>
        </w:r>
      </w:hyperlink>
      <w:r>
        <w:t xml:space="preserve"> 2019;31(3):216−21. DOI: 10.1097/CCO.0000000000000518.</w:t>
      </w:r>
    </w:p>
    <w:p w:rsidR="00C3791F" w:rsidRDefault="00AE1F83">
      <w:pPr>
        <w:numPr>
          <w:ilvl w:val="0"/>
          <w:numId w:val="53"/>
        </w:numPr>
        <w:spacing w:after="120" w:line="259" w:lineRule="auto"/>
        <w:ind w:right="189" w:hanging="425"/>
      </w:pPr>
      <w:hyperlink r:id="rId144">
        <w:r>
          <w:t>Wang H.Y</w:t>
        </w:r>
      </w:hyperlink>
      <w:r>
        <w:t xml:space="preserve">., </w:t>
      </w:r>
      <w:hyperlink r:id="rId145">
        <w:r>
          <w:t>Ding H.J</w:t>
        </w:r>
      </w:hyperlink>
      <w:r>
        <w:t xml:space="preserve">., </w:t>
      </w:r>
      <w:hyperlink r:id="rId146">
        <w:r>
          <w:t>Chen J.H</w:t>
        </w:r>
      </w:hyperlink>
      <w:r>
        <w:t xml:space="preserve">. et al. Meta-analysis of the diagnostic performance of </w:t>
      </w:r>
    </w:p>
    <w:p w:rsidR="00C3791F" w:rsidRDefault="00AE1F83">
      <w:pPr>
        <w:ind w:left="872" w:right="189"/>
      </w:pPr>
      <w:r>
        <w:t xml:space="preserve">[18F] FDG-PET and PET/CT in renal cell carcinoma. </w:t>
      </w:r>
      <w:hyperlink r:id="rId147">
        <w:r>
          <w:t>Cancer Imaging</w:t>
        </w:r>
      </w:hyperlink>
      <w:r>
        <w:t xml:space="preserve"> 2012;12:464−74. DOI: 10.1102/1470-7330.2012.0042.</w:t>
      </w:r>
    </w:p>
    <w:p w:rsidR="00C3791F" w:rsidRDefault="00AE1F83">
      <w:pPr>
        <w:numPr>
          <w:ilvl w:val="0"/>
          <w:numId w:val="53"/>
        </w:numPr>
        <w:ind w:right="189" w:hanging="425"/>
      </w:pPr>
      <w:hyperlink r:id="rId148">
        <w:r>
          <w:t>Gofrit O.N</w:t>
        </w:r>
      </w:hyperlink>
      <w:r>
        <w:t xml:space="preserve">., </w:t>
      </w:r>
      <w:hyperlink r:id="rId149">
        <w:r>
          <w:t>Orevi M</w:t>
        </w:r>
      </w:hyperlink>
      <w:r>
        <w:t xml:space="preserve">. Diagnostic challenges of kidney cancer: a systematic review of the role of positron emission tomography-computerized tomography. </w:t>
      </w:r>
      <w:hyperlink r:id="rId150">
        <w:r>
          <w:t>J Urol</w:t>
        </w:r>
      </w:hyperlink>
      <w:r>
        <w:t xml:space="preserve"> 2016;196(3):648−57. DOI: 10.1016/j.juro.2016.02.2992.</w:t>
      </w:r>
    </w:p>
    <w:p w:rsidR="00C3791F" w:rsidRDefault="00AE1F83">
      <w:pPr>
        <w:numPr>
          <w:ilvl w:val="0"/>
          <w:numId w:val="53"/>
        </w:numPr>
        <w:ind w:right="189" w:hanging="425"/>
      </w:pPr>
      <w:hyperlink r:id="rId151">
        <w:r>
          <w:t>Caldarella C</w:t>
        </w:r>
      </w:hyperlink>
      <w:r>
        <w:t xml:space="preserve">., </w:t>
      </w:r>
      <w:hyperlink r:id="rId152">
        <w:r>
          <w:t>Muoio B</w:t>
        </w:r>
      </w:hyperlink>
      <w:r>
        <w:t xml:space="preserve">., </w:t>
      </w:r>
      <w:hyperlink r:id="rId153">
        <w:r>
          <w:t>Isgrò M.</w:t>
        </w:r>
        <w:r>
          <w:t>A</w:t>
        </w:r>
      </w:hyperlink>
      <w:r>
        <w:t xml:space="preserve">. et al. The role of fluorine-18-fluorodeoxyglucose positron emission tomography in evaluating the response to tyrosine-kinase inhibitors in patients with metastatic primary renal cell carcinoma. </w:t>
      </w:r>
      <w:hyperlink r:id="rId154">
        <w:r>
          <w:t>Radiol Oncol</w:t>
        </w:r>
      </w:hyperlink>
      <w:r>
        <w:t xml:space="preserve"> 2014;48(3):219−27. </w:t>
      </w:r>
    </w:p>
    <w:p w:rsidR="00C3791F" w:rsidRDefault="00AE1F83">
      <w:pPr>
        <w:spacing w:after="114" w:line="259" w:lineRule="auto"/>
        <w:ind w:left="872" w:right="189"/>
      </w:pPr>
      <w:r>
        <w:t>DOI: 10.2478/raon-2013-0067.</w:t>
      </w:r>
    </w:p>
    <w:p w:rsidR="00C3791F" w:rsidRDefault="00AE1F83">
      <w:pPr>
        <w:numPr>
          <w:ilvl w:val="0"/>
          <w:numId w:val="53"/>
        </w:numPr>
        <w:ind w:right="189" w:hanging="425"/>
      </w:pPr>
      <w:r>
        <w:t>Nakaigawa N., Kondo K., Tateishi U. et al. FDG PET/CT as a prognostic biomarker in the era of molecular-targeting therapies: max SUVmax predicts survival of patients with advanced renal cel</w:t>
      </w:r>
      <w:r>
        <w:t>l carcinoma. BMC Cancer 2016;16:67.</w:t>
      </w:r>
    </w:p>
    <w:p w:rsidR="00C3791F" w:rsidRDefault="00AE1F83">
      <w:pPr>
        <w:numPr>
          <w:ilvl w:val="0"/>
          <w:numId w:val="53"/>
        </w:numPr>
        <w:ind w:right="189" w:hanging="425"/>
      </w:pPr>
      <w:r>
        <w:t xml:space="preserve">Ito H., Kondo K., Kawahara T. et al. One-month assessment of renal cell carcinoma treated by everolimus using FDG PET/CT predicts progression-free and overall survival. </w:t>
      </w:r>
    </w:p>
    <w:p w:rsidR="00C3791F" w:rsidRDefault="00AE1F83">
      <w:pPr>
        <w:spacing w:after="114" w:line="259" w:lineRule="auto"/>
        <w:ind w:left="872" w:right="189"/>
      </w:pPr>
      <w:r>
        <w:t>Cancer Chemother Pharmacol 2017;79:855–61.</w:t>
      </w:r>
    </w:p>
    <w:p w:rsidR="00C3791F" w:rsidRDefault="00AE1F83">
      <w:pPr>
        <w:numPr>
          <w:ilvl w:val="0"/>
          <w:numId w:val="53"/>
        </w:numPr>
        <w:ind w:right="189" w:hanging="425"/>
      </w:pPr>
      <w:hyperlink r:id="rId155">
        <w:r>
          <w:t>Marconi L</w:t>
        </w:r>
      </w:hyperlink>
      <w:r>
        <w:t xml:space="preserve">., </w:t>
      </w:r>
      <w:hyperlink r:id="rId156">
        <w:r>
          <w:t>Dabestani S</w:t>
        </w:r>
      </w:hyperlink>
      <w:r>
        <w:t xml:space="preserve">., </w:t>
      </w:r>
      <w:hyperlink r:id="rId157">
        <w:r>
          <w:t>Lam T.B</w:t>
        </w:r>
      </w:hyperlink>
      <w:r>
        <w:t xml:space="preserve">. et al. Systematic review and meta-analysis of diagnostic accuracy of percutaneous renal tumour biopsy. </w:t>
      </w:r>
      <w:hyperlink r:id="rId158">
        <w:r>
          <w:t>Eur Urol</w:t>
        </w:r>
      </w:hyperlink>
      <w:r>
        <w:t xml:space="preserve"> 2016;69(4):660−73. DOI: 10.1016/j.eururo.2015.07.072.</w:t>
      </w:r>
    </w:p>
    <w:p w:rsidR="00C3791F" w:rsidRDefault="00AE1F83">
      <w:pPr>
        <w:numPr>
          <w:ilvl w:val="0"/>
          <w:numId w:val="53"/>
        </w:numPr>
        <w:ind w:right="189" w:hanging="425"/>
      </w:pPr>
      <w:r>
        <w:t>Richard P.O., Jewett M.A., Bhatt J.R. et al. Renal tumor biopsy for small renal masses: a single-center 13-year experience. Eur Urol 2015;68(6):1007−13.</w:t>
      </w:r>
    </w:p>
    <w:p w:rsidR="00C3791F" w:rsidRDefault="00AE1F83">
      <w:pPr>
        <w:numPr>
          <w:ilvl w:val="0"/>
          <w:numId w:val="53"/>
        </w:numPr>
        <w:ind w:right="189" w:hanging="425"/>
      </w:pPr>
      <w:r>
        <w:t>V</w:t>
      </w:r>
      <w:r>
        <w:t>olpe A., Mattar K., Finelli A. et al. Contemporary results of percutaneous biopsy of 100 small renal masses: a single center experience. J Urol 2008;180:2333–7.</w:t>
      </w:r>
    </w:p>
    <w:p w:rsidR="00C3791F" w:rsidRDefault="00AE1F83">
      <w:pPr>
        <w:numPr>
          <w:ilvl w:val="0"/>
          <w:numId w:val="53"/>
        </w:numPr>
        <w:ind w:right="189" w:hanging="425"/>
      </w:pPr>
      <w:r>
        <w:t>Shannon B.A., Cohen R.J., de Bruto H., Davies R.J. The value of preoperative needle core biopsy</w:t>
      </w:r>
      <w:r>
        <w:t xml:space="preserve"> for diagnosing benign lesions among small, incidentally detected renal masses. J Urol 2008;180(4):1257−61.</w:t>
      </w:r>
    </w:p>
    <w:p w:rsidR="00C3791F" w:rsidRDefault="00AE1F83">
      <w:pPr>
        <w:numPr>
          <w:ilvl w:val="0"/>
          <w:numId w:val="53"/>
        </w:numPr>
        <w:ind w:right="189" w:hanging="425"/>
      </w:pPr>
      <w:r>
        <w:t>Veltri A., Garetto I., Tosetti I. et al. Diagnostic accuracy and clinical impact of imagingguided needle biopsy of renal masses. Retrospective analy</w:t>
      </w:r>
      <w:r>
        <w:t>sis on 150 cases. Eur Radiol 2011;21(2):393–401.</w:t>
      </w:r>
    </w:p>
    <w:p w:rsidR="00C3791F" w:rsidRDefault="00AE1F83">
      <w:pPr>
        <w:numPr>
          <w:ilvl w:val="0"/>
          <w:numId w:val="53"/>
        </w:numPr>
        <w:spacing w:line="259" w:lineRule="auto"/>
        <w:ind w:right="189" w:hanging="425"/>
      </w:pPr>
      <w:r>
        <w:t xml:space="preserve">Maturen K.E. et al. Renal mass core biopsy: accuracy and impact on clinical management. </w:t>
      </w:r>
    </w:p>
    <w:p w:rsidR="00C3791F" w:rsidRDefault="00AE1F83">
      <w:pPr>
        <w:spacing w:after="114" w:line="259" w:lineRule="auto"/>
        <w:ind w:left="872" w:right="189"/>
      </w:pPr>
      <w:r>
        <w:t>Am J Roentgenol 2007;188(2):563−70.</w:t>
      </w:r>
    </w:p>
    <w:p w:rsidR="00C3791F" w:rsidRDefault="00AE1F83">
      <w:pPr>
        <w:numPr>
          <w:ilvl w:val="0"/>
          <w:numId w:val="53"/>
        </w:numPr>
        <w:spacing w:after="120" w:line="259" w:lineRule="auto"/>
        <w:ind w:right="189" w:hanging="425"/>
      </w:pPr>
      <w:r>
        <w:t>Alle N., Tan N., Huss J. et al. Percutaneous image-guided core biopsy of solid ren</w:t>
      </w:r>
      <w:r>
        <w:t xml:space="preserve">al masses: </w:t>
      </w:r>
    </w:p>
    <w:p w:rsidR="00C3791F" w:rsidRDefault="00AE1F83">
      <w:pPr>
        <w:ind w:left="872" w:right="189"/>
      </w:pPr>
      <w:r>
        <w:t>analysis of safety, efficacy, pathologic interpretation, and clinical significance. Abdom Radiol (NY) 2018;43(7):1813–9.</w:t>
      </w:r>
    </w:p>
    <w:p w:rsidR="00C3791F" w:rsidRDefault="00AE1F83">
      <w:pPr>
        <w:numPr>
          <w:ilvl w:val="0"/>
          <w:numId w:val="53"/>
        </w:numPr>
        <w:ind w:right="189" w:hanging="425"/>
      </w:pPr>
      <w:r>
        <w:t>Eshed I., Elias S., Sidi A.A. Diagnostic value of CT-guided biopsy of indeterminate renal masses. Clin Radiol 2004;59(3):26</w:t>
      </w:r>
      <w:r>
        <w:t>2–7.</w:t>
      </w:r>
    </w:p>
    <w:p w:rsidR="00C3791F" w:rsidRDefault="00AE1F83">
      <w:pPr>
        <w:numPr>
          <w:ilvl w:val="0"/>
          <w:numId w:val="53"/>
        </w:numPr>
        <w:ind w:right="189" w:hanging="425"/>
      </w:pPr>
      <w:r>
        <w:t>Aribaş B.K., Arda K., Aktas E. et al. Percutaneous US-guided needle biopsies of solid renal masses. Neoplasma 2011:58(2):146–52.</w:t>
      </w:r>
    </w:p>
    <w:p w:rsidR="00C3791F" w:rsidRDefault="00AE1F83">
      <w:pPr>
        <w:numPr>
          <w:ilvl w:val="0"/>
          <w:numId w:val="53"/>
        </w:numPr>
        <w:ind w:right="189" w:hanging="425"/>
      </w:pPr>
      <w:hyperlink r:id="rId159">
        <w:r>
          <w:t>Leveridge M.J</w:t>
        </w:r>
      </w:hyperlink>
      <w:r>
        <w:t xml:space="preserve">., </w:t>
      </w:r>
      <w:hyperlink r:id="rId160">
        <w:r>
          <w:t>Finelli A</w:t>
        </w:r>
      </w:hyperlink>
      <w:r>
        <w:t xml:space="preserve">., </w:t>
      </w:r>
      <w:hyperlink r:id="rId161">
        <w:r>
          <w:t>Kachura J.R</w:t>
        </w:r>
      </w:hyperlink>
      <w:r>
        <w:t xml:space="preserve">. et al. Outcomes of small renal mass needle core biopsy, nondiagnostic percutaneous biopsy, and the role of repeat biopsy. </w:t>
      </w:r>
      <w:hyperlink r:id="rId162">
        <w:r>
          <w:t>Eur Urol</w:t>
        </w:r>
      </w:hyperlink>
      <w:r>
        <w:t xml:space="preserve"> 2011;60(3):578−84. DOI: 10.1016/j.eur</w:t>
      </w:r>
      <w:r>
        <w:t>uro.2011.06.021.</w:t>
      </w:r>
    </w:p>
    <w:p w:rsidR="00C3791F" w:rsidRDefault="00AE1F83">
      <w:pPr>
        <w:numPr>
          <w:ilvl w:val="0"/>
          <w:numId w:val="53"/>
        </w:numPr>
        <w:ind w:right="189" w:hanging="425"/>
      </w:pPr>
      <w:hyperlink r:id="rId163">
        <w:r>
          <w:t>Deng J</w:t>
        </w:r>
      </w:hyperlink>
      <w:r>
        <w:t xml:space="preserve">., </w:t>
      </w:r>
      <w:hyperlink r:id="rId164">
        <w:r>
          <w:t>Li L</w:t>
        </w:r>
      </w:hyperlink>
      <w:r>
        <w:t xml:space="preserve">., </w:t>
      </w:r>
      <w:hyperlink r:id="rId165">
        <w:r>
          <w:t>Xia H</w:t>
        </w:r>
      </w:hyperlink>
      <w:r>
        <w:t xml:space="preserve">., </w:t>
      </w:r>
      <w:hyperlink r:id="rId166">
        <w:r>
          <w:t>Guo J</w:t>
        </w:r>
      </w:hyperlink>
      <w:r>
        <w:t>. et a</w:t>
      </w:r>
      <w:r>
        <w:t xml:space="preserve">l. A comparison of the prognosis of papillary and clear cell renal cell carcinoma: Evidence from a meta-analysis. </w:t>
      </w:r>
      <w:hyperlink r:id="rId167">
        <w:r>
          <w:t>Medicine (Baltimore)</w:t>
        </w:r>
      </w:hyperlink>
      <w:r>
        <w:t xml:space="preserve"> 2019;98(27):e16309. DOI: 10.1097/MD.0000000000016309.</w:t>
      </w:r>
    </w:p>
    <w:p w:rsidR="00C3791F" w:rsidRDefault="00AE1F83">
      <w:pPr>
        <w:numPr>
          <w:ilvl w:val="0"/>
          <w:numId w:val="53"/>
        </w:numPr>
        <w:ind w:right="189" w:hanging="425"/>
      </w:pPr>
      <w:hyperlink r:id="rId168">
        <w:r>
          <w:t>Fernández-Pello S</w:t>
        </w:r>
      </w:hyperlink>
      <w:r>
        <w:t xml:space="preserve">., </w:t>
      </w:r>
      <w:hyperlink r:id="rId169">
        <w:r>
          <w:t>Hofmann F</w:t>
        </w:r>
      </w:hyperlink>
      <w:r>
        <w:t xml:space="preserve">., </w:t>
      </w:r>
      <w:hyperlink r:id="rId170">
        <w:r>
          <w:t>Tahbaz R</w:t>
        </w:r>
      </w:hyperlink>
      <w:r>
        <w:t>. et al. A Systematic Review and Meta-analysis comparing the effectiveness and adverse effects of differe</w:t>
      </w:r>
      <w:r>
        <w:t xml:space="preserve">nt systemic treatments for nonclear cell renal cell carcinoma. </w:t>
      </w:r>
      <w:hyperlink r:id="rId171">
        <w:r>
          <w:t>Eur Urol</w:t>
        </w:r>
      </w:hyperlink>
      <w:r>
        <w:t xml:space="preserve"> 2017;71(3):426−36. DOI: </w:t>
      </w:r>
    </w:p>
    <w:p w:rsidR="00C3791F" w:rsidRDefault="00AE1F83">
      <w:pPr>
        <w:spacing w:after="114" w:line="259" w:lineRule="auto"/>
        <w:ind w:left="872" w:right="189"/>
      </w:pPr>
      <w:r>
        <w:t>10.1016/j.eururo.2016.11.020.</w:t>
      </w:r>
    </w:p>
    <w:p w:rsidR="00C3791F" w:rsidRDefault="00AE1F83">
      <w:pPr>
        <w:numPr>
          <w:ilvl w:val="0"/>
          <w:numId w:val="53"/>
        </w:numPr>
        <w:ind w:right="189" w:hanging="425"/>
      </w:pPr>
      <w:hyperlink r:id="rId172">
        <w:r>
          <w:t>Ng K.L</w:t>
        </w:r>
      </w:hyperlink>
      <w:r>
        <w:t xml:space="preserve">., </w:t>
      </w:r>
      <w:hyperlink r:id="rId173">
        <w:r>
          <w:t>Morais C</w:t>
        </w:r>
      </w:hyperlink>
      <w:r>
        <w:t xml:space="preserve">., </w:t>
      </w:r>
      <w:hyperlink r:id="rId174">
        <w:r>
          <w:t>Bernard A</w:t>
        </w:r>
      </w:hyperlink>
      <w:r>
        <w:t xml:space="preserve">. et al. A systematic review and meta-analysis of immunohistochemical biomarkers that differentiate chromophobe renal cell carcinoma from renal oncocytoma. </w:t>
      </w:r>
      <w:hyperlink r:id="rId175">
        <w:r>
          <w:t>J Clin Pathol</w:t>
        </w:r>
      </w:hyperlink>
      <w:r>
        <w:t xml:space="preserve"> 2016;69(8):661−71. DOI: 10.1136/jclinpath-2015203585.</w:t>
      </w:r>
    </w:p>
    <w:p w:rsidR="00C3791F" w:rsidRDefault="00AE1F83">
      <w:pPr>
        <w:numPr>
          <w:ilvl w:val="0"/>
          <w:numId w:val="53"/>
        </w:numPr>
        <w:ind w:right="189" w:hanging="425"/>
      </w:pPr>
      <w:hyperlink r:id="rId176">
        <w:r>
          <w:t>Gu L</w:t>
        </w:r>
      </w:hyperlink>
      <w:r>
        <w:t xml:space="preserve">., </w:t>
      </w:r>
      <w:hyperlink r:id="rId177">
        <w:r>
          <w:t>Li H</w:t>
        </w:r>
      </w:hyperlink>
      <w:r>
        <w:t xml:space="preserve">., </w:t>
      </w:r>
      <w:hyperlink r:id="rId178">
        <w:r>
          <w:t>Wang Z</w:t>
        </w:r>
      </w:hyperlink>
      <w:r>
        <w:t>. et al. A systematic review and meta-analysis of clinic</w:t>
      </w:r>
      <w:r>
        <w:t xml:space="preserve">opathologic factors linked to oncologic outcomes for renal cell carcinoma with tumor thrombus treated by radical nephrectomy with thrombectomy. </w:t>
      </w:r>
      <w:hyperlink r:id="rId179">
        <w:r>
          <w:t>Cancer Treat Rev</w:t>
        </w:r>
      </w:hyperlink>
      <w:r>
        <w:t xml:space="preserve"> 2018;69:112−20. DOI: 10.1016/j.</w:t>
      </w:r>
      <w:r>
        <w:t>ctrv.2018.06.014.</w:t>
      </w:r>
    </w:p>
    <w:p w:rsidR="00C3791F" w:rsidRDefault="00AE1F83">
      <w:pPr>
        <w:numPr>
          <w:ilvl w:val="0"/>
          <w:numId w:val="53"/>
        </w:numPr>
        <w:ind w:right="189" w:hanging="425"/>
      </w:pPr>
      <w:hyperlink r:id="rId180">
        <w:r>
          <w:t>Zhang Z</w:t>
        </w:r>
      </w:hyperlink>
      <w:r>
        <w:t xml:space="preserve">., </w:t>
      </w:r>
      <w:hyperlink r:id="rId181">
        <w:r>
          <w:t>Yu C</w:t>
        </w:r>
      </w:hyperlink>
      <w:r>
        <w:t xml:space="preserve">., </w:t>
      </w:r>
      <w:hyperlink r:id="rId182">
        <w:r>
          <w:t>Velet L</w:t>
        </w:r>
      </w:hyperlink>
      <w:r>
        <w:t>. et al. The difference in prognosis between renal sinus fat and perinephric fat invasion for pt3a renal cell carcinoma: a</w:t>
      </w:r>
      <w:r>
        <w:t xml:space="preserve"> meta-analysis. </w:t>
      </w:r>
      <w:hyperlink r:id="rId183">
        <w:r>
          <w:t>PLoS One</w:t>
        </w:r>
      </w:hyperlink>
      <w:r>
        <w:t xml:space="preserve"> 2016;11(2):e0149420. DOI: 10.1371/journal.pone.0149420.</w:t>
      </w:r>
    </w:p>
    <w:p w:rsidR="00C3791F" w:rsidRDefault="00AE1F83">
      <w:pPr>
        <w:numPr>
          <w:ilvl w:val="0"/>
          <w:numId w:val="53"/>
        </w:numPr>
        <w:ind w:right="189" w:hanging="425"/>
      </w:pPr>
      <w:hyperlink r:id="rId184">
        <w:r>
          <w:t>Chen L</w:t>
        </w:r>
      </w:hyperlink>
      <w:r>
        <w:t xml:space="preserve">., </w:t>
      </w:r>
      <w:hyperlink r:id="rId185">
        <w:r>
          <w:t>Li H</w:t>
        </w:r>
      </w:hyperlink>
      <w:r>
        <w:t xml:space="preserve">., </w:t>
      </w:r>
      <w:hyperlink r:id="rId186">
        <w:r>
          <w:t>Gu L</w:t>
        </w:r>
      </w:hyperlink>
      <w:r>
        <w:t>. e</w:t>
      </w:r>
      <w:r>
        <w:t xml:space="preserve">t al. Prognostic role of urinary collecting system invasion in renal cell carcinoma: a systematic review and meta-analysis. </w:t>
      </w:r>
      <w:hyperlink r:id="rId187">
        <w:r>
          <w:t>Sci Rep</w:t>
        </w:r>
      </w:hyperlink>
      <w:r>
        <w:t xml:space="preserve"> 2016;6:21325. DOI:</w:t>
      </w:r>
    </w:p>
    <w:p w:rsidR="00C3791F" w:rsidRDefault="00AE1F83">
      <w:pPr>
        <w:spacing w:after="114" w:line="259" w:lineRule="auto"/>
        <w:ind w:left="872" w:right="189"/>
      </w:pPr>
      <w:r>
        <w:t>10.1038/srep21325.</w:t>
      </w:r>
    </w:p>
    <w:p w:rsidR="00C3791F" w:rsidRDefault="00AE1F83">
      <w:pPr>
        <w:numPr>
          <w:ilvl w:val="0"/>
          <w:numId w:val="53"/>
        </w:numPr>
        <w:spacing w:line="359" w:lineRule="auto"/>
        <w:ind w:right="189" w:hanging="425"/>
      </w:pPr>
      <w:hyperlink r:id="rId188">
        <w:r>
          <w:t>Zhang L</w:t>
        </w:r>
      </w:hyperlink>
      <w:r>
        <w:t xml:space="preserve">., </w:t>
      </w:r>
      <w:hyperlink r:id="rId189">
        <w:r>
          <w:t>Wu B</w:t>
        </w:r>
      </w:hyperlink>
      <w:r>
        <w:t xml:space="preserve">., </w:t>
      </w:r>
      <w:hyperlink r:id="rId190">
        <w:r>
          <w:t>Zha Z</w:t>
        </w:r>
      </w:hyperlink>
      <w:r>
        <w:t>. et al. The correlation of clinicopathological features with the status of surgical margins in renal cell cancer patients following nephr</w:t>
      </w:r>
      <w:r>
        <w:t xml:space="preserve">on-sparing surgery: a systematic review and meta-analysis. </w:t>
      </w:r>
      <w:hyperlink r:id="rId191">
        <w:r>
          <w:t>Front Oncol</w:t>
        </w:r>
      </w:hyperlink>
      <w:r>
        <w:t xml:space="preserve"> 2019;9:648. DOI: </w:t>
      </w:r>
    </w:p>
    <w:p w:rsidR="00C3791F" w:rsidRDefault="00AE1F83">
      <w:pPr>
        <w:spacing w:after="114" w:line="259" w:lineRule="auto"/>
        <w:ind w:left="872" w:right="189"/>
      </w:pPr>
      <w:r>
        <w:t>10.3389/fonc.2019.00648.</w:t>
      </w:r>
    </w:p>
    <w:p w:rsidR="00C3791F" w:rsidRDefault="00AE1F83">
      <w:pPr>
        <w:numPr>
          <w:ilvl w:val="0"/>
          <w:numId w:val="53"/>
        </w:numPr>
        <w:ind w:right="189" w:hanging="425"/>
      </w:pPr>
      <w:hyperlink r:id="rId192">
        <w:r>
          <w:t>Carlo M.I</w:t>
        </w:r>
      </w:hyperlink>
      <w:r>
        <w:t xml:space="preserve">., </w:t>
      </w:r>
      <w:hyperlink r:id="rId193">
        <w:r>
          <w:t>Hakimi A.A</w:t>
        </w:r>
      </w:hyperlink>
      <w:r>
        <w:t xml:space="preserve">., </w:t>
      </w:r>
      <w:hyperlink r:id="rId194">
        <w:r>
          <w:t>Stewart G.D</w:t>
        </w:r>
      </w:hyperlink>
      <w:r>
        <w:t xml:space="preserve">. et al. Familial kidney cancer: implications of new syndromes and molecular insights. </w:t>
      </w:r>
      <w:hyperlink r:id="rId195">
        <w:r>
          <w:t>Eur Urol</w:t>
        </w:r>
      </w:hyperlink>
      <w:r>
        <w:t xml:space="preserve"> 2019;76(6):754–64. DOI: </w:t>
      </w:r>
    </w:p>
    <w:p w:rsidR="00C3791F" w:rsidRDefault="00AE1F83">
      <w:pPr>
        <w:spacing w:after="114" w:line="259" w:lineRule="auto"/>
        <w:ind w:left="872" w:right="189"/>
      </w:pPr>
      <w:r>
        <w:t>10.1016/j.eu</w:t>
      </w:r>
      <w:r>
        <w:t>ruro.2019.06.015. Epub 2019 Jul 18.</w:t>
      </w:r>
    </w:p>
    <w:p w:rsidR="00C3791F" w:rsidRDefault="00AE1F83">
      <w:pPr>
        <w:numPr>
          <w:ilvl w:val="0"/>
          <w:numId w:val="53"/>
        </w:numPr>
        <w:spacing w:after="120" w:line="259" w:lineRule="auto"/>
        <w:ind w:right="189" w:hanging="425"/>
      </w:pPr>
      <w:hyperlink r:id="rId196">
        <w:r>
          <w:t>Hampel H</w:t>
        </w:r>
      </w:hyperlink>
      <w:r>
        <w:t xml:space="preserve">., </w:t>
      </w:r>
      <w:hyperlink r:id="rId197">
        <w:r>
          <w:t>Bennett R.L</w:t>
        </w:r>
      </w:hyperlink>
      <w:r>
        <w:t xml:space="preserve">., </w:t>
      </w:r>
      <w:hyperlink r:id="rId198">
        <w:r>
          <w:t>Buchanan A</w:t>
        </w:r>
      </w:hyperlink>
      <w:r>
        <w:t xml:space="preserve">. et al. A practice guideline from the American </w:t>
      </w:r>
    </w:p>
    <w:p w:rsidR="00C3791F" w:rsidRDefault="00AE1F83">
      <w:pPr>
        <w:spacing w:after="114" w:line="259" w:lineRule="auto"/>
        <w:ind w:left="872" w:right="189"/>
      </w:pPr>
      <w:r>
        <w:t>College of Medical Genetics and Ge</w:t>
      </w:r>
      <w:r>
        <w:t xml:space="preserve">nomics and the National Society of Genetic </w:t>
      </w:r>
    </w:p>
    <w:p w:rsidR="00C3791F" w:rsidRDefault="00AE1F83">
      <w:pPr>
        <w:ind w:left="872" w:right="189"/>
      </w:pPr>
      <w:r>
        <w:t xml:space="preserve">Counselors: referral indications for cancer predisposition assessment. </w:t>
      </w:r>
      <w:hyperlink r:id="rId199">
        <w:r>
          <w:t>Genet Med</w:t>
        </w:r>
      </w:hyperlink>
      <w:r>
        <w:t xml:space="preserve"> 2015;17(1):70−87. DOI: 10.1038/gim.2014.147.</w:t>
      </w:r>
    </w:p>
    <w:p w:rsidR="00C3791F" w:rsidRDefault="00AE1F83">
      <w:pPr>
        <w:numPr>
          <w:ilvl w:val="0"/>
          <w:numId w:val="53"/>
        </w:numPr>
        <w:ind w:right="189" w:hanging="425"/>
      </w:pPr>
      <w:r>
        <w:t>Nordstrom-O’Brien M., van der Luijt R.B., van Rooijen E. et al. Genetic analysis of von Hippel−Lindau disease. Hum Mutat 2010;31:521–37.</w:t>
      </w:r>
    </w:p>
    <w:p w:rsidR="00C3791F" w:rsidRDefault="00AE1F83">
      <w:pPr>
        <w:numPr>
          <w:ilvl w:val="0"/>
          <w:numId w:val="53"/>
        </w:numPr>
        <w:ind w:right="189" w:hanging="425"/>
      </w:pPr>
      <w:r>
        <w:t>Béroud C., Joly D., Gallou C. et al. Software and database f</w:t>
      </w:r>
      <w:r>
        <w:t>or the analysis of mutations in the VHL gene. Nucleic Acids Res 1998;26:256–8.</w:t>
      </w:r>
    </w:p>
    <w:p w:rsidR="00C3791F" w:rsidRDefault="00AE1F83">
      <w:pPr>
        <w:ind w:left="851" w:right="189" w:hanging="425"/>
      </w:pPr>
      <w:r>
        <w:t>100.Hes F.J., van der Luijt R.B., Janssen A.L. et al. Frequency of Von Hippel–Lindau germline mutations in classic and non-classic Von Hippel–Lindau disease identified by DNA se</w:t>
      </w:r>
      <w:r>
        <w:t>quencing, southern blot analysis and multiplex ligation-dependent probe amplification. Clin Genet 2007;72:122–9.</w:t>
      </w:r>
    </w:p>
    <w:p w:rsidR="00C3791F" w:rsidRDefault="00AE1F83">
      <w:pPr>
        <w:ind w:left="851" w:right="189" w:hanging="425"/>
      </w:pPr>
      <w:r>
        <w:t>101.NCCN Clinical Practice Guidelines in Oncology (NCCN Guidelines) Kidney Cancer v.3.2022. November 4, 2021.</w:t>
      </w:r>
    </w:p>
    <w:p w:rsidR="00C3791F" w:rsidRDefault="00AE1F83">
      <w:pPr>
        <w:ind w:left="851" w:right="189" w:hanging="425"/>
      </w:pPr>
      <w:r>
        <w:t>102.</w:t>
      </w:r>
      <w:hyperlink r:id="rId200">
        <w:r>
          <w:t>Van Poppel H</w:t>
        </w:r>
      </w:hyperlink>
      <w:r>
        <w:t xml:space="preserve">., </w:t>
      </w:r>
      <w:hyperlink r:id="rId201">
        <w:r>
          <w:t>da Pozzo L</w:t>
        </w:r>
      </w:hyperlink>
      <w:r>
        <w:t xml:space="preserve">., </w:t>
      </w:r>
      <w:hyperlink r:id="rId202">
        <w:r>
          <w:t>Albrecht W</w:t>
        </w:r>
      </w:hyperlink>
      <w:r>
        <w:t>. A prospective, randomised EORTC intergroup phase 3 study comparing the oncologic outcome of elective nephron-sparing surgery and radica</w:t>
      </w:r>
      <w:r>
        <w:t xml:space="preserve">l nephrectomy for low-stage renal cell carcinoma. </w:t>
      </w:r>
      <w:hyperlink r:id="rId203">
        <w:r>
          <w:t>Eur Urol</w:t>
        </w:r>
      </w:hyperlink>
      <w:r>
        <w:t xml:space="preserve"> 2011;59(4):543−52. DOI: 10.1016/j.eururo.2010.12.013.</w:t>
      </w:r>
    </w:p>
    <w:p w:rsidR="00C3791F" w:rsidRDefault="00AE1F83">
      <w:pPr>
        <w:ind w:left="851" w:right="189" w:hanging="425"/>
      </w:pPr>
      <w:r>
        <w:t xml:space="preserve">103.Kunath F., Schmidt S., Krabbe L.M. Partial nephrectomy </w:t>
      </w:r>
      <w:r>
        <w:rPr>
          <w:i/>
        </w:rPr>
        <w:t>versus</w:t>
      </w:r>
      <w:r>
        <w:t xml:space="preserve"> radical nephrectomy for clinical localised renal masses. Cochrane Database Syst Rev 2017;5:CD012045. DOI: </w:t>
      </w:r>
    </w:p>
    <w:p w:rsidR="00C3791F" w:rsidRDefault="00AE1F83">
      <w:pPr>
        <w:spacing w:after="114" w:line="259" w:lineRule="auto"/>
        <w:ind w:left="861" w:right="189"/>
      </w:pPr>
      <w:r>
        <w:t>10.1002/14651858.CD012045.pub2.</w:t>
      </w:r>
    </w:p>
    <w:p w:rsidR="00C3791F" w:rsidRDefault="00AE1F83">
      <w:pPr>
        <w:ind w:left="851" w:right="189" w:hanging="425"/>
      </w:pPr>
      <w:r>
        <w:t>104.</w:t>
      </w:r>
      <w:hyperlink r:id="rId204">
        <w:r>
          <w:t>Forbes C.M</w:t>
        </w:r>
      </w:hyperlink>
      <w:r>
        <w:t xml:space="preserve">., </w:t>
      </w:r>
      <w:hyperlink r:id="rId205">
        <w:r>
          <w:t>Rendon R.A</w:t>
        </w:r>
      </w:hyperlink>
      <w:r>
        <w:t xml:space="preserve">., </w:t>
      </w:r>
      <w:hyperlink r:id="rId206">
        <w:r>
          <w:t>Finelli A</w:t>
        </w:r>
      </w:hyperlink>
      <w:r>
        <w:t xml:space="preserve">. Disease progression and kidney function after partial vs. radical nephrectomy for T1 renal cancer. </w:t>
      </w:r>
      <w:hyperlink r:id="rId207">
        <w:r>
          <w:t>Urol Oncol</w:t>
        </w:r>
      </w:hyperlink>
      <w:r>
        <w:t xml:space="preserve"> 2016;34(11):486.e17−23. DOI: </w:t>
      </w:r>
    </w:p>
    <w:p w:rsidR="00C3791F" w:rsidRDefault="00AE1F83">
      <w:pPr>
        <w:spacing w:after="114" w:line="259" w:lineRule="auto"/>
        <w:ind w:left="861" w:right="189"/>
      </w:pPr>
      <w:r>
        <w:t>10.1016/j.urolonc.2016.05.034.</w:t>
      </w:r>
    </w:p>
    <w:p w:rsidR="00C3791F" w:rsidRDefault="00AE1F83">
      <w:pPr>
        <w:ind w:left="851" w:right="189" w:hanging="425"/>
      </w:pPr>
      <w:r>
        <w:t>105.</w:t>
      </w:r>
      <w:hyperlink r:id="rId208">
        <w:r>
          <w:t>Mir M.C</w:t>
        </w:r>
      </w:hyperlink>
      <w:r>
        <w:t xml:space="preserve">., </w:t>
      </w:r>
      <w:hyperlink r:id="rId209">
        <w:r>
          <w:t>Derweesh I</w:t>
        </w:r>
      </w:hyperlink>
      <w:r>
        <w:t xml:space="preserve">., </w:t>
      </w:r>
      <w:hyperlink r:id="rId210">
        <w:r>
          <w:t>Porpiglia F</w:t>
        </w:r>
      </w:hyperlink>
      <w:r>
        <w:t xml:space="preserve">. Partial </w:t>
      </w:r>
      <w:r>
        <w:t xml:space="preserve">nephrectomy </w:t>
      </w:r>
      <w:r>
        <w:rPr>
          <w:i/>
        </w:rPr>
        <w:t>versus</w:t>
      </w:r>
      <w:r>
        <w:t xml:space="preserve"> radical nephrectomy for clinical t1b and t2 renal tumors: a systematic review and meta-analysis of comparative studies. </w:t>
      </w:r>
      <w:hyperlink r:id="rId211">
        <w:r>
          <w:t>Eur Urol</w:t>
        </w:r>
      </w:hyperlink>
      <w:r>
        <w:t xml:space="preserve"> 2017;71(4):606−17. DOI: 10.1016/j.eururo.201</w:t>
      </w:r>
      <w:r>
        <w:t>6.08.060.</w:t>
      </w:r>
    </w:p>
    <w:p w:rsidR="00C3791F" w:rsidRDefault="00AE1F83">
      <w:pPr>
        <w:ind w:left="851" w:right="189" w:hanging="425"/>
      </w:pPr>
      <w:r>
        <w:t>106.</w:t>
      </w:r>
      <w:hyperlink r:id="rId212" w:anchor="auth-1">
        <w:r>
          <w:t>Yu-Li J.</w:t>
        </w:r>
      </w:hyperlink>
      <w:r>
        <w:t xml:space="preserve">, </w:t>
      </w:r>
      <w:hyperlink r:id="rId213" w:anchor="auth-2">
        <w:r>
          <w:t>Cheng-Xia P.</w:t>
        </w:r>
      </w:hyperlink>
      <w:r>
        <w:t xml:space="preserve">, </w:t>
      </w:r>
      <w:hyperlink r:id="rId214" w:anchor="auth-3">
        <w:r>
          <w:t xml:space="preserve">Heng-Zi W., Lu-Jie Q. </w:t>
        </w:r>
      </w:hyperlink>
      <w:r>
        <w:t>Comparison of the long-term follow-up and perioperative outcomes of partial nephrectomy and radical nephrectomy for 4 cm to 7 cm renal cell carcinoma: a</w:t>
      </w:r>
      <w:r>
        <w:t xml:space="preserve"> systematic review and meta-analysis. BMC Urol 2019;19(48). DOI: </w:t>
      </w:r>
    </w:p>
    <w:p w:rsidR="00C3791F" w:rsidRDefault="00AE1F83">
      <w:pPr>
        <w:ind w:left="861" w:right="189"/>
      </w:pPr>
      <w:r>
        <w:t>10.1186/s12894-019-0480-6.</w:t>
      </w:r>
      <w:r>
        <w:tab/>
        <w:t xml:space="preserve"> </w:t>
      </w:r>
      <w:r>
        <w:tab/>
        <w:t>Available</w:t>
      </w:r>
      <w:r>
        <w:tab/>
        <w:t xml:space="preserve"> </w:t>
      </w:r>
      <w:r>
        <w:tab/>
        <w:t xml:space="preserve">at: </w:t>
      </w:r>
      <w:hyperlink r:id="rId215">
        <w:r>
          <w:t>https://bmcurol.biomedcentral.com/articles/10.1186/s12894</w:t>
        </w:r>
        <w:r>
          <w:t>-019-0480-6</w:t>
        </w:r>
      </w:hyperlink>
      <w:r>
        <w:t>.</w:t>
      </w:r>
    </w:p>
    <w:p w:rsidR="00C3791F" w:rsidRDefault="00AE1F83">
      <w:pPr>
        <w:ind w:left="851" w:right="189" w:hanging="425"/>
      </w:pPr>
      <w:r>
        <w:t>107.Gill I.S., Kavoussi L.R., Lane B.R. Comparison of 1,800 laparoscopic and open partial nephrectomies for single renal tumors. J Urol 2007;178:41–6.</w:t>
      </w:r>
    </w:p>
    <w:p w:rsidR="00C3791F" w:rsidRDefault="00AE1F83">
      <w:pPr>
        <w:ind w:left="851" w:right="189" w:hanging="425"/>
      </w:pPr>
      <w:r>
        <w:t>108.Bhosale P.R., Wei W., Ernst R.D. et al. Intraoperative sonography during open partial ne</w:t>
      </w:r>
      <w:r>
        <w:t>phrectomy for renal cell cancer: does it alter surgical management? Am J Roentgenol 2014;203(4):822–7.</w:t>
      </w:r>
    </w:p>
    <w:p w:rsidR="00C3791F" w:rsidRDefault="00AE1F83">
      <w:pPr>
        <w:ind w:left="851" w:right="189" w:hanging="425"/>
      </w:pPr>
      <w:r>
        <w:t>109.Polascik T.J., Menq M.V., Epstein J.L. et al. Intraoperative sonography for the evaluation and management of renal tumors: experience with 100 patien</w:t>
      </w:r>
      <w:r>
        <w:t>ts. J Urol 1995;154(5):1676– 80.</w:t>
      </w:r>
    </w:p>
    <w:p w:rsidR="00C3791F" w:rsidRDefault="00AE1F83">
      <w:pPr>
        <w:ind w:left="851" w:right="189" w:hanging="425"/>
      </w:pPr>
      <w:r>
        <w:t>110.Polascik T.J., Pound C.R., Menq M.V. et al. Partial nephrectomy: technique complications and pathological findings. J Urol 1995;154(4):1312–8.</w:t>
      </w:r>
    </w:p>
    <w:p w:rsidR="00C3791F" w:rsidRDefault="00AE1F83">
      <w:pPr>
        <w:ind w:left="851" w:right="189" w:hanging="425"/>
      </w:pPr>
      <w:r>
        <w:t>111.Abreu A.L., Finelli A., Gill I.S. Management of localized renal cell car</w:t>
      </w:r>
      <w:r>
        <w:t>cinoma. Comprehensive textbook of genitourinary oncology. N.J. Vogelzang 3rd ed. LWW, 2006. P. 725−65.</w:t>
      </w:r>
    </w:p>
    <w:p w:rsidR="00C3791F" w:rsidRDefault="00AE1F83">
      <w:pPr>
        <w:ind w:left="851" w:right="189" w:hanging="425"/>
      </w:pPr>
      <w:r>
        <w:t>112.Lane B.R., Tiong H.Y., Campbell S.C. Management of the adrenal gland during partial nephrectomy. J Urol 2009;181:2430−6.</w:t>
      </w:r>
    </w:p>
    <w:p w:rsidR="00C3791F" w:rsidRDefault="00AE1F83">
      <w:pPr>
        <w:ind w:left="851" w:right="189" w:hanging="425"/>
      </w:pPr>
      <w:r>
        <w:t xml:space="preserve">113.Weight C.G., </w:t>
      </w:r>
      <w:hyperlink r:id="rId216">
        <w:r>
          <w:t>Kim</w:t>
        </w:r>
      </w:hyperlink>
      <w:r>
        <w:t xml:space="preserve"> S.P., </w:t>
      </w:r>
      <w:hyperlink r:id="rId217">
        <w:r>
          <w:t>Lohse</w:t>
        </w:r>
      </w:hyperlink>
      <w:r>
        <w:t xml:space="preserve"> C.M. Routine adrenale</w:t>
      </w:r>
      <w:r>
        <w:t xml:space="preserve">ctomy in patients with locally advanced renal cell cancer does not offer oncologic benefit and places a significant portion of patients at risk for an asynchronous metastasis in a solitary adrenal gland. </w:t>
      </w:r>
      <w:hyperlink r:id="rId218">
        <w:r>
          <w:t>Eur Urol</w:t>
        </w:r>
      </w:hyperlink>
      <w:r>
        <w:t xml:space="preserve"> 2011;60:458−64.</w:t>
      </w:r>
    </w:p>
    <w:p w:rsidR="00C3791F" w:rsidRDefault="00AE1F83">
      <w:pPr>
        <w:ind w:left="851" w:right="189" w:hanging="425"/>
      </w:pPr>
      <w:r>
        <w:t>114.Blom J.H.M., van Poppel H., Maréchal J.M. Radical nephrectomy with and without lymphnode dissection: final results of European Organization for Research and Treatment of Cancer (EORTC) randomized phase 3 trial 30881.</w:t>
      </w:r>
      <w:r>
        <w:t xml:space="preserve"> Eur Urol 2009;55:28–34.</w:t>
      </w:r>
    </w:p>
    <w:p w:rsidR="00C3791F" w:rsidRDefault="00AE1F83">
      <w:pPr>
        <w:ind w:left="851" w:right="189" w:hanging="425"/>
      </w:pPr>
      <w:r>
        <w:t>115.Gratzke C., Seitz M., Bayrle F. Quality of life and perioperative outcomes after retroperitoneoscopic radical nephrectomy (RN), open RN and nephron-sparing surgery in patients with renal cell carcinoma. BJU Int 2009;104:470−5.</w:t>
      </w:r>
    </w:p>
    <w:p w:rsidR="00C3791F" w:rsidRDefault="00AE1F83">
      <w:pPr>
        <w:ind w:left="851" w:right="189" w:hanging="425"/>
      </w:pPr>
      <w:r>
        <w:t xml:space="preserve">116.Hemal A.K., Kumar A., Kumar R. Laparoscopic </w:t>
      </w:r>
      <w:r>
        <w:rPr>
          <w:i/>
        </w:rPr>
        <w:t>versus</w:t>
      </w:r>
      <w:r>
        <w:t xml:space="preserve"> open radical nephrectomy for large renal tumors: a long-term prospective comparison. J Urol 2007;177:862−6.</w:t>
      </w:r>
    </w:p>
    <w:p w:rsidR="00C3791F" w:rsidRDefault="00AE1F83">
      <w:pPr>
        <w:spacing w:after="114" w:line="259" w:lineRule="auto"/>
        <w:ind w:left="436" w:right="189"/>
      </w:pPr>
      <w:r>
        <w:t>117.</w:t>
      </w:r>
      <w:hyperlink r:id="rId219">
        <w:r>
          <w:t>Wag</w:t>
        </w:r>
        <w:r>
          <w:t>ner</w:t>
        </w:r>
      </w:hyperlink>
      <w:r>
        <w:t xml:space="preserve"> B.,</w:t>
      </w:r>
      <w:hyperlink r:id="rId220">
        <w:r>
          <w:t xml:space="preserve"> Patard</w:t>
        </w:r>
      </w:hyperlink>
      <w:r>
        <w:t xml:space="preserve"> J.J.,</w:t>
      </w:r>
      <w:hyperlink r:id="rId221">
        <w:r>
          <w:t xml:space="preserve"> Méjean</w:t>
        </w:r>
      </w:hyperlink>
      <w:r>
        <w:t xml:space="preserve"> A. Prognostic value of renal vein and inferior vena cava involvement in renal cell carcinoma. </w:t>
      </w:r>
      <w:hyperlink r:id="rId222">
        <w:r>
          <w:t>Eur Urol</w:t>
        </w:r>
      </w:hyperlink>
      <w:r>
        <w:t xml:space="preserve"> 2009;</w:t>
      </w:r>
      <w:hyperlink r:id="rId223">
        <w:r>
          <w:t>55:</w:t>
        </w:r>
      </w:hyperlink>
      <w:r>
        <w:t>452–60.</w:t>
      </w:r>
    </w:p>
    <w:p w:rsidR="00C3791F" w:rsidRDefault="00AE1F83">
      <w:pPr>
        <w:ind w:left="851" w:right="189" w:hanging="425"/>
      </w:pPr>
      <w:r>
        <w:t>118.</w:t>
      </w:r>
      <w:hyperlink r:id="rId224">
        <w:r>
          <w:t>Shuch B</w:t>
        </w:r>
      </w:hyperlink>
      <w:r>
        <w:t xml:space="preserve">., </w:t>
      </w:r>
      <w:hyperlink r:id="rId225">
        <w:r>
          <w:t>Crispen P.L</w:t>
        </w:r>
      </w:hyperlink>
      <w:r>
        <w:t xml:space="preserve">., </w:t>
      </w:r>
      <w:hyperlink r:id="rId226">
        <w:r>
          <w:t>Leibovich B.C</w:t>
        </w:r>
      </w:hyperlink>
      <w:r>
        <w:t xml:space="preserve">. et al. Cardiopulmonary bypass and renal cell carcinoma with level IV tumour thrombus: can deep </w:t>
      </w:r>
      <w:r>
        <w:t xml:space="preserve">hypothermic circulatory arrest limit perioperative mortality? </w:t>
      </w:r>
      <w:hyperlink r:id="rId227">
        <w:r>
          <w:t xml:space="preserve">BJU Int </w:t>
        </w:r>
      </w:hyperlink>
      <w:r>
        <w:t>2011;107(5):724−8. DOI: 10.1111/j.1464410X.2010.09488.x.</w:t>
      </w:r>
    </w:p>
    <w:p w:rsidR="00C3791F" w:rsidRDefault="00AE1F83">
      <w:pPr>
        <w:ind w:left="851" w:right="189" w:hanging="425"/>
      </w:pPr>
      <w:r>
        <w:t>119.</w:t>
      </w:r>
      <w:hyperlink r:id="rId228">
        <w:r>
          <w:t>Massari F</w:t>
        </w:r>
      </w:hyperlink>
      <w:r>
        <w:t xml:space="preserve">., </w:t>
      </w:r>
      <w:hyperlink r:id="rId229">
        <w:r>
          <w:t>Di Nunno V</w:t>
        </w:r>
      </w:hyperlink>
      <w:r>
        <w:t xml:space="preserve">., </w:t>
      </w:r>
      <w:hyperlink r:id="rId230">
        <w:r>
          <w:t>Gatto L</w:t>
        </w:r>
      </w:hyperlink>
      <w:r>
        <w:t>. et al. Should CARMENA really change our attitude towards cytoreductive nephrectomy in metastatic renal cell carcinoma? A systematic review and meta-analysis evaluating cytoreductive</w:t>
      </w:r>
      <w:r>
        <w:t xml:space="preserve"> nephrectomy in the era of targeted therapy. </w:t>
      </w:r>
      <w:hyperlink r:id="rId231">
        <w:r>
          <w:t>Target Oncol</w:t>
        </w:r>
      </w:hyperlink>
      <w:r>
        <w:t xml:space="preserve"> 2018;13(6):705−14. DOI: 10.1007/s11523-018-0601-2.</w:t>
      </w:r>
    </w:p>
    <w:p w:rsidR="00C3791F" w:rsidRDefault="00AE1F83">
      <w:pPr>
        <w:ind w:left="851" w:right="189" w:hanging="425"/>
      </w:pPr>
      <w:r>
        <w:t>120.</w:t>
      </w:r>
      <w:hyperlink r:id="rId232">
        <w:r>
          <w:t>García-Perdomo H.A</w:t>
        </w:r>
      </w:hyperlink>
      <w:r>
        <w:t xml:space="preserve">., </w:t>
      </w:r>
      <w:hyperlink r:id="rId233">
        <w:r>
          <w:t>Zapata-Copete J.A</w:t>
        </w:r>
      </w:hyperlink>
      <w:r>
        <w:t xml:space="preserve">., </w:t>
      </w:r>
      <w:hyperlink r:id="rId234">
        <w:r>
          <w:t>Castillo-Cobaleda D.F</w:t>
        </w:r>
      </w:hyperlink>
      <w:r>
        <w:t>. Role of cytoreductive nephrectomy in the targeted therapy era: A systematic review and meta-analysis. Investig Clin Urol 2018;59(1):2−9. DO</w:t>
      </w:r>
      <w:r>
        <w:t>I: 10.4111/icu.2018.59.1.2.</w:t>
      </w:r>
    </w:p>
    <w:p w:rsidR="00C3791F" w:rsidRDefault="00AE1F83">
      <w:pPr>
        <w:ind w:left="851" w:right="189" w:hanging="425"/>
      </w:pPr>
      <w:r>
        <w:t>121.</w:t>
      </w:r>
      <w:hyperlink r:id="rId235">
        <w:r>
          <w:t>Petrelli F</w:t>
        </w:r>
      </w:hyperlink>
      <w:r>
        <w:t xml:space="preserve">., </w:t>
      </w:r>
      <w:hyperlink r:id="rId236">
        <w:r>
          <w:t>Coinu A</w:t>
        </w:r>
      </w:hyperlink>
      <w:r>
        <w:t xml:space="preserve">., </w:t>
      </w:r>
      <w:hyperlink r:id="rId237">
        <w:r>
          <w:t>Vavassori I</w:t>
        </w:r>
      </w:hyperlink>
      <w:r>
        <w:t>. et al. Cytoreductive nephrectomy in metastatic renal cell carcinoma treated with targe</w:t>
      </w:r>
      <w:r>
        <w:t xml:space="preserve">ted therapies: a systematic review with a meta-analysis. </w:t>
      </w:r>
      <w:hyperlink r:id="rId238">
        <w:r>
          <w:t>Clin</w:t>
        </w:r>
      </w:hyperlink>
      <w:r>
        <w:t xml:space="preserve"> </w:t>
      </w:r>
      <w:hyperlink r:id="rId239">
        <w:r>
          <w:t>Genitourin Cancer</w:t>
        </w:r>
      </w:hyperlink>
      <w:r>
        <w:t xml:space="preserve"> 2016;14(6):465−72. DOI: 10.1016/j.clgc.2016.04.0</w:t>
      </w:r>
      <w:r>
        <w:t>01.</w:t>
      </w:r>
    </w:p>
    <w:p w:rsidR="00C3791F" w:rsidRDefault="00AE1F83">
      <w:pPr>
        <w:ind w:left="851" w:right="189" w:hanging="425"/>
      </w:pPr>
      <w:r>
        <w:t>122.Flanigan R.C., Salmon S.E., Blumenstein B.A. et al. Nephrectomy followed by interferon alfa-2b compared with interferon alfa-2b alone for metastatic renal-cell cancer. N Engl J Med 2001;345:1655–9.</w:t>
      </w:r>
    </w:p>
    <w:p w:rsidR="00C3791F" w:rsidRDefault="00AE1F83">
      <w:pPr>
        <w:ind w:left="851" w:right="189" w:hanging="425"/>
      </w:pPr>
      <w:r>
        <w:t>123.</w:t>
      </w:r>
      <w:r>
        <w:t>Mickisch G.H., Garin A., van Poppel H. et al. European Organisation for Research and Treatment of Cancer (EORTC) genitourinary group radical nephrectomy plus interferonalfa-based immunotherapy compared with interferon alfa alone in metastatic renal-cell ca</w:t>
      </w:r>
      <w:r>
        <w:t>rcinoma: a randomised trial. Lancet 2001;358:966–70.</w:t>
      </w:r>
    </w:p>
    <w:p w:rsidR="00C3791F" w:rsidRDefault="00AE1F83">
      <w:pPr>
        <w:ind w:left="851" w:right="189" w:hanging="425"/>
      </w:pPr>
      <w:r>
        <w:t>124.</w:t>
      </w:r>
      <w:hyperlink r:id="rId240">
        <w:r>
          <w:t>Hanna N</w:t>
        </w:r>
      </w:hyperlink>
      <w:r>
        <w:t xml:space="preserve">., </w:t>
      </w:r>
      <w:hyperlink r:id="rId241">
        <w:r>
          <w:t>Sun M</w:t>
        </w:r>
      </w:hyperlink>
      <w:r>
        <w:t xml:space="preserve">., </w:t>
      </w:r>
      <w:hyperlink r:id="rId242">
        <w:r>
          <w:t>Meyer C.P</w:t>
        </w:r>
      </w:hyperlink>
      <w:r>
        <w:t xml:space="preserve">. et al. Survival analyses of patients with metastatic renal </w:t>
      </w:r>
      <w:r>
        <w:t xml:space="preserve">cancer treated with targeted therapy with or without cytoreductive nephrectomy: a national cancer data base study. </w:t>
      </w:r>
      <w:hyperlink r:id="rId243">
        <w:r>
          <w:t>J Clin Oncol</w:t>
        </w:r>
      </w:hyperlink>
      <w:r>
        <w:t xml:space="preserve"> 2016;34(27):3267−75.</w:t>
      </w:r>
    </w:p>
    <w:p w:rsidR="00C3791F" w:rsidRDefault="00AE1F83">
      <w:pPr>
        <w:ind w:left="851" w:right="189" w:hanging="425"/>
      </w:pPr>
      <w:r>
        <w:t>125.</w:t>
      </w:r>
      <w:hyperlink r:id="rId244">
        <w:r>
          <w:t>Heng D.Y</w:t>
        </w:r>
      </w:hyperlink>
      <w:r>
        <w:t xml:space="preserve">., </w:t>
      </w:r>
      <w:hyperlink r:id="rId245">
        <w:r>
          <w:t>Wells J.C</w:t>
        </w:r>
      </w:hyperlink>
      <w:r>
        <w:t xml:space="preserve">., </w:t>
      </w:r>
      <w:hyperlink r:id="rId246">
        <w:r>
          <w:t>Rini B</w:t>
        </w:r>
      </w:hyperlink>
      <w:r>
        <w:t>. et al. Cytoreductive nephrectomy in patients with synchronous metastases from renal cell carcinoma: results from the International Metastatic Renal Cell Carcinoma Datab</w:t>
      </w:r>
      <w:r>
        <w:t xml:space="preserve">ase Consortium. </w:t>
      </w:r>
      <w:hyperlink r:id="rId247">
        <w:r>
          <w:t>Eur Urol</w:t>
        </w:r>
      </w:hyperlink>
      <w:r>
        <w:t xml:space="preserve"> 2014;66(4):704−10.</w:t>
      </w:r>
    </w:p>
    <w:p w:rsidR="00C3791F" w:rsidRDefault="00AE1F83">
      <w:pPr>
        <w:ind w:left="851" w:right="189" w:hanging="425"/>
      </w:pPr>
      <w:r>
        <w:t>126.Méjean A., Ravaud A., Thezenas S. et al. Sunitinib alone or after nephrectomy in metastatic renal-cell carcinoma. N Engl J Med 2018;379:417−27.</w:t>
      </w:r>
    </w:p>
    <w:p w:rsidR="00C3791F" w:rsidRDefault="00AE1F83">
      <w:pPr>
        <w:ind w:left="851" w:right="189" w:hanging="425"/>
      </w:pPr>
      <w:r>
        <w:t>127.</w:t>
      </w:r>
      <w:hyperlink r:id="rId248">
        <w:r>
          <w:t>Bex A</w:t>
        </w:r>
      </w:hyperlink>
      <w:r>
        <w:t xml:space="preserve">., </w:t>
      </w:r>
      <w:hyperlink r:id="rId249">
        <w:r>
          <w:t>Mulders P</w:t>
        </w:r>
      </w:hyperlink>
      <w:r>
        <w:t>.</w:t>
      </w:r>
      <w:r>
        <w:t xml:space="preserve">, </w:t>
      </w:r>
      <w:hyperlink r:id="rId250">
        <w:r>
          <w:t>Jewett M</w:t>
        </w:r>
      </w:hyperlink>
      <w:r>
        <w:t>. Comparison of immediate vs deferred cytoreductive nephrectomy in patients with synchronous metastatic renal cell carcinoma rec</w:t>
      </w:r>
      <w:r>
        <w:t xml:space="preserve">eiving sunitinib: the SURTIME Randomized Clinical Trial. </w:t>
      </w:r>
      <w:hyperlink r:id="rId251">
        <w:r>
          <w:t>JAMA Oncol</w:t>
        </w:r>
      </w:hyperlink>
      <w:r>
        <w:t xml:space="preserve"> 2019;5(2):164−70.</w:t>
      </w:r>
    </w:p>
    <w:p w:rsidR="00C3791F" w:rsidRDefault="00AE1F83">
      <w:pPr>
        <w:spacing w:after="114" w:line="259" w:lineRule="auto"/>
        <w:ind w:left="861" w:right="189"/>
      </w:pPr>
      <w:r>
        <w:t>DOI: 10.1001/jamaoncol.2018.5543.</w:t>
      </w:r>
    </w:p>
    <w:p w:rsidR="00C3791F" w:rsidRDefault="00AE1F83">
      <w:pPr>
        <w:ind w:left="851" w:right="189" w:hanging="425"/>
      </w:pPr>
      <w:r>
        <w:t>128.Волкова М.И. Взгляд онкоуролога на исследование CARMENA. Злокачестве</w:t>
      </w:r>
      <w:r>
        <w:t>нные опухоли 2018;8(4):26−9.</w:t>
      </w:r>
    </w:p>
    <w:p w:rsidR="00C3791F" w:rsidRDefault="00AE1F83">
      <w:pPr>
        <w:ind w:left="851" w:right="189" w:hanging="425"/>
      </w:pPr>
      <w:r>
        <w:t>129.Barbastefano J., Garcia J.A., Elson P. et al. Association of percentage of tumour burden removed with debulking nephrectomy and progression‐free survival in patients with metastatic renal cell carcinoma treated with vascula</w:t>
      </w:r>
      <w:r>
        <w:t>r endothelial growth factor‐targeted therapy. BJU Int 2010;106(9):1266−9.</w:t>
      </w:r>
    </w:p>
    <w:p w:rsidR="00C3791F" w:rsidRDefault="00AE1F83">
      <w:pPr>
        <w:spacing w:after="114" w:line="259" w:lineRule="auto"/>
        <w:ind w:left="436" w:right="189"/>
      </w:pPr>
      <w:r>
        <w:t>130.Матвеев В.Б., Волкова М.И. Рак почки. РМЖ 2007;14:1094–9.</w:t>
      </w:r>
    </w:p>
    <w:p w:rsidR="00C3791F" w:rsidRDefault="00AE1F83">
      <w:pPr>
        <w:ind w:left="851" w:right="189" w:hanging="425"/>
      </w:pPr>
      <w:r>
        <w:t>131.Alt A.L., Boorjian S.A., Lohse C.M. et al. Survival after complete surgical resection of multiple metastases from re</w:t>
      </w:r>
      <w:r>
        <w:t>nal cell carcinoma. Cancer 2011;117:2873–82.</w:t>
      </w:r>
    </w:p>
    <w:p w:rsidR="00C3791F" w:rsidRDefault="00AE1F83">
      <w:pPr>
        <w:ind w:left="851" w:right="189" w:hanging="425"/>
      </w:pPr>
      <w:r>
        <w:t>132.Petralia G., Roscigno M., Zigeuner R. et al. 450 complete metastasectomy is an independent predictor of cancer-specific survival in patients with clinically metastatic renal cell carcinoma. Eur Urol 2010;9(2</w:t>
      </w:r>
      <w:r>
        <w:t>):162.</w:t>
      </w:r>
    </w:p>
    <w:p w:rsidR="00C3791F" w:rsidRDefault="00AE1F83">
      <w:pPr>
        <w:ind w:left="851" w:right="189" w:hanging="425"/>
      </w:pPr>
      <w:r>
        <w:t>133.Dabestani S., Marconi L., Hofmann F. et al. Local treatments for metastases of renal cell carcinoma: a systematic review. Lancet Oncol 2014;15(12):e549−61.</w:t>
      </w:r>
    </w:p>
    <w:p w:rsidR="00C3791F" w:rsidRDefault="00AE1F83">
      <w:pPr>
        <w:ind w:left="851" w:right="189" w:hanging="425"/>
      </w:pPr>
      <w:r>
        <w:t>134.Ouzaid I., Capitanio U., Staehler M. Surgical metastasectomy in renal cell carcinoma:</w:t>
      </w:r>
      <w:r>
        <w:t xml:space="preserve"> a systematic review. </w:t>
      </w:r>
      <w:hyperlink r:id="rId252">
        <w:r>
          <w:t>Eur Urol Oncol</w:t>
        </w:r>
      </w:hyperlink>
      <w:r>
        <w:t xml:space="preserve"> 2019;2(2):141–9.</w:t>
      </w:r>
    </w:p>
    <w:p w:rsidR="00C3791F" w:rsidRDefault="00AE1F83">
      <w:pPr>
        <w:ind w:left="851" w:right="189" w:hanging="425"/>
      </w:pPr>
      <w:r>
        <w:t>135.Tomberg S.V., Visapaa H., Kilpelainen T.P. et al. Surgery for metastases of renal cell carcinoma: outcome of treatments and preliminar</w:t>
      </w:r>
      <w:r>
        <w:t>y assessment of Leuven–Udine prognostic groups in the targeted therapy era. Scand J Urol 2018:52(5-6):419–26.</w:t>
      </w:r>
    </w:p>
    <w:p w:rsidR="00C3791F" w:rsidRDefault="00AE1F83">
      <w:pPr>
        <w:ind w:left="851" w:right="189" w:hanging="425"/>
      </w:pPr>
      <w:r>
        <w:t>136.Guo Q., Zhang C., Guo X. et al. Incidence of bone metastasis and factors contributing to its development and prognosis in newly diagnosed rena</w:t>
      </w:r>
      <w:r>
        <w:t>l cell carcinoma: a population-based study. Cancer Manag Res 2018;10:2935–44. DOI: 10.2147/CMAR.S170083.</w:t>
      </w:r>
    </w:p>
    <w:p w:rsidR="00C3791F" w:rsidRDefault="00AE1F83">
      <w:pPr>
        <w:ind w:left="851" w:right="189" w:hanging="425"/>
      </w:pPr>
      <w:r>
        <w:t>137.</w:t>
      </w:r>
      <w:hyperlink r:id="rId253">
        <w:r>
          <w:t>Stenman M</w:t>
        </w:r>
      </w:hyperlink>
      <w:r>
        <w:t xml:space="preserve">., </w:t>
      </w:r>
      <w:hyperlink r:id="rId254">
        <w:r>
          <w:t>Sinclair G</w:t>
        </w:r>
      </w:hyperlink>
      <w:r>
        <w:t xml:space="preserve">., </w:t>
      </w:r>
      <w:hyperlink r:id="rId255">
        <w:r>
          <w:t>Paavola P</w:t>
        </w:r>
      </w:hyperlink>
      <w:r>
        <w:t>. et al. Ov</w:t>
      </w:r>
      <w:r>
        <w:t>erall survival after stereotactic radiotherapy or surgical metastasectomy in oligometastatic renal cell carcinoma patients treated at two Swedish centres 2005–2014. Radiother Oncol 2018;127(3):501–6.</w:t>
      </w:r>
    </w:p>
    <w:p w:rsidR="00C3791F" w:rsidRDefault="00AE1F83">
      <w:pPr>
        <w:ind w:left="851" w:right="189" w:hanging="425"/>
      </w:pPr>
      <w:r>
        <w:t>138.</w:t>
      </w:r>
      <w:hyperlink r:id="rId256">
        <w:r>
          <w:t>Pierorazio P.M</w:t>
        </w:r>
      </w:hyperlink>
      <w:r>
        <w:t xml:space="preserve">., </w:t>
      </w:r>
      <w:hyperlink r:id="rId257">
        <w:r>
          <w:t>Johnson M.H</w:t>
        </w:r>
      </w:hyperlink>
      <w:r>
        <w:t xml:space="preserve">., </w:t>
      </w:r>
      <w:hyperlink r:id="rId258">
        <w:r>
          <w:t>Patel H.D</w:t>
        </w:r>
      </w:hyperlink>
      <w:r>
        <w:t xml:space="preserve">. et al. Management of renal masses and localized renal cancer: systematic review and meta-analysis. </w:t>
      </w:r>
      <w:hyperlink r:id="rId259">
        <w:r>
          <w:t>J Urol</w:t>
        </w:r>
      </w:hyperlink>
      <w:r>
        <w:t xml:space="preserve"> 2016;196(4):989−99. DOI: 10.1016/j.juro.2016.04.081.</w:t>
      </w:r>
    </w:p>
    <w:p w:rsidR="00C3791F" w:rsidRDefault="00AE1F83">
      <w:pPr>
        <w:ind w:left="851" w:right="189" w:hanging="425"/>
      </w:pPr>
      <w:r>
        <w:t>139.</w:t>
      </w:r>
      <w:hyperlink r:id="rId260">
        <w:r>
          <w:t>Guo R.Q</w:t>
        </w:r>
      </w:hyperlink>
      <w:r>
        <w:t xml:space="preserve">., </w:t>
      </w:r>
      <w:hyperlink r:id="rId261">
        <w:r>
          <w:t>Li X.G</w:t>
        </w:r>
      </w:hyperlink>
      <w:r>
        <w:t>. Comparison of survival benefits of nephron-sparing intervention or active surveillance for patients with localized renal masses: a system</w:t>
      </w:r>
      <w:r>
        <w:t xml:space="preserve">atic review and metaanalysis. </w:t>
      </w:r>
      <w:hyperlink r:id="rId262">
        <w:r>
          <w:t>BMC Urol</w:t>
        </w:r>
      </w:hyperlink>
      <w:r>
        <w:t xml:space="preserve"> 2019;19(1):74. DOI: 10.1186/s12894-019-0503-3.</w:t>
      </w:r>
    </w:p>
    <w:p w:rsidR="00C3791F" w:rsidRDefault="00AE1F83">
      <w:pPr>
        <w:ind w:left="436" w:right="189"/>
      </w:pPr>
      <w:r>
        <w:t>140.Sun M., Bianchi M., Trinh Q.D. et al. Comparison of partial vs radical nephrectomy with regard to othe</w:t>
      </w:r>
      <w:r>
        <w:t>r-cause mortality in T1 renal cell carcinoma among patients aged ≥75 years with multiple comorbidities. BJU Int 2013;111:67−73.</w:t>
      </w:r>
    </w:p>
    <w:p w:rsidR="00C3791F" w:rsidRDefault="00AE1F83">
      <w:pPr>
        <w:ind w:left="851" w:right="189" w:hanging="425"/>
      </w:pPr>
      <w:r>
        <w:t>141.Zini L., Perrotte P., Jeldres C. et al. A population-based comparison of survival after nephrectomy vs nonsurgical managemen</w:t>
      </w:r>
      <w:r>
        <w:t>t for small renal masses. BJU Int 2009;103:899– 904.</w:t>
      </w:r>
    </w:p>
    <w:p w:rsidR="00C3791F" w:rsidRDefault="00AE1F83">
      <w:pPr>
        <w:ind w:left="851" w:right="189" w:hanging="425"/>
      </w:pPr>
      <w:r>
        <w:t>142.Sun M., Becker A., Tian Z. et al. Management of localized kidney cancer: calculating cancer-specific mortality and competing-risks of death tradeoffs between surgery and active surveillance. J Urol 2</w:t>
      </w:r>
      <w:r>
        <w:t>013;189:e672. DOI: 10.1016/j.juro.2013.02.3100.</w:t>
      </w:r>
    </w:p>
    <w:p w:rsidR="00C3791F" w:rsidRDefault="00AE1F83">
      <w:pPr>
        <w:ind w:left="851" w:right="189" w:hanging="425"/>
      </w:pPr>
      <w:r>
        <w:t>143.Huang W.C., Pinheiro L.C., Russo P. et al. Surveillance for the management of small renal masses: outcomes in a population-based cohort. J Urol 2013;31(6_suppl):343. DOI: 10.1200/jco.2013.31.6_suppl.343.</w:t>
      </w:r>
    </w:p>
    <w:p w:rsidR="00C3791F" w:rsidRDefault="00AE1F83">
      <w:pPr>
        <w:ind w:left="851" w:right="189" w:hanging="425"/>
      </w:pPr>
      <w:r>
        <w:t>144.Hyams E.S., Pierorazio P.M., Mullins J.K. et al. Partial nephrectomy vs non-surgical management for small renal masses: a population-based comparison of disease-specific and overall survival. J Urol 2012;187:e678.</w:t>
      </w:r>
    </w:p>
    <w:p w:rsidR="00C3791F" w:rsidRDefault="00AE1F83">
      <w:pPr>
        <w:ind w:left="851" w:right="189" w:hanging="425"/>
      </w:pPr>
      <w:r>
        <w:t>145.</w:t>
      </w:r>
      <w:r>
        <w:t xml:space="preserve">Pierorazio P., McKiernan J., Allaf M. et al. Quality of life on active surveillance for small masses </w:t>
      </w:r>
      <w:r>
        <w:rPr>
          <w:i/>
        </w:rPr>
        <w:t>versus</w:t>
      </w:r>
      <w:r>
        <w:t xml:space="preserve"> immediate intervention: interim analysis of the DISSRM (delayed intervention and surveillance for small renal masses) registry. J Urol 2013;189:e259</w:t>
      </w:r>
      <w:r>
        <w:t>. DOI: 10.1016/j.juro.2013.02.185.</w:t>
      </w:r>
    </w:p>
    <w:p w:rsidR="00C3791F" w:rsidRDefault="00AE1F83">
      <w:pPr>
        <w:ind w:left="851" w:right="189" w:hanging="425"/>
      </w:pPr>
      <w:r>
        <w:t>146.Herrera-Caceres J.O., Jewett M.A.S. Roles for active surveillance in renal cancer. Curr Opin Urol 2018;28(4):375–82. DOI: 10.1097/mou.0000000000000506.</w:t>
      </w:r>
    </w:p>
    <w:p w:rsidR="00C3791F" w:rsidRDefault="00AE1F83">
      <w:pPr>
        <w:ind w:left="851" w:right="189" w:hanging="425"/>
      </w:pPr>
      <w:r>
        <w:t xml:space="preserve">147.Rivero J.R., de La Cerda J. 3rd et al. Partial nephrectomy </w:t>
      </w:r>
      <w:r>
        <w:rPr>
          <w:i/>
        </w:rPr>
        <w:t>ve</w:t>
      </w:r>
      <w:r>
        <w:rPr>
          <w:i/>
        </w:rPr>
        <w:t>rsus</w:t>
      </w:r>
      <w:r>
        <w:t xml:space="preserve"> thermal ablation for clinical stage t1 renal masses: systematic review and meta-analysis of more than 3,900 patients. J Vasc Interv Radiol 2018; 29(1):18−29.</w:t>
      </w:r>
    </w:p>
    <w:p w:rsidR="00C3791F" w:rsidRDefault="00AE1F83">
      <w:pPr>
        <w:ind w:left="851" w:right="189" w:hanging="425"/>
      </w:pPr>
      <w:r>
        <w:t xml:space="preserve">148.Pan X.W., Cui X.M., Huang H. et al. Radiofrequency ablation </w:t>
      </w:r>
      <w:r>
        <w:rPr>
          <w:i/>
        </w:rPr>
        <w:t>versus</w:t>
      </w:r>
      <w:r>
        <w:t xml:space="preserve"> partial nephrectomy fo</w:t>
      </w:r>
      <w:r>
        <w:t>r treatment of renal masses: a systematic review and meta-analysis. Kaohsiung J Med Sci 2015;31:649−58.</w:t>
      </w:r>
    </w:p>
    <w:p w:rsidR="00C3791F" w:rsidRDefault="00AE1F83">
      <w:pPr>
        <w:ind w:left="851" w:right="189" w:hanging="425"/>
      </w:pPr>
      <w:r>
        <w:t>149.Patel N., Cranston D., Akhtar M.Z. et al. Active surveillance of small renal masses offers short-term oncological efficacy equivalent to radical and</w:t>
      </w:r>
      <w:r>
        <w:t xml:space="preserve"> partial nephrectomy. BJU Int 2012;110(9):1270–5. DOI: 10.1111/j.1464-410X.2012.11130.x. Epub 2012 May 4.</w:t>
      </w:r>
    </w:p>
    <w:p w:rsidR="00C3791F" w:rsidRDefault="00AE1F83">
      <w:pPr>
        <w:ind w:left="851" w:right="189" w:hanging="425"/>
      </w:pPr>
      <w:r>
        <w:t xml:space="preserve">150.Takaki H., Yamakado K., Soga N. et al. Midterm results of radiofrequency ablation </w:t>
      </w:r>
      <w:r>
        <w:rPr>
          <w:i/>
        </w:rPr>
        <w:t xml:space="preserve">versus </w:t>
      </w:r>
      <w:r>
        <w:t xml:space="preserve"> nephrectomy for T1a renal cell carcinoma. Jpn J Radiol 2</w:t>
      </w:r>
      <w:r>
        <w:t>010;28:460−8.</w:t>
      </w:r>
    </w:p>
    <w:p w:rsidR="00C3791F" w:rsidRDefault="00AE1F83">
      <w:pPr>
        <w:ind w:left="851" w:right="189" w:hanging="425"/>
      </w:pPr>
      <w:r>
        <w:t>151.Arnoux V., Descotes J.L., Sengel C. et al. Perioperative outcomes and mid-term results of radiofrequency ablation and partial nephrectomy in indications of renal tumor treatment</w:t>
      </w:r>
    </w:p>
    <w:p w:rsidR="00C3791F" w:rsidRDefault="00AE1F83">
      <w:pPr>
        <w:spacing w:after="114" w:line="259" w:lineRule="auto"/>
        <w:ind w:left="861" w:right="189"/>
      </w:pPr>
      <w:r>
        <w:t>and imperative nephron-sparing procedure. Prog Urol 2013;23(</w:t>
      </w:r>
      <w:r>
        <w:t>2):99−104.</w:t>
      </w:r>
    </w:p>
    <w:p w:rsidR="00C3791F" w:rsidRDefault="00AE1F83">
      <w:pPr>
        <w:ind w:left="851" w:right="189" w:hanging="425"/>
      </w:pPr>
      <w:r>
        <w:t xml:space="preserve">152.Liu N., Huang D., Cheng X. et al. Percutaneous radiofrequency ablation for renal cell carcinoma vs. partial nephrectomy: Comparison of long-term oncologic outcomes in both clear cell and non-clear cell of the most common subtype. Urol Oncol </w:t>
      </w:r>
      <w:r>
        <w:t>2017;35:530.e1–6. DOI: 10.1016/j.urolonc.2017.03.014. Epub 2017 Apr 10.</w:t>
      </w:r>
    </w:p>
    <w:p w:rsidR="00C3791F" w:rsidRDefault="00AE1F83">
      <w:pPr>
        <w:ind w:left="851" w:right="189" w:hanging="425"/>
      </w:pPr>
      <w:r>
        <w:t>153.Lian H., Guo H., Zhang G. et al. Single-center comparison of complications in laparoscopic and percutaneous radiofrequency ablation with ultrasound guidance for renal tumors. Urolo</w:t>
      </w:r>
      <w:r>
        <w:t>gy 2012;80(1):119−24.</w:t>
      </w:r>
    </w:p>
    <w:p w:rsidR="00C3791F" w:rsidRDefault="00AE1F83">
      <w:pPr>
        <w:ind w:left="851" w:right="189" w:hanging="425"/>
      </w:pPr>
      <w:r>
        <w:t>154.Young E.E., Castle S.M., Gorbatiy V. et al. Comparison of safety, renal function outcomes and efficacy of laparoscopic and percutaneous radio frequency ablation of renal masses. J Urol 2012;187(4):1177−82.</w:t>
      </w:r>
    </w:p>
    <w:p w:rsidR="00C3791F" w:rsidRDefault="00AE1F83">
      <w:pPr>
        <w:ind w:left="851" w:right="189" w:hanging="425"/>
      </w:pPr>
      <w:r>
        <w:t xml:space="preserve">155.Trudeau V., Larcher </w:t>
      </w:r>
      <w:r>
        <w:t>A., Boehm K. et al. Comparison of postoperative complications and mortality between laparoscopic and percutaneous local tumor ablation for t1a renal cell carcinoma: a population-based study. Urology 2016;89:63−7.</w:t>
      </w:r>
    </w:p>
    <w:p w:rsidR="00C3791F" w:rsidRDefault="00AE1F83">
      <w:pPr>
        <w:ind w:left="851" w:right="189" w:hanging="425"/>
      </w:pPr>
      <w:r>
        <w:t>156.Kim S.D., Yoon S.G., Sung G.T. et al. R</w:t>
      </w:r>
      <w:r>
        <w:t>adiofrequency ablation of renal tumors: four-year follow-up results in 47 patients. Korean J Radiol 2012;13(5):625−33.</w:t>
      </w:r>
    </w:p>
    <w:p w:rsidR="00C3791F" w:rsidRDefault="00AE1F83">
      <w:pPr>
        <w:ind w:left="851" w:right="189" w:hanging="425"/>
      </w:pPr>
      <w:r>
        <w:t xml:space="preserve">157.Atwell T.D., Schmit G.D., Boorjian S.A. et al. Percutaneous ablation of renal masses measuring 3.0 cm and smaller: comparative local </w:t>
      </w:r>
      <w:r>
        <w:t>control and complications after radiofrequency ablation and cryoablation. Am J Roentgenol 2013;200:461−6.</w:t>
      </w:r>
    </w:p>
    <w:p w:rsidR="00C3791F" w:rsidRDefault="00AE1F83">
      <w:pPr>
        <w:ind w:left="851" w:right="189" w:hanging="425"/>
      </w:pPr>
      <w:r>
        <w:t xml:space="preserve">158.Samarasekera D., Khalifeh A., Autorino R., Kaouk J. Percutaneous radiofrequency ablation </w:t>
      </w:r>
      <w:r>
        <w:rPr>
          <w:i/>
        </w:rPr>
        <w:t>versus</w:t>
      </w:r>
      <w:r>
        <w:t xml:space="preserve"> percutaneous cryoablation: long-term outcomes foll</w:t>
      </w:r>
      <w:r>
        <w:t>owing ablation for renal cell carcinoma. J Urol 2013;189:e737−8.</w:t>
      </w:r>
    </w:p>
    <w:p w:rsidR="00C3791F" w:rsidRDefault="00AE1F83">
      <w:pPr>
        <w:ind w:left="851" w:right="189" w:hanging="425"/>
      </w:pPr>
      <w:r>
        <w:t>159.Ortiz-Alvarado O., Anderson J.K. The role of radiologic imaging and biopsy in renal tumor ablation. World J Urol. 2010;28(5):551–7.</w:t>
      </w:r>
    </w:p>
    <w:p w:rsidR="00C3791F" w:rsidRDefault="00AE1F83">
      <w:pPr>
        <w:ind w:left="851" w:right="189" w:hanging="425"/>
      </w:pPr>
      <w:r>
        <w:t xml:space="preserve">160.O’Neal D., Cohen T., Peterson C. Contrast-Enhanced </w:t>
      </w:r>
      <w:r>
        <w:t>Ultrasound-Guided Radiofrequency Ablation of Renal Tumors. J Kidney Cancer VHL 2018;5(1):7–14.</w:t>
      </w:r>
    </w:p>
    <w:p w:rsidR="00C3791F" w:rsidRDefault="00AE1F83">
      <w:pPr>
        <w:ind w:left="851" w:right="189" w:hanging="425"/>
      </w:pPr>
      <w:r>
        <w:t>161.Fokas E., Henzel M., Hamm K. et al. Radiotherapy for brain metastases from renal cell cancer: should whole-brain radiotherapy be added to stereotactic radios</w:t>
      </w:r>
      <w:r>
        <w:t>urgery? Analysis of 88 patients. Strahlenther Onkol 2010;186(4):210−7.</w:t>
      </w:r>
    </w:p>
    <w:p w:rsidR="00C3791F" w:rsidRDefault="00AE1F83">
      <w:pPr>
        <w:ind w:left="851" w:right="189" w:hanging="425"/>
      </w:pPr>
      <w:r>
        <w:t>162.Ikushima H., Tokuuye K., Sumi M. et al. Fractionated stereotactic radiotherapy of brain metastases from renal cell carcinoma. Int J Radiat Oncol Biol Phys 2000;48(5):1389−93.</w:t>
      </w:r>
    </w:p>
    <w:p w:rsidR="00C3791F" w:rsidRDefault="00AE1F83">
      <w:pPr>
        <w:ind w:left="851" w:right="189" w:hanging="425"/>
      </w:pPr>
      <w:r>
        <w:t>163.Ze</w:t>
      </w:r>
      <w:r>
        <w:t>lefsky M.J., Greco C., Motzer R. et al. Tumor control outcomes after hypofractionated and single-dose stereotactic image-guided intensity-modulated radiotherapy for extracranial metastases from renal cell carcinoma. Int J Radiat Oncol Biol Phys 2012;82(5):</w:t>
      </w:r>
      <w:r>
        <w:t>1744−8.</w:t>
      </w:r>
    </w:p>
    <w:p w:rsidR="00C3791F" w:rsidRDefault="00AE1F83">
      <w:pPr>
        <w:ind w:left="851" w:right="189" w:hanging="425"/>
      </w:pPr>
      <w:r>
        <w:t>164.Hunter G.K., Balagamwala E.H., Koyfman S.A. et al. The efficacy of external beam radiotherapy and stereotactic body radiotherapy for painful spinal metastases from renal cell carcinoma. Pract Radiat Oncol 2012;2(4):e95−100.</w:t>
      </w:r>
    </w:p>
    <w:p w:rsidR="00C3791F" w:rsidRDefault="00AE1F83">
      <w:pPr>
        <w:ind w:left="851" w:right="189" w:hanging="425"/>
      </w:pPr>
      <w:r>
        <w:t>165.Sarna G., Figlin</w:t>
      </w:r>
      <w:r>
        <w:t xml:space="preserve"> R., de Kernion J. Interferon in renal cell carcinoma. The UCLA experience. Cancer 1987;59:610−2.</w:t>
      </w:r>
    </w:p>
    <w:p w:rsidR="00C3791F" w:rsidRDefault="00AE1F83">
      <w:pPr>
        <w:ind w:left="851" w:right="189" w:hanging="425"/>
      </w:pPr>
      <w:r>
        <w:t>166.</w:t>
      </w:r>
      <w:hyperlink r:id="rId263">
        <w:r>
          <w:t>Cai W</w:t>
        </w:r>
      </w:hyperlink>
      <w:r>
        <w:t xml:space="preserve">., </w:t>
      </w:r>
      <w:hyperlink r:id="rId264">
        <w:r>
          <w:t>Huang J</w:t>
        </w:r>
      </w:hyperlink>
      <w:r>
        <w:t xml:space="preserve">., </w:t>
      </w:r>
      <w:hyperlink r:id="rId265">
        <w:r>
          <w:t>Yuan Y</w:t>
        </w:r>
      </w:hyperlink>
      <w:r>
        <w:t xml:space="preserve">. et al. Sunitinib or Sorafenib as Neoadjuvant Therapy May not Improve the Survival Outcomes of Renal Cell Carcinoma with Tumor Thrombus. </w:t>
      </w:r>
      <w:hyperlink r:id="rId266">
        <w:r>
          <w:t xml:space="preserve">Urol Int </w:t>
        </w:r>
      </w:hyperlink>
      <w:r>
        <w:t xml:space="preserve"> 2018;101(4):391−9. DOI: 10.1159/000492723.</w:t>
      </w:r>
    </w:p>
    <w:p w:rsidR="00C3791F" w:rsidRDefault="00AE1F83">
      <w:pPr>
        <w:ind w:left="851" w:right="189" w:hanging="425"/>
      </w:pPr>
      <w:r>
        <w:t>1</w:t>
      </w:r>
      <w:r>
        <w:t>67.Rini B.I., Plimack E.R., Takagi T. et al. A phase II study of pazopanib in patients with localized renal cell carcinoma to optimize preservation of renal parenchyma. J Urol 2015;194:297–303.</w:t>
      </w:r>
    </w:p>
    <w:p w:rsidR="00C3791F" w:rsidRDefault="00AE1F83">
      <w:pPr>
        <w:spacing w:line="359" w:lineRule="auto"/>
        <w:ind w:left="851" w:right="131" w:hanging="425"/>
        <w:jc w:val="left"/>
      </w:pPr>
      <w:r>
        <w:t>168.</w:t>
      </w:r>
      <w:r>
        <w:t>Karam J.A., Devine C.E., Urbauer D.L. et al. Phase 2 trial of neoadjuvant axitinib in patients with locally advanced nonmetastatic clear cell renal cell carcinoma. Eur Urol 2014;66(5):874–80.</w:t>
      </w:r>
    </w:p>
    <w:p w:rsidR="00C3791F" w:rsidRDefault="00AE1F83">
      <w:pPr>
        <w:ind w:left="851" w:right="189" w:hanging="425"/>
      </w:pPr>
      <w:r>
        <w:t>169.</w:t>
      </w:r>
      <w:hyperlink r:id="rId267">
        <w:r>
          <w:t>Riaz I.B</w:t>
        </w:r>
      </w:hyperlink>
      <w:r>
        <w:t xml:space="preserve">., </w:t>
      </w:r>
      <w:hyperlink r:id="rId268">
        <w:r>
          <w:t>Faridi W</w:t>
        </w:r>
      </w:hyperlink>
      <w:r>
        <w:t xml:space="preserve">., </w:t>
      </w:r>
      <w:hyperlink r:id="rId269">
        <w:r>
          <w:t>Husnain M</w:t>
        </w:r>
      </w:hyperlink>
      <w:r>
        <w:t xml:space="preserve">. et al. Adjuvant therapy in high-risk renal cell cancer: a systematic review and meta-analysis. </w:t>
      </w:r>
      <w:hyperlink r:id="rId270">
        <w:r>
          <w:t>Mayo Clin Proc</w:t>
        </w:r>
      </w:hyperlink>
      <w:r>
        <w:t xml:space="preserve"> 2019;94(8):</w:t>
      </w:r>
      <w:r>
        <w:t>1524−34. DOI: 10.1016/j.mayocp.2019.01.045.</w:t>
      </w:r>
    </w:p>
    <w:p w:rsidR="00C3791F" w:rsidRDefault="00AE1F83">
      <w:pPr>
        <w:ind w:left="851" w:right="189" w:hanging="425"/>
      </w:pPr>
      <w:r>
        <w:t>170.</w:t>
      </w:r>
      <w:hyperlink r:id="rId271">
        <w:r>
          <w:t>Karakiewicz P.</w:t>
        </w:r>
      </w:hyperlink>
      <w:r>
        <w:t xml:space="preserve">, </w:t>
      </w:r>
      <w:hyperlink r:id="rId272">
        <w:r>
          <w:t>Zaffuto E</w:t>
        </w:r>
      </w:hyperlink>
      <w:r>
        <w:t xml:space="preserve">., </w:t>
      </w:r>
      <w:hyperlink r:id="rId273">
        <w:r>
          <w:t>Kapoor A</w:t>
        </w:r>
      </w:hyperlink>
      <w:r>
        <w:t>. et al. Kidney Cancer Research Network of Canada consensus stateme</w:t>
      </w:r>
      <w:r>
        <w:t xml:space="preserve">nt on the role of adjuvant therapy after nephrectomy for high-risk, nonmetastatic renal cell carcinoma: A comprehensive analysis of the literature and metaanalysis of randomized controlled trials. </w:t>
      </w:r>
      <w:hyperlink r:id="rId274">
        <w:r>
          <w:t>Can Urol Assoc J</w:t>
        </w:r>
      </w:hyperlink>
      <w:r>
        <w:t xml:space="preserve"> 2018;12(6):173−80. DOI: 10.5489/cuaj.5187.</w:t>
      </w:r>
    </w:p>
    <w:p w:rsidR="00C3791F" w:rsidRDefault="00AE1F83">
      <w:pPr>
        <w:ind w:left="851" w:right="189" w:hanging="425"/>
      </w:pPr>
      <w:r>
        <w:t>171.Messing E.M., Manola J., Wilding G. et al. Phase III study of interferon alfa-NL as adjuvant treatment for resectable renal cell carcinoma: an Eastern Cooperative Oncology Group/Intergrou</w:t>
      </w:r>
      <w:r>
        <w:t>p trial. J Clin Oncol 2003;21:1214–22.</w:t>
      </w:r>
    </w:p>
    <w:p w:rsidR="00C3791F" w:rsidRDefault="00AE1F83">
      <w:pPr>
        <w:ind w:left="851" w:right="189" w:hanging="425"/>
      </w:pPr>
      <w:r>
        <w:t>172.Hinotsu S., Kawai K., Ozono S. et al. Randomized controlled study of natural interferon alpha as adjuvant treatment for stage II or III renal cell carcinoma. Int J Clin Oncol 2013;18:68–74.</w:t>
      </w:r>
    </w:p>
    <w:p w:rsidR="00C3791F" w:rsidRDefault="00AE1F83">
      <w:pPr>
        <w:ind w:left="851" w:right="189" w:hanging="425"/>
      </w:pPr>
      <w:r>
        <w:t>173.Ravaud A., Motzer R</w:t>
      </w:r>
      <w:r>
        <w:t>.J., Pandha H.S. et al. Adjuvant sunitinib in high-risk renal-cell carcinoma after nephrectomy. N Engl J Med 2016;375:2246–54.</w:t>
      </w:r>
    </w:p>
    <w:p w:rsidR="00C3791F" w:rsidRDefault="00AE1F83">
      <w:pPr>
        <w:ind w:left="436" w:right="189"/>
      </w:pPr>
      <w:r>
        <w:t>174.Haas N.B., Manola J., Uzzo R.G. et al. Adjuvant sunitinib or sorafenib for high-risk, nonmetastatic renal-cell carcinoma (ECO</w:t>
      </w:r>
      <w:r>
        <w:t>G-ACRIN E2805): a double-blind, placebocontrolled, randomised, phase 3 trial. Lancet 2016;387:2008–16.</w:t>
      </w:r>
    </w:p>
    <w:p w:rsidR="00C3791F" w:rsidRDefault="00AE1F83">
      <w:pPr>
        <w:ind w:left="851" w:right="189" w:hanging="425"/>
      </w:pPr>
      <w:r>
        <w:t xml:space="preserve">175.Motzer R.J., Haas N.B., Donskov F. et al. Randomized phase III trial of adjuvant pazopanib </w:t>
      </w:r>
      <w:r>
        <w:rPr>
          <w:i/>
        </w:rPr>
        <w:t>versus</w:t>
      </w:r>
      <w:r>
        <w:t xml:space="preserve"> placebo after nephrectomy in patients with localize</w:t>
      </w:r>
      <w:r>
        <w:t>d or locally advanced renal cell carcinoma. J Clin Oncol 2017;35:3916–23.</w:t>
      </w:r>
    </w:p>
    <w:p w:rsidR="00C3791F" w:rsidRDefault="00AE1F83">
      <w:pPr>
        <w:ind w:left="851" w:right="189" w:hanging="425"/>
      </w:pPr>
      <w:r>
        <w:t xml:space="preserve">176.Gross-Goupil M., Kwon T.G., Eto M. et al. Axitinib </w:t>
      </w:r>
      <w:r>
        <w:rPr>
          <w:i/>
        </w:rPr>
        <w:t>versus</w:t>
      </w:r>
      <w:r>
        <w:t xml:space="preserve"> placebo as an adjuvant treatment for renal cell carcinoma: results from the phase III, randomized ATLAS trial. Ann Oncol</w:t>
      </w:r>
      <w:r>
        <w:t xml:space="preserve"> 2018;29:2371–8.</w:t>
      </w:r>
    </w:p>
    <w:p w:rsidR="00C3791F" w:rsidRDefault="00AE1F83">
      <w:pPr>
        <w:ind w:left="851" w:right="189" w:hanging="425"/>
      </w:pPr>
      <w:r>
        <w:t xml:space="preserve">177.Rini B.I., Halabi S., Rosenberg J.E. et al. Phase III trial of bevacizumab plus interferon alfa </w:t>
      </w:r>
      <w:r>
        <w:rPr>
          <w:i/>
        </w:rPr>
        <w:t>versus</w:t>
      </w:r>
      <w:r>
        <w:t xml:space="preserve"> interferon alfa monotherapy in patients with metastatic renal cell carcinoma: final results of CALGB 90206. J Clin Oncol 2010;28:213</w:t>
      </w:r>
      <w:r>
        <w:t>7−43.</w:t>
      </w:r>
    </w:p>
    <w:p w:rsidR="00C3791F" w:rsidRDefault="00AE1F83">
      <w:pPr>
        <w:ind w:left="851" w:right="189" w:hanging="425"/>
      </w:pPr>
      <w:r>
        <w:t>178.Escudier B., Pluzanska A., Koralewski P. et al. AVOREN Trial investigators. Bevacizumab plus interferon alfa-2a for treatment of metastatic renal cell carcinoma: a randomised, double-blind phase III trial. Lancet 2007;370(9605):2103–11.</w:t>
      </w:r>
    </w:p>
    <w:p w:rsidR="00C3791F" w:rsidRDefault="00AE1F83">
      <w:pPr>
        <w:ind w:left="851" w:right="65" w:hanging="425"/>
      </w:pPr>
      <w:r>
        <w:t>179.Figli</w:t>
      </w:r>
      <w:r>
        <w:t xml:space="preserve">n R.A., Hutson T.E., Tomczak P. et al. Overall survival with sunitinib </w:t>
      </w:r>
      <w:r>
        <w:rPr>
          <w:i/>
        </w:rPr>
        <w:t xml:space="preserve">versus </w:t>
      </w:r>
      <w:r>
        <w:t>interferon alfa (IFN-α) as first-line treatment in metastatic renal-cell carcinoma (mRCC). ASCO Annual Meeting Proceedings 2008. J Clin Oncol 2008;26(Suppl.):256s. Abstr.5024.</w:t>
      </w:r>
    </w:p>
    <w:p w:rsidR="00C3791F" w:rsidRDefault="00AE1F83">
      <w:pPr>
        <w:ind w:left="851" w:hanging="425"/>
      </w:pPr>
      <w:r>
        <w:t>18</w:t>
      </w:r>
      <w:r>
        <w:t>0.Sternberg C.N., Davis I.D., Mardiak J. et al. Pazopanib in locally advanced or metastatic renal cell carcinoma: results of a randomized phase III trial. J Clin Oncol 2010;28:1061−8.</w:t>
      </w:r>
    </w:p>
    <w:p w:rsidR="00C3791F" w:rsidRDefault="00AE1F83">
      <w:pPr>
        <w:ind w:left="851" w:right="189" w:hanging="425"/>
      </w:pPr>
      <w:r>
        <w:t>181.</w:t>
      </w:r>
      <w:hyperlink r:id="rId275">
        <w:r>
          <w:t>Motzer R.J</w:t>
        </w:r>
      </w:hyperlink>
      <w:r>
        <w:t xml:space="preserve">., </w:t>
      </w:r>
      <w:hyperlink r:id="rId276">
        <w:r>
          <w:t>Hutson T.E</w:t>
        </w:r>
      </w:hyperlink>
      <w:r>
        <w:t xml:space="preserve">., </w:t>
      </w:r>
      <w:hyperlink r:id="rId277">
        <w:r>
          <w:t>Cella D</w:t>
        </w:r>
      </w:hyperlink>
      <w:r>
        <w:t xml:space="preserve">. et al. Pazopanib </w:t>
      </w:r>
      <w:r>
        <w:rPr>
          <w:i/>
        </w:rPr>
        <w:t>versus</w:t>
      </w:r>
      <w:r>
        <w:t xml:space="preserve"> sunitinib in metastatic renal-cell carcinoma. </w:t>
      </w:r>
      <w:hyperlink r:id="rId278">
        <w:r>
          <w:t>N Engl J Med</w:t>
        </w:r>
      </w:hyperlink>
      <w:r>
        <w:t xml:space="preserve"> 2013;369(8):722−31.</w:t>
      </w:r>
    </w:p>
    <w:p w:rsidR="00C3791F" w:rsidRDefault="00AE1F83">
      <w:pPr>
        <w:ind w:left="851" w:right="189" w:hanging="425"/>
      </w:pPr>
      <w:r>
        <w:t>182.</w:t>
      </w:r>
      <w:r>
        <w:t>Hudes G., Carducci M., Tomczak P. et al. Temsirolimus, interferon alfa, or both for advanced renal-cell carcinoma. N Engl J Med 2007;356:2271−81.</w:t>
      </w:r>
    </w:p>
    <w:p w:rsidR="00C3791F" w:rsidRDefault="00AE1F83">
      <w:pPr>
        <w:ind w:left="851" w:right="189" w:hanging="425"/>
      </w:pPr>
      <w:r>
        <w:t xml:space="preserve">183.Choueiri T.K., Halabi S., Sanford B.L. et al. Cabozantinib </w:t>
      </w:r>
      <w:r>
        <w:rPr>
          <w:i/>
        </w:rPr>
        <w:t>versus</w:t>
      </w:r>
      <w:r>
        <w:t xml:space="preserve"> sunitinib as initial targeted therapy fo</w:t>
      </w:r>
      <w:r>
        <w:t>r patients with metastatic renal cell carcinoma of poor or intermediate risk: the alliance A031203 CABOSUN trial. J Clin Oncol 2017;35:591–7.</w:t>
      </w:r>
    </w:p>
    <w:p w:rsidR="00C3791F" w:rsidRDefault="00AE1F83">
      <w:pPr>
        <w:ind w:left="851" w:right="189" w:hanging="425"/>
      </w:pPr>
      <w:r>
        <w:t xml:space="preserve">184.Tannir N.M., Signoretti S., Choueiri T.K. et al. Efficacy and safety of nivolumab plus ipilimumab </w:t>
      </w:r>
      <w:r>
        <w:rPr>
          <w:i/>
        </w:rPr>
        <w:t>versus</w:t>
      </w:r>
      <w:r>
        <w:t xml:space="preserve"> sunit</w:t>
      </w:r>
      <w:r>
        <w:t xml:space="preserve">inib in first-line treatment of patients with advanced sarcomatoid renal cell carcinoma. Clin Cancer Res 2021;27(1):78–86. </w:t>
      </w:r>
    </w:p>
    <w:p w:rsidR="00C3791F" w:rsidRDefault="00AE1F83">
      <w:pPr>
        <w:ind w:left="851" w:right="189" w:hanging="425"/>
      </w:pPr>
      <w:r>
        <w:t xml:space="preserve">185.Albiges L., Tannir N.M., Burotto M. et al. Nivolumab plus ipilimumab </w:t>
      </w:r>
      <w:r>
        <w:rPr>
          <w:i/>
        </w:rPr>
        <w:t xml:space="preserve">versus </w:t>
      </w:r>
      <w:r>
        <w:t>sunitinib for first-line treatment of advanced renal</w:t>
      </w:r>
      <w:r>
        <w:t xml:space="preserve"> cell carcinoma: extended 4-year follow-up of the phase III CheckMate 214 trial. ESMO Open 2020;5(6):e001079.</w:t>
      </w:r>
    </w:p>
    <w:p w:rsidR="00C3791F" w:rsidRDefault="00AE1F83">
      <w:pPr>
        <w:spacing w:line="359" w:lineRule="auto"/>
        <w:ind w:left="436" w:right="131"/>
        <w:jc w:val="left"/>
      </w:pPr>
      <w:r>
        <w:t xml:space="preserve">186.Rini B.I., Plimack E.R., Stus V. et al. </w:t>
      </w:r>
      <w:hyperlink r:id="rId279">
        <w:r>
          <w:t xml:space="preserve">Pembrolizumab (pembro) plus </w:t>
        </w:r>
        <w:r>
          <w:t xml:space="preserve">axitinib (axi) </w:t>
        </w:r>
      </w:hyperlink>
      <w:hyperlink r:id="rId280">
        <w:r>
          <w:rPr>
            <w:i/>
          </w:rPr>
          <w:t xml:space="preserve">versus </w:t>
        </w:r>
      </w:hyperlink>
      <w:r>
        <w:t xml:space="preserve">s </w:t>
      </w:r>
      <w:hyperlink r:id="rId281">
        <w:r>
          <w:t>unitinib as first-line therapy for advanced clear cell renal cell carcinoma (ccRCC):</w:t>
        </w:r>
        <w:r>
          <w:t xml:space="preserve"> results </w:t>
        </w:r>
      </w:hyperlink>
      <w:hyperlink r:id="rId282">
        <w:r>
          <w:t>from 42-month follow-up of KEYNOTE-426</w:t>
        </w:r>
      </w:hyperlink>
      <w:r>
        <w:t>. J Clin Oncol 2021;39(suppl 15):abstr 4500.</w:t>
      </w:r>
    </w:p>
    <w:p w:rsidR="00C3791F" w:rsidRDefault="00AE1F83">
      <w:pPr>
        <w:spacing w:line="359" w:lineRule="auto"/>
        <w:ind w:left="851" w:right="131" w:hanging="425"/>
        <w:jc w:val="left"/>
      </w:pPr>
      <w:r>
        <w:t>187.</w:t>
      </w:r>
      <w:r>
        <w:t>Motzer RJ, Penkov K., Uemura H., et al. Avelumab + axitinib vs sunitinib in patients (pts) with advanced renal cell carcinoma (aRCC): Final overall survival (OS) analysis from the JAVELIN Renal 101 phase 3 trial. J Clin Oncol. 2024:42(suppl 16; abstr 4508)</w:t>
      </w:r>
      <w:r>
        <w:t>.</w:t>
      </w:r>
    </w:p>
    <w:p w:rsidR="00C3791F" w:rsidRDefault="00AE1F83">
      <w:pPr>
        <w:ind w:left="851" w:right="189" w:hanging="425"/>
      </w:pPr>
      <w:r>
        <w:t xml:space="preserve">188.Motzer R.J., Penkov K., Haanen J. et al. Avelumab plus axitinib </w:t>
      </w:r>
      <w:r>
        <w:rPr>
          <w:i/>
        </w:rPr>
        <w:t>versus</w:t>
      </w:r>
      <w:r>
        <w:t xml:space="preserve"> sunitinib for advanced renal-cell carcinoma. </w:t>
      </w:r>
      <w:hyperlink r:id="rId283">
        <w:r>
          <w:t>N Engl J Med 2019; 380:1103–15</w:t>
        </w:r>
      </w:hyperlink>
      <w:r>
        <w:t>.</w:t>
      </w:r>
    </w:p>
    <w:p w:rsidR="00C3791F" w:rsidRDefault="00AE1F83">
      <w:pPr>
        <w:ind w:left="851" w:right="189" w:hanging="425"/>
      </w:pPr>
      <w:r>
        <w:t>189.Motzer R., Alekseev B., Sun-Young Rha et al. Lenvatinib plus pembrolizumab or everolimus for advanced renal cell carcinoma. N Engl J Med 2021;384:1289–300.</w:t>
      </w:r>
    </w:p>
    <w:p w:rsidR="00C3791F" w:rsidRDefault="00AE1F83">
      <w:pPr>
        <w:ind w:left="851" w:right="189" w:hanging="425"/>
      </w:pPr>
      <w:r>
        <w:t>190.Choueiri T.K., Powles T., Burotto M. et al. CheckMat</w:t>
      </w:r>
      <w:r>
        <w:t xml:space="preserve">e 9ER Investigators. Nivolumab plus cabozantinib </w:t>
      </w:r>
      <w:r>
        <w:rPr>
          <w:i/>
        </w:rPr>
        <w:t>versus</w:t>
      </w:r>
      <w:r>
        <w:t xml:space="preserve"> sunitinib for advanced renal-cell carcinoma. N Engl J Med 2021;384(9):829–41.</w:t>
      </w:r>
    </w:p>
    <w:p w:rsidR="00C3791F" w:rsidRDefault="00AE1F83">
      <w:pPr>
        <w:ind w:left="851" w:right="189" w:hanging="425"/>
      </w:pPr>
      <w:r>
        <w:t>191.Escudier B., Eisen T., Stadler W.M. et al. Sorafenib in advanced clear-cell renal-cell carcinoma. N Engl J Med 2007;35</w:t>
      </w:r>
      <w:r>
        <w:t>6:125–34.</w:t>
      </w:r>
    </w:p>
    <w:p w:rsidR="00C3791F" w:rsidRDefault="00AE1F83">
      <w:pPr>
        <w:ind w:left="851" w:right="189" w:hanging="425"/>
      </w:pPr>
      <w:r>
        <w:t>192.Motzer R.J., Rini B.I., Michaelson M. et al. Phase 2 trials of SU11248 show antitumor activity in second-line therapy for patients with metastatic renal cell carcinoma (RCC). J Clin Oncol 2005;23:abstr. 4508. 6–6–2005.</w:t>
      </w:r>
    </w:p>
    <w:p w:rsidR="00C3791F" w:rsidRDefault="00AE1F83">
      <w:pPr>
        <w:ind w:left="851" w:right="189" w:hanging="425"/>
      </w:pPr>
      <w:r>
        <w:t>193.Motzer R.J., Escudi</w:t>
      </w:r>
      <w:r>
        <w:t>er B., Oudard S. et al. Efficacy of everolimus in advanced renal cell carcinoma: a double-blind, randomised, placebo-controlled phase III trial. Lancet 2008;372:449−56.</w:t>
      </w:r>
    </w:p>
    <w:p w:rsidR="00C3791F" w:rsidRDefault="00AE1F83">
      <w:pPr>
        <w:ind w:left="851" w:right="189" w:hanging="425"/>
      </w:pPr>
      <w:r>
        <w:t xml:space="preserve">194.Rini B.I., Escudier B.J., Michaelson M.D. et al. </w:t>
      </w:r>
      <w:hyperlink r:id="rId284">
        <w:r>
          <w:t>Phase III AXIS trial for second-line</w:t>
        </w:r>
      </w:hyperlink>
      <w:r>
        <w:t xml:space="preserve"> </w:t>
      </w:r>
      <w:hyperlink r:id="rId285">
        <w:r>
          <w:t>metastatic renal cell carcinoma (mRCC): Effect of prior first-line treatment duration and</w:t>
        </w:r>
      </w:hyperlink>
      <w:r>
        <w:t xml:space="preserve"> </w:t>
      </w:r>
      <w:hyperlink r:id="rId286">
        <w:r>
          <w:t>axitinib dose titration on axitinib efficacy.</w:t>
        </w:r>
      </w:hyperlink>
      <w:r>
        <w:t xml:space="preserve"> J Clin Oncol 2012;30(Suppl. 5):354.</w:t>
      </w:r>
    </w:p>
    <w:p w:rsidR="00C3791F" w:rsidRDefault="00AE1F83">
      <w:pPr>
        <w:ind w:left="851" w:right="189" w:hanging="425"/>
      </w:pPr>
      <w:r>
        <w:t xml:space="preserve">195.Choueiri T.K., Escudier B., Powles T. et al. Cabozantinib </w:t>
      </w:r>
      <w:r>
        <w:rPr>
          <w:i/>
        </w:rPr>
        <w:t>versus</w:t>
      </w:r>
      <w:r>
        <w:t xml:space="preserve"> everolimus in advanced renal cell carcinoma (METEOR): final results from a r</w:t>
      </w:r>
      <w:r>
        <w:t>andomised, open-label, phase 3 trial. Lancet Oncol 2016;17:917–27.</w:t>
      </w:r>
    </w:p>
    <w:p w:rsidR="00C3791F" w:rsidRDefault="00AE1F83">
      <w:pPr>
        <w:ind w:left="851" w:right="189" w:hanging="425"/>
      </w:pPr>
      <w:r>
        <w:t xml:space="preserve">196.Hutson T.E., Larkin J.M., Gold A. et al. </w:t>
      </w:r>
      <w:hyperlink r:id="rId287">
        <w:r>
          <w:t>A phase Ib clinical trial of the multitargeted kinase</w:t>
        </w:r>
      </w:hyperlink>
      <w:r>
        <w:t xml:space="preserve"> </w:t>
      </w:r>
      <w:hyperlink r:id="rId288">
        <w:r>
          <w:t>inhibitor lenvatinib (E7080) in combination with everolimus for treatment of metastatic</w:t>
        </w:r>
      </w:hyperlink>
      <w:r>
        <w:t xml:space="preserve"> </w:t>
      </w:r>
      <w:hyperlink r:id="rId289">
        <w:r>
          <w:t>renal cell carcinoma (RCC).</w:t>
        </w:r>
      </w:hyperlink>
      <w:r>
        <w:t xml:space="preserve"> J Clin Oncol 2013;31(Suppl. 6):358.</w:t>
      </w:r>
    </w:p>
    <w:p w:rsidR="00C3791F" w:rsidRDefault="00AE1F83">
      <w:pPr>
        <w:ind w:left="851" w:right="189" w:hanging="425"/>
      </w:pPr>
      <w:r>
        <w:t>19</w:t>
      </w:r>
      <w:r>
        <w:t xml:space="preserve">7.Motzer R.J., Escudier B., McDermott D.F. et al. Nivolumab </w:t>
      </w:r>
      <w:r>
        <w:rPr>
          <w:i/>
        </w:rPr>
        <w:t>versus</w:t>
      </w:r>
      <w:r>
        <w:t xml:space="preserve"> everolimus in advanced renal-cell carcinoma. N Engl J Med 2015;373:1803−13.</w:t>
      </w:r>
    </w:p>
    <w:p w:rsidR="00C3791F" w:rsidRDefault="00AE1F83">
      <w:pPr>
        <w:ind w:left="851" w:right="189" w:hanging="425"/>
      </w:pPr>
      <w:r>
        <w:t xml:space="preserve">198.Pal S.K., Tangen C., Thompson Y.M. et al. </w:t>
      </w:r>
      <w:hyperlink r:id="rId290">
        <w:r>
          <w:t xml:space="preserve">Sunitinib </w:t>
        </w:r>
      </w:hyperlink>
      <w:hyperlink r:id="rId291">
        <w:r>
          <w:rPr>
            <w:i/>
          </w:rPr>
          <w:t>versu</w:t>
        </w:r>
      </w:hyperlink>
      <w:hyperlink r:id="rId292">
        <w:r>
          <w:rPr>
            <w:i/>
          </w:rPr>
          <w:t>s</w:t>
        </w:r>
      </w:hyperlink>
      <w:hyperlink r:id="rId293">
        <w:r>
          <w:t xml:space="preserve"> cabozantinib, crizotinib or</w:t>
        </w:r>
      </w:hyperlink>
      <w:r>
        <w:t xml:space="preserve"> </w:t>
      </w:r>
      <w:hyperlink r:id="rId294">
        <w:r>
          <w:t>savolitinib in metastatic papillary renal cell carcinoma (pRCC): Resu</w:t>
        </w:r>
        <w:r>
          <w:t>lts from the</w:t>
        </w:r>
      </w:hyperlink>
      <w:r>
        <w:t xml:space="preserve"> </w:t>
      </w:r>
      <w:hyperlink r:id="rId295">
        <w:r>
          <w:t>randomized phase II SWOG 1500 study.</w:t>
        </w:r>
      </w:hyperlink>
      <w:r>
        <w:t xml:space="preserve"> J Clin Oncol 2021;39(6_suppl):270.</w:t>
      </w:r>
    </w:p>
    <w:p w:rsidR="00C3791F" w:rsidRDefault="00AE1F83">
      <w:pPr>
        <w:ind w:left="851" w:right="189" w:hanging="425"/>
      </w:pPr>
      <w:r>
        <w:t xml:space="preserve">199.McDermott D.F., Lee J.G., Ziobro M. et al. </w:t>
      </w:r>
      <w:hyperlink r:id="rId296">
        <w:r>
          <w:t>Open-label, single-arm, phase II Study of</w:t>
        </w:r>
      </w:hyperlink>
      <w:r>
        <w:t xml:space="preserve"> </w:t>
      </w:r>
      <w:hyperlink r:id="rId297">
        <w:r>
          <w:t>pembrolizumab monotherapy as first-line therapy in patients with advanced non-clear cell</w:t>
        </w:r>
      </w:hyperlink>
      <w:r>
        <w:t xml:space="preserve"> </w:t>
      </w:r>
      <w:hyperlink r:id="rId298">
        <w:r>
          <w:t>renal cell carcinoma</w:t>
        </w:r>
      </w:hyperlink>
      <w:r>
        <w:t>. J Clin Oncol 2021;39(9):1029.</w:t>
      </w:r>
    </w:p>
    <w:p w:rsidR="00C3791F" w:rsidRDefault="00AE1F83">
      <w:pPr>
        <w:ind w:left="851" w:right="189" w:hanging="425"/>
      </w:pPr>
      <w:r>
        <w:t xml:space="preserve">200.Tykodi S., Gordan L., Alter R. et al. </w:t>
      </w:r>
      <w:hyperlink r:id="rId299">
        <w:r>
          <w:t>Nivolumab plus ipilimumab in patients with a</w:t>
        </w:r>
        <w:r>
          <w:t>dvanced</w:t>
        </w:r>
      </w:hyperlink>
      <w:r>
        <w:t xml:space="preserve"> </w:t>
      </w:r>
      <w:hyperlink r:id="rId300">
        <w:r>
          <w:t>non-clear cell renal cell carcinoma (nccRCC): Safety and efficacy from CheckMate 920.</w:t>
        </w:r>
      </w:hyperlink>
      <w:r>
        <w:t xml:space="preserve"> J Clin Oncol 2021;39(suppl_6):309.</w:t>
      </w:r>
    </w:p>
    <w:p w:rsidR="00C3791F" w:rsidRDefault="00AE1F83">
      <w:pPr>
        <w:ind w:left="851" w:right="189" w:hanging="425"/>
      </w:pPr>
      <w:r>
        <w:t>201.Gore M.E., Szczylik C., Porta C. et al. Saf</w:t>
      </w:r>
      <w:r>
        <w:t>ety and efficacy of sunitinib for metastatic renalcell carcinoma: an expanded-access trial. Lancet Oncol 2009;10(8):757-63. DOI: 10.1016/S1470-2045(09)70162-7. Epub 2009 Jul 15.</w:t>
      </w:r>
    </w:p>
    <w:p w:rsidR="00C3791F" w:rsidRDefault="00AE1F83">
      <w:pPr>
        <w:ind w:left="851" w:right="189" w:hanging="425"/>
      </w:pPr>
      <w:r>
        <w:t>202.Sánchez P, Calvo E., Durán I. Non-clear cell advanced kidney cancer: is th</w:t>
      </w:r>
      <w:r>
        <w:t>ere a gold standard? Anticancer Drugs 2011;22(Suppl. 1):9−14.</w:t>
      </w:r>
    </w:p>
    <w:p w:rsidR="00C3791F" w:rsidRDefault="00AE1F83">
      <w:pPr>
        <w:ind w:left="851" w:right="189" w:hanging="425"/>
      </w:pPr>
      <w:r>
        <w:t>203.Koh Y., Lim H.Y., Ahn J.H. et al. Phase II trial of everolimus for the treatment of nonclearcell renal cell carcinoma. Ann Oncol 2013;24(4):1026−31.</w:t>
      </w:r>
    </w:p>
    <w:p w:rsidR="00C3791F" w:rsidRDefault="00AE1F83">
      <w:pPr>
        <w:ind w:left="851" w:right="189" w:hanging="425"/>
      </w:pPr>
      <w:r>
        <w:t xml:space="preserve">204.Escudier B., Molinie V., Bracarda S. </w:t>
      </w:r>
      <w:r>
        <w:t>et al. Open-label phase 2 trial of first-line everolimus monotherapy in patients with papillary metastatic renal cell carcinoma: RAPTOR final analysis. Eur J Cancer 2016;69:226−35.</w:t>
      </w:r>
    </w:p>
    <w:p w:rsidR="00C3791F" w:rsidRDefault="00AE1F83">
      <w:pPr>
        <w:ind w:left="851" w:right="189" w:hanging="425"/>
      </w:pPr>
      <w:r>
        <w:t>205.</w:t>
      </w:r>
      <w:hyperlink r:id="rId301">
        <w:r>
          <w:t>Rini B.</w:t>
        </w:r>
      </w:hyperlink>
      <w:r>
        <w:t xml:space="preserve">, </w:t>
      </w:r>
      <w:hyperlink r:id="rId302">
        <w:r>
          <w:t>Plimack E.R</w:t>
        </w:r>
      </w:hyperlink>
      <w:r>
        <w:t xml:space="preserve">., </w:t>
      </w:r>
      <w:hyperlink r:id="rId303">
        <w:r>
          <w:t>Stus V</w:t>
        </w:r>
      </w:hyperlink>
      <w:r>
        <w:t xml:space="preserve">. et al. </w:t>
      </w:r>
      <w:hyperlink r:id="rId304">
        <w:r>
          <w:t>KEYNOTE-426 Investigators</w:t>
        </w:r>
      </w:hyperlink>
      <w:r>
        <w:t xml:space="preserve">. Pembrolizumab plus axitinib </w:t>
      </w:r>
      <w:r>
        <w:rPr>
          <w:i/>
        </w:rPr>
        <w:t>versus</w:t>
      </w:r>
      <w:r>
        <w:t xml:space="preserve"> sunitinib for adv</w:t>
      </w:r>
      <w:r>
        <w:t xml:space="preserve">anced renal-cell carcinoma. </w:t>
      </w:r>
      <w:hyperlink r:id="rId305">
        <w:r>
          <w:t>N Engl J Med</w:t>
        </w:r>
      </w:hyperlink>
      <w:r>
        <w:t xml:space="preserve"> 2019;380(12):1116−27. DOI: 10.1056/NEJMoa1816714.</w:t>
      </w:r>
    </w:p>
    <w:p w:rsidR="00C3791F" w:rsidRDefault="00AE1F83">
      <w:pPr>
        <w:ind w:left="851" w:right="189" w:hanging="425"/>
      </w:pPr>
      <w:r>
        <w:t>206.</w:t>
      </w:r>
      <w:hyperlink r:id="rId306">
        <w:r>
          <w:t>Deng H</w:t>
        </w:r>
      </w:hyperlink>
      <w:r>
        <w:t xml:space="preserve">., </w:t>
      </w:r>
      <w:hyperlink r:id="rId307">
        <w:r>
          <w:t>Huang Y</w:t>
        </w:r>
      </w:hyperlink>
      <w:r>
        <w:t xml:space="preserve">., </w:t>
      </w:r>
      <w:hyperlink r:id="rId308">
        <w:r>
          <w:t>Hong Z</w:t>
        </w:r>
      </w:hyperlink>
      <w:r>
        <w:t>. et al. Pazopanib has equivalent anti-tumor effectiveness and lower Total costs than Sunitinib for treating metastatic or advanced rena</w:t>
      </w:r>
      <w:r>
        <w:t xml:space="preserve">l cell carcinoma: a meta-analysis. </w:t>
      </w:r>
      <w:hyperlink r:id="rId309">
        <w:r>
          <w:t>BMC Cancer</w:t>
        </w:r>
      </w:hyperlink>
      <w:r>
        <w:t xml:space="preserve"> 2019;19(1):489. DOI: 10.1186/s12885-019-5704-3.</w:t>
      </w:r>
    </w:p>
    <w:p w:rsidR="00C3791F" w:rsidRDefault="00AE1F83">
      <w:pPr>
        <w:ind w:left="851" w:right="189" w:hanging="425"/>
      </w:pPr>
      <w:r>
        <w:t>207.</w:t>
      </w:r>
      <w:hyperlink r:id="rId310">
        <w:r>
          <w:t>Iacovelli R</w:t>
        </w:r>
      </w:hyperlink>
      <w:r>
        <w:t xml:space="preserve">., </w:t>
      </w:r>
      <w:hyperlink r:id="rId311">
        <w:r>
          <w:t>Ciccarese C</w:t>
        </w:r>
      </w:hyperlink>
      <w:r>
        <w:t xml:space="preserve">., </w:t>
      </w:r>
      <w:hyperlink r:id="rId312">
        <w:r>
          <w:t>Bria E</w:t>
        </w:r>
      </w:hyperlink>
      <w:r>
        <w:t xml:space="preserve">. et al. Immunotherapy </w:t>
      </w:r>
      <w:r>
        <w:rPr>
          <w:i/>
        </w:rPr>
        <w:t>versus</w:t>
      </w:r>
      <w:r>
        <w:t xml:space="preserve"> standard of care in metastatic renal cell carcinoma. A systematic review and meta-analysis. </w:t>
      </w:r>
      <w:hyperlink r:id="rId313">
        <w:r>
          <w:t xml:space="preserve">Cancer Treat Rev </w:t>
        </w:r>
      </w:hyperlink>
      <w:r>
        <w:t xml:space="preserve"> 2018;70:11</w:t>
      </w:r>
      <w:r>
        <w:t>2−7. DOI: 10.1016/j.ctrv.2018.08.007.</w:t>
      </w:r>
    </w:p>
    <w:p w:rsidR="00C3791F" w:rsidRDefault="00AE1F83">
      <w:pPr>
        <w:ind w:left="851" w:right="189" w:hanging="425"/>
      </w:pPr>
      <w:r>
        <w:t>208.</w:t>
      </w:r>
      <w:hyperlink r:id="rId314">
        <w:r>
          <w:t>Wallis C.J.D</w:t>
        </w:r>
      </w:hyperlink>
      <w:r>
        <w:t xml:space="preserve">., </w:t>
      </w:r>
      <w:hyperlink r:id="rId315">
        <w:r>
          <w:t>Klaassen Z</w:t>
        </w:r>
      </w:hyperlink>
      <w:r>
        <w:t xml:space="preserve">., </w:t>
      </w:r>
      <w:hyperlink r:id="rId316">
        <w:r>
          <w:t>Bhindi B</w:t>
        </w:r>
      </w:hyperlink>
      <w:r>
        <w:t xml:space="preserve">. et al. First-line systemic therapy for metastatic renal cell carcinoma: a </w:t>
      </w:r>
      <w:r>
        <w:t xml:space="preserve">systematic review and network meta-analysis. </w:t>
      </w:r>
      <w:hyperlink r:id="rId317">
        <w:r>
          <w:t>Eur Urol</w:t>
        </w:r>
      </w:hyperlink>
      <w:r>
        <w:t xml:space="preserve"> 2018;74(3):309−21. DOI: 10.1016/j.eururo.2018.03.036.</w:t>
      </w:r>
    </w:p>
    <w:p w:rsidR="00C3791F" w:rsidRDefault="00AE1F83">
      <w:pPr>
        <w:spacing w:after="107"/>
        <w:ind w:left="851" w:right="189" w:hanging="425"/>
      </w:pPr>
      <w:r>
        <w:t>209.</w:t>
      </w:r>
      <w:hyperlink r:id="rId318">
        <w:r>
          <w:t>Hahn A.W</w:t>
        </w:r>
      </w:hyperlink>
      <w:r>
        <w:t xml:space="preserve">., </w:t>
      </w:r>
      <w:hyperlink r:id="rId319">
        <w:r>
          <w:t>Klaassen Z</w:t>
        </w:r>
      </w:hyperlink>
      <w:r>
        <w:t xml:space="preserve">., </w:t>
      </w:r>
      <w:hyperlink r:id="rId320">
        <w:r>
          <w:t>Agarwal N</w:t>
        </w:r>
      </w:hyperlink>
      <w:r>
        <w:t xml:space="preserve">. et al. First-line treatment of metastatic renal cell carcinoma: a systematic review and network meta-analysis. </w:t>
      </w:r>
      <w:hyperlink r:id="rId321">
        <w:r>
          <w:t xml:space="preserve">Eur Urol Oncol </w:t>
        </w:r>
      </w:hyperlink>
      <w:r>
        <w:t>2019;2(6):708–15. DOI: 10.1016/j.euo.2019.09.002.</w:t>
      </w:r>
    </w:p>
    <w:p w:rsidR="00C3791F" w:rsidRDefault="00AE1F83">
      <w:pPr>
        <w:ind w:left="851" w:right="189" w:hanging="425"/>
      </w:pPr>
      <w:r>
        <w:t>210.</w:t>
      </w:r>
      <w:hyperlink r:id="rId322">
        <w:r>
          <w:t>Mills E.J</w:t>
        </w:r>
      </w:hyperlink>
      <w:r>
        <w:t xml:space="preserve">., </w:t>
      </w:r>
      <w:hyperlink r:id="rId323">
        <w:r>
          <w:t>Rachlis B</w:t>
        </w:r>
      </w:hyperlink>
      <w:r>
        <w:t xml:space="preserve">., </w:t>
      </w:r>
      <w:hyperlink r:id="rId324">
        <w:r>
          <w:t xml:space="preserve">O’Regan </w:t>
        </w:r>
        <w:r>
          <w:t>C</w:t>
        </w:r>
      </w:hyperlink>
      <w:r>
        <w:t xml:space="preserve">. et al. Metastatic renal cell cancer treatments: an indirect comparison meta-analysis. </w:t>
      </w:r>
      <w:hyperlink r:id="rId325">
        <w:r>
          <w:t>BMC Cancer</w:t>
        </w:r>
      </w:hyperlink>
      <w:r>
        <w:t xml:space="preserve"> 2009;9:34. DOI: 10.1186/1471-2407-9-34.</w:t>
      </w:r>
    </w:p>
    <w:p w:rsidR="00C3791F" w:rsidRDefault="00AE1F83">
      <w:pPr>
        <w:ind w:left="851" w:right="189" w:hanging="425"/>
      </w:pPr>
      <w:r>
        <w:t>211.</w:t>
      </w:r>
      <w:hyperlink r:id="rId326">
        <w:r>
          <w:t>Amzal B</w:t>
        </w:r>
      </w:hyperlink>
      <w:r>
        <w:t xml:space="preserve">., </w:t>
      </w:r>
      <w:hyperlink r:id="rId327">
        <w:r>
          <w:t>Fu S</w:t>
        </w:r>
      </w:hyperlink>
      <w:r>
        <w:t xml:space="preserve">., </w:t>
      </w:r>
      <w:hyperlink r:id="rId328">
        <w:r>
          <w:t>Meng J</w:t>
        </w:r>
      </w:hyperlink>
      <w:r>
        <w:t xml:space="preserve">. et al. Cabozantinib </w:t>
      </w:r>
      <w:r>
        <w:rPr>
          <w:i/>
        </w:rPr>
        <w:t>versus</w:t>
      </w:r>
      <w:r>
        <w:t xml:space="preserve"> everolimus, nivolumab, axitinib, sorafenib and best supportive care: A network meta-analysis of progression</w:t>
      </w:r>
      <w:r>
        <w:t xml:space="preserve">-free survival and overall survival in second line treatment of advanced renal cell carcinoma. </w:t>
      </w:r>
      <w:hyperlink r:id="rId329">
        <w:r>
          <w:t>PLoS One</w:t>
        </w:r>
      </w:hyperlink>
      <w:r>
        <w:t xml:space="preserve"> 2017;12(9):e0184423. DOI: 10.1371/journal.pone.0184423.</w:t>
      </w:r>
    </w:p>
    <w:p w:rsidR="00C3791F" w:rsidRDefault="00AE1F83">
      <w:pPr>
        <w:ind w:left="851" w:right="189" w:hanging="425"/>
      </w:pPr>
      <w:r>
        <w:t>212.Pal S.K., Puente J., Yick Ch</w:t>
      </w:r>
      <w:r>
        <w:t>in Heng D., Glen H. Phase II trial of lenvatinib (LEN) at two starting doses + everolimus (EVE) in patients (pts) with renal cell carcinoma (RCC): Results by independent imaging review (IIR) and prior immune checkpoint inhibition (ICI). J Clin Oncol 2021;3</w:t>
      </w:r>
      <w:r>
        <w:t>9(suppl 6):307.</w:t>
      </w:r>
    </w:p>
    <w:p w:rsidR="00C3791F" w:rsidRDefault="00AE1F83">
      <w:pPr>
        <w:ind w:left="851" w:right="189" w:hanging="425"/>
      </w:pPr>
      <w:r>
        <w:t>213.</w:t>
      </w:r>
      <w:hyperlink r:id="rId330">
        <w:r>
          <w:t>Edwards S.J</w:t>
        </w:r>
      </w:hyperlink>
      <w:r>
        <w:t xml:space="preserve">., </w:t>
      </w:r>
      <w:hyperlink r:id="rId331">
        <w:r>
          <w:t>Wakefield V</w:t>
        </w:r>
      </w:hyperlink>
      <w:r>
        <w:t xml:space="preserve">., </w:t>
      </w:r>
      <w:hyperlink r:id="rId332">
        <w:r>
          <w:t>Cain P</w:t>
        </w:r>
      </w:hyperlink>
      <w:r>
        <w:t>. et al. Axitinib, cabozantinib, everolimus, nivolumab, sunitinib and best supportive care in previou</w:t>
      </w:r>
      <w:r>
        <w:t xml:space="preserve">sly treated renal cell carcinoma: a systematic review and economic evaluation. </w:t>
      </w:r>
      <w:hyperlink r:id="rId333">
        <w:r>
          <w:t>Health Technol Assess</w:t>
        </w:r>
      </w:hyperlink>
      <w:r>
        <w:t xml:space="preserve"> 2018;22(6):1−278. DOI: 10.3310/hta22060.</w:t>
      </w:r>
    </w:p>
    <w:p w:rsidR="00C3791F" w:rsidRDefault="00AE1F83">
      <w:pPr>
        <w:ind w:left="851" w:right="189" w:hanging="425"/>
      </w:pPr>
      <w:r>
        <w:t>214.</w:t>
      </w:r>
      <w:hyperlink r:id="rId334">
        <w:r>
          <w:t>Kok V.C</w:t>
        </w:r>
      </w:hyperlink>
      <w:r>
        <w:t xml:space="preserve">., </w:t>
      </w:r>
      <w:hyperlink r:id="rId335">
        <w:r>
          <w:t>Kuo J.T</w:t>
        </w:r>
      </w:hyperlink>
      <w:r>
        <w:t>. Pazopanib as a second-line treatment for non-cytoki</w:t>
      </w:r>
      <w:r>
        <w:t>ne-treated metastatic renal cell carcinoma: a meta-analysis of the effect of treatment. BMC Urol 2016;16(1):34. DOI: 10.1186/s12894-016-0156-4.</w:t>
      </w:r>
    </w:p>
    <w:p w:rsidR="00C3791F" w:rsidRDefault="00AE1F83">
      <w:pPr>
        <w:ind w:left="851" w:right="189" w:hanging="425"/>
      </w:pPr>
      <w:r>
        <w:t>215.</w:t>
      </w:r>
      <w:hyperlink r:id="rId336">
        <w:r>
          <w:t>Larkin J</w:t>
        </w:r>
      </w:hyperlink>
      <w:r>
        <w:t xml:space="preserve">., </w:t>
      </w:r>
      <w:hyperlink r:id="rId337">
        <w:r>
          <w:t>Paine A</w:t>
        </w:r>
      </w:hyperlink>
      <w:r>
        <w:t xml:space="preserve">., </w:t>
      </w:r>
      <w:hyperlink r:id="rId338">
        <w:r>
          <w:t>Tumur I</w:t>
        </w:r>
      </w:hyperlink>
      <w:r>
        <w:t xml:space="preserve">. et al. Second-line treatments for the management of advanced renal cell carcinoma: systematic review and meta-analysis. </w:t>
      </w:r>
      <w:hyperlink r:id="rId339">
        <w:r>
          <w:t>Expert O</w:t>
        </w:r>
        <w:r>
          <w:t>pin Pharmacother</w:t>
        </w:r>
      </w:hyperlink>
      <w:r>
        <w:t xml:space="preserve"> 2013;14(1):27−39. DOI: 10.1517/14656566.2013.758713.</w:t>
      </w:r>
    </w:p>
    <w:p w:rsidR="00C3791F" w:rsidRDefault="00AE1F83">
      <w:pPr>
        <w:ind w:left="851" w:right="189" w:hanging="425"/>
      </w:pPr>
      <w:r>
        <w:t xml:space="preserve">216.El Rassy E., Aoun F., Sleilaty G. et al. Network meta-analysis of second-line treatment in metastatic renal cell carcinoma: efficacy and safety. </w:t>
      </w:r>
      <w:hyperlink r:id="rId340">
        <w:r>
          <w:t>Future Oncol</w:t>
        </w:r>
      </w:hyperlink>
      <w:r>
        <w:t xml:space="preserve"> 2017;13(29):2709–17. DOI: 10.2217/fon-2017-0268.</w:t>
      </w:r>
    </w:p>
    <w:p w:rsidR="00C3791F" w:rsidRDefault="00AE1F83">
      <w:pPr>
        <w:ind w:left="851" w:right="189" w:hanging="425"/>
      </w:pPr>
      <w:r>
        <w:t xml:space="preserve">217.Wen T., Xiao H., Luo C. et al. Efficacy of sequential therapies with sorafenib-sunitinib </w:t>
      </w:r>
      <w:r>
        <w:rPr>
          <w:i/>
        </w:rPr>
        <w:t>versus</w:t>
      </w:r>
      <w:r>
        <w:t xml:space="preserve"> sunitinib-sorafenib i</w:t>
      </w:r>
      <w:r>
        <w:t>n metastatic renal cell carcinoma: A systematic review and meta-analysis. Oncotarget 2017;8(12):20441–51. DOI: 10.18632/oncotarget.14671.</w:t>
      </w:r>
    </w:p>
    <w:p w:rsidR="00C3791F" w:rsidRDefault="00AE1F83">
      <w:pPr>
        <w:ind w:left="851" w:right="189" w:hanging="425"/>
      </w:pPr>
      <w:r>
        <w:t xml:space="preserve">218.Bellmunt J., Esteban E., Muro X.G.D. et al. Pazopanib as Second-line Antiangiogenic Treatment in Metastatic Renal </w:t>
      </w:r>
      <w:r>
        <w:t xml:space="preserve">Cell Carcinoma After Tyrosine Kinase Inhibitor (TKI) Failure: A Phase 2 Trial Exploring Immune-related Biomarkers for Testing in the Postimmunotherapy/TKI Era. Eur Urol Oncol 2019;S2588-9311(19):30117–8. DOI: </w:t>
      </w:r>
    </w:p>
    <w:p w:rsidR="00C3791F" w:rsidRDefault="00AE1F83">
      <w:pPr>
        <w:spacing w:after="114" w:line="259" w:lineRule="auto"/>
        <w:ind w:left="861" w:right="189"/>
      </w:pPr>
      <w:r>
        <w:t>10.1016/j.euo.2019.07.014.</w:t>
      </w:r>
    </w:p>
    <w:p w:rsidR="00C3791F" w:rsidRDefault="00AE1F83">
      <w:pPr>
        <w:ind w:left="436" w:right="189"/>
      </w:pPr>
      <w:r>
        <w:t>219.</w:t>
      </w:r>
      <w:hyperlink r:id="rId341">
        <w:r>
          <w:t>Rousseau B</w:t>
        </w:r>
      </w:hyperlink>
      <w:r>
        <w:t xml:space="preserve">., </w:t>
      </w:r>
      <w:hyperlink r:id="rId342">
        <w:r>
          <w:t>Kempf E</w:t>
        </w:r>
      </w:hyperlink>
      <w:r>
        <w:t xml:space="preserve">., </w:t>
      </w:r>
      <w:hyperlink r:id="rId343">
        <w:r>
          <w:t>Desamericq G</w:t>
        </w:r>
      </w:hyperlink>
      <w:r>
        <w:t xml:space="preserve">. et al. First-line antiangiogenics for metastatic renal cell carcinoma: A systematic review and network meta-analysis. </w:t>
      </w:r>
      <w:hyperlink r:id="rId344">
        <w:r>
          <w:t>Crit Rev Oncol Hematol</w:t>
        </w:r>
      </w:hyperlink>
      <w:r>
        <w:t xml:space="preserve"> 2016;107:44−53. DOI: 10.1016/j.critrevonc.2016.08.012.</w:t>
      </w:r>
    </w:p>
    <w:p w:rsidR="00C3791F" w:rsidRDefault="00AE1F83">
      <w:pPr>
        <w:ind w:left="851" w:right="189" w:hanging="425"/>
      </w:pPr>
      <w:r>
        <w:t>220.</w:t>
      </w:r>
      <w:hyperlink r:id="rId345">
        <w:r>
          <w:t>Seymour L</w:t>
        </w:r>
      </w:hyperlink>
      <w:r>
        <w:t xml:space="preserve">., </w:t>
      </w:r>
      <w:hyperlink r:id="rId346">
        <w:r>
          <w:t>Bogaerts J</w:t>
        </w:r>
      </w:hyperlink>
      <w:r>
        <w:t xml:space="preserve">., </w:t>
      </w:r>
      <w:hyperlink r:id="rId347">
        <w:r>
          <w:t>Perrone A</w:t>
        </w:r>
      </w:hyperlink>
      <w:r>
        <w:t xml:space="preserve">. et al. </w:t>
      </w:r>
      <w:hyperlink r:id="rId348">
        <w:r>
          <w:t>RECIST working group</w:t>
        </w:r>
      </w:hyperlink>
      <w:r>
        <w:t xml:space="preserve">. iRECIST: guidelines for response criteria for use in trials testing immunotherapeutics. </w:t>
      </w:r>
      <w:hyperlink r:id="rId349">
        <w:r>
          <w:t>Lancet Oncol</w:t>
        </w:r>
      </w:hyperlink>
      <w:r>
        <w:t xml:space="preserve"> 2017;18(3):e143–52. DOI: 10.1016/S1470-2045(17)30074-8. Epub 2017 Mar 2.</w:t>
      </w:r>
    </w:p>
    <w:p w:rsidR="00C3791F" w:rsidRDefault="00AE1F83">
      <w:pPr>
        <w:ind w:left="851" w:right="189" w:hanging="425"/>
      </w:pPr>
      <w:r>
        <w:t>221.Yasar H.A., Bir Yucel K., Arslan C. et al. The relationship between prognostic nutritional index and treatment r</w:t>
      </w:r>
      <w:r>
        <w:t>esponse in patients with metastatic renal cell cancer. J Oncol Pharm Pract 2019;25:1078155219883004. DOI: 10.1177/1078155219883004. [Epub ahead of print].</w:t>
      </w:r>
    </w:p>
    <w:p w:rsidR="00C3791F" w:rsidRDefault="00AE1F83">
      <w:pPr>
        <w:ind w:left="851" w:right="189" w:hanging="425"/>
      </w:pPr>
      <w:r>
        <w:t>222.Miyake H., Tei H., Fujisawa M. Geriatric nutrition risk index is an important predictor of cancer</w:t>
      </w:r>
      <w:r>
        <w:t xml:space="preserve">-specific survival, but not recurrence-free survival, in patients undergoing surgical resection for non-metastatic renal cell carcinoma. </w:t>
      </w:r>
      <w:hyperlink r:id="rId350">
        <w:r>
          <w:t>Curr Urol</w:t>
        </w:r>
      </w:hyperlink>
      <w:r>
        <w:t xml:space="preserve"> 2017;</w:t>
      </w:r>
      <w:r>
        <w:t>10(1):26–31. DOI: 10.1159/000447147.</w:t>
      </w:r>
    </w:p>
    <w:p w:rsidR="00C3791F" w:rsidRDefault="00AE1F83">
      <w:pPr>
        <w:ind w:left="851" w:right="189" w:hanging="425"/>
      </w:pPr>
      <w:r>
        <w:t>223.Tahbaz R., Schmid M., Merseburger A.S. Prevention of kidney cancer incidence and recurrence: lifestyle, medication and nutrition. Curr Opin Urol 2018;28(1):62–79. DOI: 10.1097/MOU.0000000000000454.</w:t>
      </w:r>
    </w:p>
    <w:p w:rsidR="00C3791F" w:rsidRDefault="00AE1F83">
      <w:pPr>
        <w:ind w:left="851" w:right="189" w:hanging="425"/>
      </w:pPr>
      <w:r>
        <w:t xml:space="preserve">224.Silver J.A., </w:t>
      </w:r>
      <w:r>
        <w:t>Baima J. Cancer prehabilitation: an opportunity to decrease treatment-related morbidity, increase cancer treatment options, and improve physical and psychological health outcomes. Am J Phys Med Rehabil 2103;92(8):715−27.</w:t>
      </w:r>
    </w:p>
    <w:p w:rsidR="00C3791F" w:rsidRDefault="00AE1F83">
      <w:pPr>
        <w:ind w:left="851" w:right="189" w:hanging="425"/>
      </w:pPr>
      <w:r>
        <w:t>225.Tsimopoulou I., Pasquali S., Ho</w:t>
      </w:r>
      <w:r>
        <w:t xml:space="preserve">ward R. et al. Psychological prehabilitation before cancer surgery: A Systematic Review. Ann Surg Oncol 2015;22(13):4117−23. DOI: </w:t>
      </w:r>
    </w:p>
    <w:p w:rsidR="00C3791F" w:rsidRDefault="00AE1F83">
      <w:pPr>
        <w:spacing w:after="114" w:line="259" w:lineRule="auto"/>
        <w:ind w:left="861" w:right="189"/>
      </w:pPr>
      <w:r>
        <w:t>10.1245/s10434-015-4550-z.</w:t>
      </w:r>
    </w:p>
    <w:p w:rsidR="00C3791F" w:rsidRDefault="00AE1F83">
      <w:pPr>
        <w:ind w:left="851" w:right="189" w:hanging="425"/>
      </w:pPr>
      <w:r>
        <w:t>226.Swarm R., Abernethy A.P., Anghelescu D.L. et al. Adult Cancer Pain. J Natl Compr Canc Netw 201</w:t>
      </w:r>
      <w:r>
        <w:t>0;8(9):1046−86.</w:t>
      </w:r>
    </w:p>
    <w:p w:rsidR="00C3791F" w:rsidRDefault="00AE1F83">
      <w:pPr>
        <w:ind w:left="851" w:right="189" w:hanging="425"/>
      </w:pPr>
      <w:r>
        <w:t>227.Azhar R.A., Bochner B., Catto J. et al. Enhanced recovery after urological surgery: a contemporary systematic review of outcomes, key elements, and research needs. Eur Urol 2016;70(1):176−87.</w:t>
      </w:r>
    </w:p>
    <w:p w:rsidR="00C3791F" w:rsidRDefault="00AE1F83">
      <w:pPr>
        <w:ind w:left="851" w:right="189" w:hanging="425"/>
      </w:pPr>
      <w:r>
        <w:t>228.Recart A., Duchene D., White P.F. et al.</w:t>
      </w:r>
      <w:r>
        <w:t xml:space="preserve"> Efficacy and safety of fast-track recovery strategy for patients undergoing laparoscopic nephrectomy. J Endourol 2005;19(10):1165−9.</w:t>
      </w:r>
    </w:p>
    <w:p w:rsidR="00C3791F" w:rsidRDefault="00AE1F83">
      <w:pPr>
        <w:ind w:left="851" w:right="189" w:hanging="425"/>
      </w:pPr>
      <w:r>
        <w:t>229.Shin K.Y., Guo Y., Konzen B. et al. Inpatient cancer rehabilitation: the experience of a national comprehensive cancer</w:t>
      </w:r>
      <w:r>
        <w:t xml:space="preserve"> center. Am J Phys Med Rehabil 2011;90(5):63–8.</w:t>
      </w:r>
    </w:p>
    <w:p w:rsidR="00C3791F" w:rsidRDefault="00AE1F83">
      <w:pPr>
        <w:spacing w:after="107"/>
        <w:ind w:left="851" w:right="189" w:hanging="425"/>
      </w:pPr>
      <w:r>
        <w:t>230.Bourke L., Homer K.E., Thaha M.A. et al. Interventions to improve exercise behaviour in sedentary people living with and beyond cancer: a systematic review. Br J Cancer 2014;110:831–41.</w:t>
      </w:r>
    </w:p>
    <w:p w:rsidR="00C3791F" w:rsidRDefault="00AE1F83">
      <w:pPr>
        <w:ind w:left="851" w:right="189" w:hanging="425"/>
      </w:pPr>
      <w:r>
        <w:t>231.</w:t>
      </w:r>
      <w:r>
        <w:t>Hunter E.G., Baltisberger J. Functional outcomes by age for inpatient cancer rehabilitation: a retrospective chart review. J Appl Gerontol 2013;32(4):443–56.</w:t>
      </w:r>
    </w:p>
    <w:p w:rsidR="00C3791F" w:rsidRDefault="00AE1F83">
      <w:pPr>
        <w:spacing w:after="114" w:line="259" w:lineRule="auto"/>
        <w:ind w:left="436" w:right="189"/>
      </w:pPr>
      <w:r>
        <w:t>232.Segal R., Zwaal C., Green E. et al. Exercise for people with cancer guideline development</w:t>
      </w:r>
    </w:p>
    <w:p w:rsidR="00C3791F" w:rsidRDefault="00AE1F83">
      <w:pPr>
        <w:spacing w:after="109" w:line="259" w:lineRule="auto"/>
        <w:ind w:left="724" w:right="77"/>
        <w:jc w:val="right"/>
      </w:pPr>
      <w:r>
        <w:t>G: E</w:t>
      </w:r>
      <w:r>
        <w:t>xercise for people with cancer: a systematic review. Curr Oncol 2017;24(4):e290–315.</w:t>
      </w:r>
    </w:p>
    <w:p w:rsidR="00C3791F" w:rsidRDefault="00AE1F83">
      <w:pPr>
        <w:spacing w:after="0" w:line="357" w:lineRule="auto"/>
        <w:ind w:left="110"/>
        <w:jc w:val="center"/>
      </w:pPr>
      <w:r>
        <w:t>233.Hu C., Zhang H., Wu W. et al. Acupuncture for pain management in cancer: a systematic review and meta-analysis. Evid Based Complement Alternat Med 2016;2016:1720239.</w:t>
      </w:r>
    </w:p>
    <w:p w:rsidR="00C3791F" w:rsidRDefault="00AE1F83">
      <w:pPr>
        <w:ind w:left="851" w:right="189" w:hanging="425"/>
      </w:pPr>
      <w:r>
        <w:t>2</w:t>
      </w:r>
      <w:r>
        <w:t>34.Mehling W.E., Jacobs B., Acree M. et al. Symptom management with massage and acupuncture in postoperative cancer patients: a randomized controlled trial. J Pain Symptom Manage 2007;33(3):258−66.</w:t>
      </w:r>
    </w:p>
    <w:p w:rsidR="00C3791F" w:rsidRDefault="00AE1F83">
      <w:pPr>
        <w:ind w:left="851" w:right="189" w:hanging="425"/>
      </w:pPr>
      <w:r>
        <w:t>235.Lee S.H., Kim J.Y., Yeo S. et al. Meta-analysis of mas</w:t>
      </w:r>
      <w:r>
        <w:t>sage therapy on cancer pain. Integr Cancer Ther 2015;14(4):297–304.</w:t>
      </w:r>
    </w:p>
    <w:p w:rsidR="00C3791F" w:rsidRDefault="00AE1F83">
      <w:pPr>
        <w:ind w:left="851" w:right="189" w:hanging="425"/>
      </w:pPr>
      <w:r>
        <w:t>236.Boyd C., Crawford C., Paat C.F. et al. Evidence for massage therapy working G: the impact of massage therapy on function in pain populations-A systematic review and meta-analysis of ra</w:t>
      </w:r>
      <w:r>
        <w:t>ndomized controlled trials: Part II, Cancer Pain Populations. Pain Med 2016;17(8):1553−68.</w:t>
      </w:r>
    </w:p>
    <w:p w:rsidR="00C3791F" w:rsidRDefault="00AE1F83">
      <w:pPr>
        <w:ind w:left="851" w:right="189" w:hanging="425"/>
      </w:pPr>
      <w:r>
        <w:t>237.Kessels E., Husson O., van der Feltz-Cornelis C.M. The effect of exercise on cancer-related fatigue in cancer survivors: a systematic review and meta-analysis. N</w:t>
      </w:r>
      <w:r>
        <w:t>europsychiatr Dis Treat 2018;14:479−94.</w:t>
      </w:r>
    </w:p>
    <w:p w:rsidR="00C3791F" w:rsidRDefault="00AE1F83">
      <w:pPr>
        <w:ind w:left="851" w:right="189" w:hanging="425"/>
      </w:pPr>
      <w:r>
        <w:t>238.Rief H., Omlor G., Akbar M. et al. Feasibility of isometric spinal muscle training in patients with bone metastases under radiation therapy − first results of a randomized pilot trial. BMC Cancer 2014;14:67. http</w:t>
      </w:r>
      <w:r>
        <w:t>s://doi.org/10.1186/1471-2407-14-67.</w:t>
      </w:r>
    </w:p>
    <w:p w:rsidR="00C3791F" w:rsidRDefault="00AE1F83">
      <w:pPr>
        <w:ind w:left="851" w:right="189" w:hanging="425"/>
      </w:pPr>
      <w:r>
        <w:t>239.Bensadoun R.J., Nair R.G. Low-Level laser therapy in the management of mucositis and dermatitis induced by cancer therapy. Photomed Laser Surg 2015;33(10):487−91.</w:t>
      </w:r>
    </w:p>
    <w:p w:rsidR="00C3791F" w:rsidRDefault="00AE1F83">
      <w:pPr>
        <w:ind w:left="851" w:right="189" w:hanging="425"/>
      </w:pPr>
      <w:r>
        <w:t>240.Beisland C., Guðbrandsdottir G., Reisæter L.A. e</w:t>
      </w:r>
      <w:r>
        <w:t>t al. A prospective risk-stratified followup programme for radically treated renal cell carcinoma patients: evaluation after eight years of clinical use. World J Urol 2016;34(8):1087−99.</w:t>
      </w:r>
    </w:p>
    <w:p w:rsidR="00C3791F" w:rsidRDefault="00AE1F83">
      <w:pPr>
        <w:ind w:left="851" w:right="189" w:hanging="425"/>
      </w:pPr>
      <w:r>
        <w:t>241.</w:t>
      </w:r>
      <w:hyperlink r:id="rId351">
        <w:r>
          <w:t>Eggener S.E</w:t>
        </w:r>
      </w:hyperlink>
      <w:r>
        <w:t xml:space="preserve">., </w:t>
      </w:r>
      <w:hyperlink r:id="rId352">
        <w:r>
          <w:t>Yossepowitch O</w:t>
        </w:r>
      </w:hyperlink>
      <w:r>
        <w:t xml:space="preserve">., </w:t>
      </w:r>
      <w:hyperlink r:id="rId353">
        <w:r>
          <w:t>Pettus J.A</w:t>
        </w:r>
      </w:hyperlink>
      <w:r>
        <w:t xml:space="preserve">. Renal cell carcinoma recurrence after nephrectomy for localized disease: predicting survival from time of recurrence. </w:t>
      </w:r>
      <w:hyperlink r:id="rId354">
        <w:r>
          <w:t>J Clin</w:t>
        </w:r>
      </w:hyperlink>
      <w:r>
        <w:t xml:space="preserve"> </w:t>
      </w:r>
      <w:hyperlink r:id="rId355">
        <w:r>
          <w:t>Oncol</w:t>
        </w:r>
      </w:hyperlink>
      <w:r>
        <w:t xml:space="preserve"> 2006;24(19):3101−6.</w:t>
      </w:r>
    </w:p>
    <w:p w:rsidR="00C3791F" w:rsidRDefault="00AE1F83">
      <w:pPr>
        <w:spacing w:after="114" w:line="259" w:lineRule="auto"/>
        <w:ind w:left="436" w:right="189"/>
      </w:pPr>
      <w:r>
        <w:t xml:space="preserve">242.International Agency for Research on cancer (IARC). WHO IARC monographs. 2004. 83. </w:t>
      </w:r>
    </w:p>
    <w:p w:rsidR="00C3791F" w:rsidRDefault="00AE1F83">
      <w:pPr>
        <w:spacing w:after="114" w:line="259" w:lineRule="auto"/>
        <w:ind w:left="861" w:right="189"/>
      </w:pPr>
      <w:r>
        <w:t xml:space="preserve">Available at: </w:t>
      </w:r>
      <w:hyperlink r:id="rId356">
        <w:r>
          <w:t>https://monographs.iarc.fr/wp-content/uploads/2018/06/mono83.pdf</w:t>
        </w:r>
      </w:hyperlink>
      <w:r>
        <w:t xml:space="preserve">. </w:t>
      </w:r>
    </w:p>
    <w:p w:rsidR="00C3791F" w:rsidRDefault="00AE1F83">
      <w:pPr>
        <w:spacing w:after="114" w:line="259" w:lineRule="auto"/>
        <w:ind w:left="436" w:right="189"/>
      </w:pPr>
      <w:r>
        <w:t>243.Doehn C., Grünwald V., Steiner T. et al. The diagnosis, treatment, and follow-up of renal cell carcinoma. Dtsch Arztebl Int 2016;113(35–36):590–6.</w:t>
      </w:r>
    </w:p>
    <w:p w:rsidR="00C3791F" w:rsidRDefault="00AE1F83">
      <w:pPr>
        <w:ind w:left="851" w:right="189" w:hanging="425"/>
      </w:pPr>
      <w:r>
        <w:t>244.Oken M.M., Creech R.H., Tormey D.C. et al. Toxicity and response criteria of the Eastern Cooperative Oncology Group. Am J Clin Oncol 1982;5(6):649−55.</w:t>
      </w:r>
    </w:p>
    <w:p w:rsidR="00C3791F" w:rsidRDefault="00AE1F83">
      <w:pPr>
        <w:ind w:left="851" w:right="189" w:hanging="425"/>
      </w:pPr>
      <w:r>
        <w:t xml:space="preserve">245.Karnofsky D.A., Burchenal J.H. The clinical evaluation of chemotherapeutic agents in cancer. In: </w:t>
      </w:r>
      <w:r>
        <w:t>MacLeod C. (ed.). Evaluation of chemotherapeutic agents. New York: Columbia University Press, 1949. Pp.191–205.</w:t>
      </w:r>
    </w:p>
    <w:p w:rsidR="00C3791F" w:rsidRDefault="00AE1F83">
      <w:pPr>
        <w:spacing w:after="114" w:line="259" w:lineRule="auto"/>
        <w:ind w:left="436" w:right="189"/>
      </w:pPr>
      <w:r>
        <w:t xml:space="preserve">246.Hawker G.A., Mian S., Kendzerska T., French M. Measures of adult pain: Visual Analog </w:t>
      </w:r>
    </w:p>
    <w:p w:rsidR="00C3791F" w:rsidRDefault="00AE1F83">
      <w:pPr>
        <w:spacing w:after="114" w:line="259" w:lineRule="auto"/>
        <w:ind w:left="861" w:right="189"/>
      </w:pPr>
      <w:r>
        <w:t>Scale for Pain (VAS Pain), Numeric Rating Scale for Pa</w:t>
      </w:r>
      <w:r>
        <w:t xml:space="preserve">in (NRS Pain), McGill Pain </w:t>
      </w:r>
    </w:p>
    <w:p w:rsidR="00C3791F" w:rsidRDefault="00AE1F83">
      <w:pPr>
        <w:spacing w:after="114" w:line="259" w:lineRule="auto"/>
        <w:ind w:left="861" w:right="189"/>
      </w:pPr>
      <w:r>
        <w:t xml:space="preserve">Questionnaire (MPQ), Short-Form McGill Pain Questionnaire (SF-MPQ), Chronic Pain </w:t>
      </w:r>
    </w:p>
    <w:p w:rsidR="00C3791F" w:rsidRDefault="00AE1F83">
      <w:pPr>
        <w:spacing w:after="114" w:line="259" w:lineRule="auto"/>
        <w:ind w:left="861" w:right="189"/>
      </w:pPr>
      <w:r>
        <w:t xml:space="preserve">Grade Scale (CPGS), Short Form-36 Bodily Pain Scale (SF-36 BPS), and Measure of </w:t>
      </w:r>
    </w:p>
    <w:p w:rsidR="00C3791F" w:rsidRDefault="00AE1F83">
      <w:pPr>
        <w:ind w:left="861" w:right="189"/>
      </w:pPr>
      <w:r>
        <w:t>Intermittent and Constant Osteoarthritis Pain (ICOAP). Arthritis Care Res (Hoboken) 2011;63(Suppl 11):S240–52.</w:t>
      </w:r>
    </w:p>
    <w:p w:rsidR="00C3791F" w:rsidRDefault="00AE1F83">
      <w:pPr>
        <w:ind w:left="851" w:right="189" w:hanging="425"/>
      </w:pPr>
      <w:r>
        <w:t xml:space="preserve">247.Eisenhauer E.A., </w:t>
      </w:r>
      <w:hyperlink r:id="rId357">
        <w:r>
          <w:t>Ther</w:t>
        </w:r>
        <w:r>
          <w:t>asse P</w:t>
        </w:r>
      </w:hyperlink>
      <w:r>
        <w:t xml:space="preserve">., </w:t>
      </w:r>
      <w:hyperlink r:id="rId358">
        <w:r>
          <w:t>Bogaerts J</w:t>
        </w:r>
      </w:hyperlink>
      <w:r>
        <w:t xml:space="preserve">. et al. New response evaluation criteria in solid tumours: revised RECIST guideline (version 1.1). </w:t>
      </w:r>
      <w:hyperlink r:id="rId359">
        <w:r>
          <w:t>Eur J Cancer</w:t>
        </w:r>
      </w:hyperlink>
      <w:r>
        <w:t xml:space="preserve"> 2009;45(2):228–47. DOI: 10.1016/j.ejca.2008.10.026.</w:t>
      </w:r>
    </w:p>
    <w:p w:rsidR="00C3791F" w:rsidRDefault="00AE1F83">
      <w:pPr>
        <w:ind w:left="851" w:right="189" w:hanging="425"/>
      </w:pPr>
      <w:r>
        <w:t>248.Ansel S. et al. Real-world experience (RWE) of safety and efficacy of 6-weekly pembrolizumab 400mg (pem6w) plus axitinib (axi) in patients (</w:t>
      </w:r>
      <w:r>
        <w:t>pts) with advanced renal cell carcinoma (aRCC). – 2022.</w:t>
      </w:r>
    </w:p>
    <w:p w:rsidR="00C3791F" w:rsidRDefault="00AE1F83">
      <w:pPr>
        <w:ind w:left="851" w:right="189" w:hanging="425"/>
      </w:pPr>
      <w:r>
        <w:t>249.Choueiri T, Plimack E, Powles T, et al417 Phase 3 study of pembrolizumab + belzutifan + lenvatinib or pembrolizumab/quavonlimab + lenvatinib versus pembrolizumab + lenvatinib as first-line treatme</w:t>
      </w:r>
      <w:r>
        <w:t>nt for advanced renal cell carcinomaJournal for ImmunoTherapy of Cancer 2021;9:doi: 10.1136/jitc-2021-SITC2021.417</w:t>
      </w:r>
    </w:p>
    <w:p w:rsidR="00C3791F" w:rsidRDefault="00AE1F83">
      <w:pPr>
        <w:ind w:left="851" w:right="189" w:hanging="425"/>
      </w:pPr>
      <w:r>
        <w:t>250.Lee C. H. et al. Phase II Trial of Cabozantinib Plus Nivolumab in Patients With Non–ClearCell Renal Cell Carcinoma and Genomic Correlates</w:t>
      </w:r>
      <w:r>
        <w:t xml:space="preserve"> //Journal of Clinical Oncology. – 2022. </w:t>
      </w:r>
    </w:p>
    <w:p w:rsidR="00C3791F" w:rsidRDefault="00AE1F83">
      <w:pPr>
        <w:spacing w:after="114" w:line="259" w:lineRule="auto"/>
        <w:ind w:left="861" w:right="189"/>
      </w:pPr>
      <w:r>
        <w:t>– Т. 40. – №. 21. – С. 2333-2341.</w:t>
      </w:r>
    </w:p>
    <w:p w:rsidR="00C3791F" w:rsidRDefault="00AE1F83">
      <w:pPr>
        <w:ind w:left="851" w:right="189" w:hanging="425"/>
      </w:pPr>
      <w:r>
        <w:t>251.Moran M. et al. Sunitinib for metastatic renal cell carcinoma: a systematic review and metaanalysis of real-world and clinical trials data //Targeted oncology. – 2019. – Т. 14.</w:t>
      </w:r>
      <w:r>
        <w:t xml:space="preserve"> – №. 4. – С. 405-416.</w:t>
      </w:r>
    </w:p>
    <w:p w:rsidR="00C3791F" w:rsidRDefault="00AE1F83">
      <w:pPr>
        <w:ind w:left="851" w:right="189" w:hanging="425"/>
      </w:pPr>
      <w:r>
        <w:t>252.Lee CH, Hötker AM, Voss MH, Feldman DR, Woo KM, Patil S, Coskey DT, Akin O, Hsieh JJ, Motzer RJ. Bevacizumab Monotherapy as Salvage Therapy for Advanced Clear Cell Renal Cell Carcinoma Pretreated With Targeted Drugs. Clin Genitou</w:t>
      </w:r>
      <w:r>
        <w:t xml:space="preserve">rin Cancer. 2016 </w:t>
      </w:r>
    </w:p>
    <w:p w:rsidR="00C3791F" w:rsidRDefault="00AE1F83">
      <w:pPr>
        <w:ind w:left="861" w:right="189"/>
      </w:pPr>
      <w:r>
        <w:t>Feb;14(1):56-62. doi: 10.1016/j.clgc.2015.07.010. Epub 2015 Aug 7. PMID: 26404107; PMCID: PMC4965701.</w:t>
      </w:r>
    </w:p>
    <w:p w:rsidR="00C3791F" w:rsidRDefault="00AE1F83">
      <w:pPr>
        <w:ind w:left="851" w:right="189" w:hanging="425"/>
      </w:pPr>
      <w:r>
        <w:t>253.Masters J. C. et al. Model‐informed drug development supporting the approval of the avelumab flat‐dose regimen in patients with adva</w:t>
      </w:r>
      <w:r>
        <w:t>nced renal cell carcinoma //CPT: pharmacometrics &amp; systems pharmacology. – 2022. – Т. 11. – №. 4. – С. 458-468.</w:t>
      </w:r>
    </w:p>
    <w:p w:rsidR="00C3791F" w:rsidRDefault="00AE1F83">
      <w:pPr>
        <w:spacing w:line="359" w:lineRule="auto"/>
        <w:ind w:left="851" w:right="131" w:hanging="425"/>
        <w:jc w:val="left"/>
      </w:pPr>
      <w:r>
        <w:t xml:space="preserve">254.Motzer R. J. et al. Adjuvant nivolumab plus ipilimumab versus placebo for localised renal cell carcinoma after nephrectomy (CheckMate 914): </w:t>
      </w:r>
      <w:r>
        <w:t>A double-blind, randomised, phase 3 trial //The Lancet. – 2023. – Т. 401. – №. 10379. – С. 821-832.</w:t>
      </w:r>
    </w:p>
    <w:p w:rsidR="00C3791F" w:rsidRDefault="00AE1F83">
      <w:pPr>
        <w:ind w:left="851" w:right="189" w:hanging="425"/>
      </w:pPr>
      <w:r>
        <w:t>255.Izumi K. et al. Clinical outcomes of nivolumab plus ipilimumab in patients with metastatic non‐clear cell renal cell carcinoma: Real‐world data from a J</w:t>
      </w:r>
      <w:r>
        <w:t>apanese multicenter retrospective study //International Journal of Urology. – 2022.</w:t>
      </w:r>
    </w:p>
    <w:p w:rsidR="00C3791F" w:rsidRDefault="00AE1F83">
      <w:pPr>
        <w:spacing w:after="114" w:line="259" w:lineRule="auto"/>
        <w:ind w:left="436" w:right="189"/>
      </w:pPr>
      <w:r>
        <w:t xml:space="preserve">256.lbiges L, Gurney H, Atduev V, Suarez C, Climent MA, Pook D, Tomczak P, Barthelemy P, </w:t>
      </w:r>
    </w:p>
    <w:p w:rsidR="00C3791F" w:rsidRDefault="00AE1F83">
      <w:pPr>
        <w:ind w:left="861" w:right="189"/>
      </w:pPr>
      <w:r>
        <w:t>Lee JL, Stus V, Ferguson T, Wiechno P, Gokmen E, Lacombe L, Gedye C, Perini RF, Sh</w:t>
      </w:r>
      <w:r>
        <w:t>arma M, Peng X, Lee CH. Pembrolizumab plus lenvatinib as first-line therapy for advanced non-clear-cell renal cell carcinoma (KEYNOTE-B61): a single-arm, multicentre, phase 2 trial. Lancet Oncol. 2023 Aug;24(8):881-891.</w:t>
      </w:r>
    </w:p>
    <w:p w:rsidR="00C3791F" w:rsidRDefault="00AE1F83">
      <w:pPr>
        <w:ind w:left="851" w:right="189" w:hanging="425"/>
      </w:pPr>
      <w:r>
        <w:t xml:space="preserve">257.Lee CH, Voss MH, Carlo MI, Chen </w:t>
      </w:r>
      <w:r>
        <w:t>YB, Zucker M, Knezevic A, Lefkowitz RA, Shapnik N, Dadoun C, Reznik E, Shah NJ, Owens CN, McHugh DJ, Aggen DH, Laccetti AL, Kotecha R, Feldman DR, Motzer RJ. Phase II Trial of Cabozantinib Plus Nivolumab in Patients With Non-Clear-Cell Renal Cell Carcinoma</w:t>
      </w:r>
      <w:r>
        <w:t xml:space="preserve"> and Genomic Correlates. J Clin Oncol. 2022 Jul 20;40(21):2333-2341.</w:t>
      </w:r>
    </w:p>
    <w:p w:rsidR="00C3791F" w:rsidRDefault="00AE1F83">
      <w:pPr>
        <w:ind w:left="851" w:right="189" w:hanging="425"/>
      </w:pPr>
      <w:r>
        <w:t xml:space="preserve">258.Cherny NI, Dafni U, Bogaerts J, Latino NJ, Pentheroudakis G, Douillard JY, Tabernero J, Zielinski C, Piccart MJ, de Vries EGE. ESMO-Magnitude of Clinical Benefit Scale version </w:t>
      </w:r>
    </w:p>
    <w:p w:rsidR="00C3791F" w:rsidRDefault="00AE1F83">
      <w:pPr>
        <w:spacing w:after="114" w:line="259" w:lineRule="auto"/>
        <w:ind w:left="861" w:right="189"/>
      </w:pPr>
      <w:r>
        <w:t>1.1. A</w:t>
      </w:r>
      <w:r>
        <w:t>nn Oncol. 2017 Oct 1;28(10):2340-2366.</w:t>
      </w:r>
    </w:p>
    <w:p w:rsidR="00C3791F" w:rsidRDefault="00AE1F83">
      <w:pPr>
        <w:spacing w:line="359" w:lineRule="auto"/>
        <w:ind w:left="851" w:right="131" w:hanging="425"/>
        <w:jc w:val="left"/>
      </w:pPr>
      <w:r>
        <w:t>259.Pal SK, Uzzo R, Karam JA, et al. Adjuvant atezolizumab versus placebo for patients with renal cell carcinoma at increased risk of recurrence following resection (IMmotion010): a multicentre, randomised, double-bli</w:t>
      </w:r>
      <w:r>
        <w:t>nd, phase 3 trial. Lancet. 2022 Oct 1;400(10358):1103-1116.</w:t>
      </w:r>
    </w:p>
    <w:p w:rsidR="00C3791F" w:rsidRDefault="00AE1F83">
      <w:pPr>
        <w:spacing w:after="114" w:line="259" w:lineRule="auto"/>
        <w:ind w:left="436" w:right="189"/>
      </w:pPr>
      <w:r>
        <w:t xml:space="preserve">260.Motzer RJ, Bex A, Russo P, et al. Adjuvant Nivolumab for Localized Renal Cell </w:t>
      </w:r>
    </w:p>
    <w:p w:rsidR="00C3791F" w:rsidRDefault="00AE1F83">
      <w:pPr>
        <w:spacing w:after="114" w:line="259" w:lineRule="auto"/>
        <w:ind w:left="371"/>
        <w:jc w:val="center"/>
      </w:pPr>
      <w:r>
        <w:t xml:space="preserve">Carcinoma at High Risk of Recurrence After Nephrectomy: Part B of the Randomized, </w:t>
      </w:r>
    </w:p>
    <w:p w:rsidR="00C3791F" w:rsidRDefault="00AE1F83">
      <w:pPr>
        <w:ind w:left="861" w:right="189"/>
      </w:pPr>
      <w:r>
        <w:t>Placebo-Controlled, Phase III CheckMate 914 Trial. J Clin Oncol. 2024 Sep 20:JCO2400773.</w:t>
      </w:r>
    </w:p>
    <w:p w:rsidR="00C3791F" w:rsidRDefault="00AE1F83">
      <w:pPr>
        <w:spacing w:line="359" w:lineRule="auto"/>
        <w:ind w:left="851" w:right="131" w:hanging="425"/>
        <w:jc w:val="left"/>
      </w:pPr>
      <w:r>
        <w:t>261.Powles T, Tomczak P, Park SH, et al. Pembrolizumab versus placebo as postnephrectomy adjuvant therapy for clear cell renal cell carcinoma (KEYNOTE-564): 30month fo</w:t>
      </w:r>
      <w:r>
        <w:t>llow-up analysis of a multicentre, randomised, double-blind, placebo-controlled, phase 3 trial. Lancet Oncol. 2022 Sep;23(9):1133-1144.</w:t>
      </w:r>
    </w:p>
    <w:p w:rsidR="00C3791F" w:rsidRDefault="00AE1F83">
      <w:pPr>
        <w:ind w:left="862" w:right="189" w:hanging="425"/>
      </w:pPr>
      <w:r>
        <w:rPr>
          <w:sz w:val="22"/>
        </w:rPr>
        <w:t>262.</w:t>
      </w:r>
      <w:r>
        <w:t>Международная классификация болезней – онкология (МКБ-О), 3 издание, 1 пересмотр. Сост. Э. Фритц, К. Перси, Э. Джек,</w:t>
      </w:r>
      <w:r>
        <w:t xml:space="preserve"> К. Шанмугаратнам, Л. Собин, Д.М. Паркин, Ш. Уилан / Пер. с англ. А.В. Филочкиной, под ред. А.М. Беляева, О.Ф. Чепика, А.С. Артемьевой, А.А. Барчука, Ю.И. Комарова – СПб.: Издательство «Вопросы онкологии», 2017. – 352 с.</w:t>
      </w:r>
      <w:r>
        <w:br w:type="page"/>
      </w:r>
    </w:p>
    <w:p w:rsidR="00C3791F" w:rsidRDefault="00AE1F83">
      <w:pPr>
        <w:spacing w:after="202" w:line="357" w:lineRule="auto"/>
        <w:ind w:left="137" w:right="163"/>
        <w:jc w:val="left"/>
      </w:pPr>
      <w:r>
        <w:rPr>
          <w:b/>
          <w:sz w:val="28"/>
        </w:rPr>
        <w:t>Приложение А1. Состав рабочей груп</w:t>
      </w:r>
      <w:r>
        <w:rPr>
          <w:b/>
          <w:sz w:val="28"/>
        </w:rPr>
        <w:t xml:space="preserve">пы по разработке и пересмотру </w:t>
      </w:r>
    </w:p>
    <w:p w:rsidR="00C3791F" w:rsidRDefault="00AE1F83">
      <w:pPr>
        <w:pStyle w:val="Heading1"/>
        <w:spacing w:line="357" w:lineRule="auto"/>
        <w:ind w:left="137" w:right="163"/>
        <w:jc w:val="left"/>
      </w:pPr>
      <w:r>
        <w:t>клинических рекомендаций</w:t>
      </w:r>
    </w:p>
    <w:p w:rsidR="00C3791F" w:rsidRDefault="00AE1F83">
      <w:pPr>
        <w:numPr>
          <w:ilvl w:val="0"/>
          <w:numId w:val="54"/>
        </w:numPr>
        <w:ind w:right="189" w:hanging="360"/>
      </w:pPr>
      <w:r>
        <w:rPr>
          <w:b/>
        </w:rPr>
        <w:t>Алексеев Борис Яковлевич</w:t>
      </w:r>
      <w:r>
        <w:t xml:space="preserve"> ‒ д.м.н., профессор, заведующий курсом онкоурологии при кафедре урологии ФПК МР РУДН, заведующий кафедрой онкологии МИУВ МГУПП, заместитель директора по науке МНИОИ им. П.А. Г</w:t>
      </w:r>
      <w:r>
        <w:t>ерцена − филиала ФГБУ «НМИЦ радиологии» Минздрава России, ученый секретарь Российского общества онкоурологов.</w:t>
      </w:r>
    </w:p>
    <w:p w:rsidR="00C3791F" w:rsidRDefault="00AE1F83">
      <w:pPr>
        <w:numPr>
          <w:ilvl w:val="0"/>
          <w:numId w:val="54"/>
        </w:numPr>
        <w:ind w:right="189" w:hanging="360"/>
      </w:pPr>
      <w:r>
        <w:rPr>
          <w:b/>
        </w:rPr>
        <w:t>Болотина Лариса Владимировна</w:t>
      </w:r>
      <w:r>
        <w:t xml:space="preserve"> − д.м.н., профессор РАН, заведующая отделением химиотерапии отдела лекарственного лечения опухолей МНИОИ им. П.А. Гер</w:t>
      </w:r>
      <w:r>
        <w:t>цена – филиала ФГБУ «НМИЦ радиологии» Минздрава России.</w:t>
      </w:r>
    </w:p>
    <w:p w:rsidR="00C3791F" w:rsidRDefault="00AE1F83">
      <w:pPr>
        <w:numPr>
          <w:ilvl w:val="0"/>
          <w:numId w:val="54"/>
        </w:numPr>
        <w:ind w:right="189" w:hanging="360"/>
      </w:pPr>
      <w:r>
        <w:rPr>
          <w:b/>
        </w:rPr>
        <w:t>Волкова Мария Игоревна</w:t>
      </w:r>
      <w:r>
        <w:t xml:space="preserve"> – д.м.н., профессор кафедры онкологии и паллиативной медицины им. А.И. Савицкого ФГБОУ ДПО РМАНПО, врач онкологического отделения №8 «Онкологического центра № 1 ГКБ имени С. С. </w:t>
      </w:r>
      <w:r>
        <w:t>Юдина ДЗМ».</w:t>
      </w:r>
    </w:p>
    <w:p w:rsidR="00C3791F" w:rsidRDefault="00AE1F83">
      <w:pPr>
        <w:numPr>
          <w:ilvl w:val="0"/>
          <w:numId w:val="54"/>
        </w:numPr>
        <w:ind w:right="189" w:hanging="360"/>
      </w:pPr>
      <w:r>
        <w:rPr>
          <w:b/>
        </w:rPr>
        <w:t xml:space="preserve">Говоров Александр Викторович </w:t>
      </w:r>
      <w:r>
        <w:t>−</w:t>
      </w:r>
      <w:r>
        <w:rPr>
          <w:b/>
        </w:rPr>
        <w:t xml:space="preserve"> </w:t>
      </w:r>
      <w:r>
        <w:t>д.м.н., профессор кафедры урологии ФГБОУ ВО «Московский государственный медико-стоматологический университет им. А.И. Евдокимова» Минздрава России; Российское общество урологов.</w:t>
      </w:r>
    </w:p>
    <w:p w:rsidR="00C3791F" w:rsidRDefault="00AE1F83">
      <w:pPr>
        <w:numPr>
          <w:ilvl w:val="0"/>
          <w:numId w:val="54"/>
        </w:numPr>
        <w:ind w:right="189" w:hanging="360"/>
      </w:pPr>
      <w:r>
        <w:rPr>
          <w:b/>
        </w:rPr>
        <w:t>Каприн Андрей Дмитриевич</w:t>
      </w:r>
      <w:r>
        <w:t xml:space="preserve"> − академик РАН, д.м.н., профессор, заслуженный врач РФ, генеральный директор ФГБУ «Национальный медицинский исследовательский центр радиологии» Минздрава России, заведующий кафедрой урологии и оперативной нефрологии с курсом онкоурологии Медицинского инст</w:t>
      </w:r>
      <w:r>
        <w:t>итута ФГАОУ ВО «Российский университет дружбы народов».</w:t>
      </w:r>
    </w:p>
    <w:p w:rsidR="00C3791F" w:rsidRDefault="00AE1F83">
      <w:pPr>
        <w:numPr>
          <w:ilvl w:val="0"/>
          <w:numId w:val="54"/>
        </w:numPr>
        <w:ind w:right="189" w:hanging="360"/>
      </w:pPr>
      <w:r>
        <w:rPr>
          <w:b/>
        </w:rPr>
        <w:t>Костин Андрей Александрович</w:t>
      </w:r>
      <w:r>
        <w:t xml:space="preserve"> − д.м.н., главный научный сотрудник отдела опухолей репродуктивных и мочевыводящих органов МНИОИ им. П.А. Герцена - филиала ФГБУ «НМИЦ радиологии» Минздрава России.</w:t>
      </w:r>
    </w:p>
    <w:p w:rsidR="00C3791F" w:rsidRDefault="00AE1F83">
      <w:pPr>
        <w:numPr>
          <w:ilvl w:val="0"/>
          <w:numId w:val="54"/>
        </w:numPr>
        <w:ind w:right="189" w:hanging="360"/>
      </w:pPr>
      <w:r>
        <w:rPr>
          <w:b/>
        </w:rPr>
        <w:t>Матвеев</w:t>
      </w:r>
      <w:r>
        <w:rPr>
          <w:b/>
        </w:rPr>
        <w:t xml:space="preserve"> Всеволод Борисович</w:t>
      </w:r>
      <w:r>
        <w:t xml:space="preserve"> − академик РАН, д.м.н., профессор, заместитель директора по научной и инновационной работе и заведующий урологическим отделением ФГБУ «Национальный медицинский исследовательский центр онкологии им. Н.Н. Блохина» Минздрава России, презид</w:t>
      </w:r>
      <w:r>
        <w:t>ент Российского общества онкоурологов.</w:t>
      </w:r>
    </w:p>
    <w:tbl>
      <w:tblPr>
        <w:tblStyle w:val="TableGrid"/>
        <w:tblpPr w:vertAnchor="text" w:tblpX="861" w:tblpY="-10"/>
        <w:tblOverlap w:val="never"/>
        <w:tblW w:w="8633" w:type="dxa"/>
        <w:tblInd w:w="0" w:type="dxa"/>
        <w:tblCellMar>
          <w:top w:w="10" w:type="dxa"/>
          <w:left w:w="1" w:type="dxa"/>
          <w:bottom w:w="0" w:type="dxa"/>
          <w:right w:w="4" w:type="dxa"/>
        </w:tblCellMar>
        <w:tblLook w:val="04A0" w:firstRow="1" w:lastRow="0" w:firstColumn="1" w:lastColumn="0" w:noHBand="0" w:noVBand="1"/>
      </w:tblPr>
      <w:tblGrid>
        <w:gridCol w:w="8633"/>
      </w:tblGrid>
      <w:tr w:rsidR="00C3791F">
        <w:trPr>
          <w:trHeight w:val="275"/>
        </w:trPr>
        <w:tc>
          <w:tcPr>
            <w:tcW w:w="8633" w:type="dxa"/>
            <w:tcBorders>
              <w:top w:val="nil"/>
              <w:left w:val="nil"/>
              <w:bottom w:val="nil"/>
              <w:right w:val="nil"/>
            </w:tcBorders>
            <w:shd w:val="clear" w:color="auto" w:fill="FCFCFC"/>
          </w:tcPr>
          <w:p w:rsidR="00C3791F" w:rsidRDefault="00AE1F83">
            <w:pPr>
              <w:spacing w:after="0" w:line="259" w:lineRule="auto"/>
              <w:ind w:left="0" w:firstLine="0"/>
            </w:pPr>
            <w:r>
              <w:rPr>
                <w:b/>
              </w:rPr>
              <w:t>Михайленко Дмитрий Сергеевич</w:t>
            </w:r>
            <w:r>
              <w:t xml:space="preserve"> – к.м.н., доцент, заведующий кафедрой</w:t>
            </w:r>
          </w:p>
        </w:tc>
      </w:tr>
    </w:tbl>
    <w:p w:rsidR="00C3791F" w:rsidRDefault="00AE1F83">
      <w:pPr>
        <w:numPr>
          <w:ilvl w:val="0"/>
          <w:numId w:val="54"/>
        </w:numPr>
        <w:spacing w:line="357" w:lineRule="auto"/>
        <w:ind w:right="189" w:hanging="360"/>
      </w:pPr>
      <w:r>
        <w:rPr>
          <w:shd w:val="clear" w:color="auto" w:fill="FCFCFC"/>
        </w:rPr>
        <w:t>онкогенетики ИВиДПО ФГБНУ «Медико-генетический научный центр им. акад.</w:t>
      </w:r>
      <w:r>
        <w:t xml:space="preserve"> </w:t>
      </w:r>
    </w:p>
    <w:p w:rsidR="00C3791F" w:rsidRDefault="00AE1F83">
      <w:pPr>
        <w:spacing w:line="357" w:lineRule="auto"/>
        <w:ind w:left="872"/>
        <w:jc w:val="left"/>
      </w:pPr>
      <w:r>
        <w:rPr>
          <w:shd w:val="clear" w:color="auto" w:fill="FCFCFC"/>
        </w:rPr>
        <w:t>Н.П. Бочкова»; руководитель рабочей группы по онкогенетике Российского</w:t>
      </w:r>
      <w:r>
        <w:t xml:space="preserve"> </w:t>
      </w:r>
      <w:r>
        <w:rPr>
          <w:shd w:val="clear" w:color="auto" w:fill="FCFCFC"/>
        </w:rPr>
        <w:t>общества медицинских генетиков.</w:t>
      </w:r>
    </w:p>
    <w:p w:rsidR="00C3791F" w:rsidRDefault="00AE1F83">
      <w:pPr>
        <w:numPr>
          <w:ilvl w:val="0"/>
          <w:numId w:val="54"/>
        </w:numPr>
        <w:ind w:right="189" w:hanging="360"/>
      </w:pPr>
      <w:r>
        <w:rPr>
          <w:b/>
        </w:rPr>
        <w:t>Носов Дмитрий Александрович</w:t>
      </w:r>
      <w:r>
        <w:t xml:space="preserve"> − д.м.н., профессор, руководитель онкологического отделения ФГБУ «Центральная клиническая больница с поликлиникой» Управления делами Президента Российской Федерации; Российское общество клиническо</w:t>
      </w:r>
      <w:r>
        <w:t>й онкологии.</w:t>
      </w:r>
    </w:p>
    <w:p w:rsidR="00C3791F" w:rsidRDefault="00AE1F83">
      <w:pPr>
        <w:numPr>
          <w:ilvl w:val="0"/>
          <w:numId w:val="54"/>
        </w:numPr>
        <w:ind w:right="189" w:hanging="360"/>
      </w:pPr>
      <w:r>
        <w:rPr>
          <w:b/>
        </w:rPr>
        <w:t>Пушкарь Дмитрий Юрьевич</w:t>
      </w:r>
      <w:r>
        <w:t xml:space="preserve"> − академик РАН, д.м.н., профессор, заведующий кафедрой урологии ФГБОУ ВО «Московский государственный медико-</w:t>
      </w:r>
    </w:p>
    <w:p w:rsidR="00C3791F" w:rsidRDefault="00AE1F83">
      <w:pPr>
        <w:ind w:left="872" w:right="189"/>
      </w:pPr>
      <w:r>
        <w:t>стоматологический университет им. А.И. Евдокимова» Минздрава России, главный специалист-уролог Минздрава Росси</w:t>
      </w:r>
      <w:r>
        <w:t>и; Российское общество урологов.</w:t>
      </w:r>
    </w:p>
    <w:p w:rsidR="00C3791F" w:rsidRDefault="00AE1F83">
      <w:pPr>
        <w:numPr>
          <w:ilvl w:val="0"/>
          <w:numId w:val="54"/>
        </w:numPr>
        <w:ind w:right="189" w:hanging="360"/>
      </w:pPr>
      <w:r>
        <w:rPr>
          <w:b/>
        </w:rPr>
        <w:t>Фалалеева Наталья Александровна</w:t>
      </w:r>
      <w:r>
        <w:t xml:space="preserve"> – д.м.н., заведующая отделом лекарственного лечения злокачественных новообразований МРНЦ им. А.Ф. Цыба – филиала ФГБУ «НМИЦ радиологии» Минздрава России.</w:t>
      </w:r>
    </w:p>
    <w:p w:rsidR="00C3791F" w:rsidRDefault="00AE1F83">
      <w:pPr>
        <w:numPr>
          <w:ilvl w:val="0"/>
          <w:numId w:val="54"/>
        </w:numPr>
        <w:ind w:right="189" w:hanging="360"/>
      </w:pPr>
      <w:r>
        <w:rPr>
          <w:b/>
        </w:rPr>
        <w:t>Феденко Александр Александрович</w:t>
      </w:r>
      <w:r>
        <w:t xml:space="preserve"> – д.м</w:t>
      </w:r>
      <w:r>
        <w:t>.н., профессор, заведующий отделом лекарственного лечения опухолей МНИОИ им. П.А. Герцена − филиала ФГБУ «НМИЦ радиологии» Минздрава России.</w:t>
      </w:r>
    </w:p>
    <w:p w:rsidR="00C3791F" w:rsidRDefault="00AE1F83">
      <w:pPr>
        <w:numPr>
          <w:ilvl w:val="0"/>
          <w:numId w:val="54"/>
        </w:numPr>
        <w:ind w:right="189" w:hanging="360"/>
      </w:pPr>
      <w:r>
        <w:rPr>
          <w:b/>
        </w:rPr>
        <w:t>Хмелевский Евгений Витальевич</w:t>
      </w:r>
      <w:r>
        <w:t xml:space="preserve"> − д.м.н., профессор, заведующий отделом лучевой терапии МНИОИ им. П. А. Герцена, врач</w:t>
      </w:r>
      <w:r>
        <w:t>-радиотерапевт МНИОИ им. П. А. Герцена - филиал ФГБУ «НМИЦ радиологии» Минздрава России.</w:t>
      </w:r>
    </w:p>
    <w:p w:rsidR="00C3791F" w:rsidRDefault="00AE1F83">
      <w:pPr>
        <w:numPr>
          <w:ilvl w:val="0"/>
          <w:numId w:val="54"/>
        </w:numPr>
        <w:ind w:right="189" w:hanging="360"/>
      </w:pPr>
      <w:r>
        <w:rPr>
          <w:b/>
        </w:rPr>
        <w:t xml:space="preserve">Горбань Нина Андреевна </w:t>
      </w:r>
      <w:r>
        <w:t>–</w:t>
      </w:r>
      <w:r>
        <w:rPr>
          <w:b/>
        </w:rPr>
        <w:t xml:space="preserve"> </w:t>
      </w:r>
      <w:r>
        <w:t xml:space="preserve">к.м.н., врач - патологоанатом отдела патоморфологии МРНЦ им. А.Ф. Цыба - филиала ФГБУ «НМИЦ радиологии» Минздрава России, Российское общество </w:t>
      </w:r>
      <w:r>
        <w:t>онкопатологов.</w:t>
      </w:r>
    </w:p>
    <w:p w:rsidR="00C3791F" w:rsidRDefault="00AE1F83">
      <w:pPr>
        <w:numPr>
          <w:ilvl w:val="0"/>
          <w:numId w:val="54"/>
        </w:numPr>
        <w:ind w:right="189" w:hanging="360"/>
      </w:pPr>
      <w:r>
        <w:rPr>
          <w:b/>
        </w:rPr>
        <w:t>Смолярчук Максим Ярославович</w:t>
      </w:r>
      <w:r>
        <w:t xml:space="preserve"> – врач-радиолог, врач-радиолог, научный сотрудник отделения радиохирургического лечения открытыми радионуклидами МРНЦ им. А.Ф. Цыба - филиала ФГБУ «НМИЦ радиологии» Минздрава России, президент МОО «Общество ядерн</w:t>
      </w:r>
      <w:r>
        <w:t>ой медицины».</w:t>
      </w:r>
    </w:p>
    <w:p w:rsidR="00C3791F" w:rsidRDefault="00AE1F83">
      <w:pPr>
        <w:numPr>
          <w:ilvl w:val="0"/>
          <w:numId w:val="54"/>
        </w:numPr>
        <w:ind w:right="189" w:hanging="360"/>
      </w:pPr>
      <w:r>
        <w:rPr>
          <w:b/>
        </w:rPr>
        <w:t xml:space="preserve">Белохвостова Анна Сергеевна </w:t>
      </w:r>
      <w:r>
        <w:t>– к.м.н., заведующая отделением противоопухолевой лекарственной терапии МРНЦ им. А. Ф. Цыба - филиала ФГБУ «НМИЦ радиологии» Минздрава России, доцент кафедры радионуклидной медицины ИАТЭ НИЯУ МИФИ.</w:t>
      </w:r>
    </w:p>
    <w:p w:rsidR="00C3791F" w:rsidRDefault="00AE1F83">
      <w:pPr>
        <w:numPr>
          <w:ilvl w:val="0"/>
          <w:numId w:val="54"/>
        </w:numPr>
        <w:ind w:right="189" w:hanging="360"/>
      </w:pPr>
      <w:r>
        <w:rPr>
          <w:b/>
        </w:rPr>
        <w:t xml:space="preserve">Харчилава Реваз </w:t>
      </w:r>
      <w:r>
        <w:rPr>
          <w:b/>
        </w:rPr>
        <w:t>Ревазович</w:t>
      </w:r>
      <w:r>
        <w:t xml:space="preserve"> - к.м.н., директор учебного Центра врачебной практики "Пракси Медика", Первый МГМУ им. И.М. Сеченова.</w:t>
      </w:r>
    </w:p>
    <w:p w:rsidR="00C3791F" w:rsidRDefault="00AE1F83">
      <w:pPr>
        <w:spacing w:after="108" w:line="265" w:lineRule="auto"/>
        <w:ind w:left="137"/>
      </w:pPr>
      <w:r>
        <w:rPr>
          <w:b/>
        </w:rPr>
        <w:t>Блок по организации медицинской помощи:</w:t>
      </w:r>
    </w:p>
    <w:p w:rsidR="00C3791F" w:rsidRDefault="00AE1F83">
      <w:pPr>
        <w:numPr>
          <w:ilvl w:val="0"/>
          <w:numId w:val="55"/>
        </w:numPr>
        <w:ind w:right="189" w:hanging="360"/>
      </w:pPr>
      <w:r>
        <w:rPr>
          <w:b/>
        </w:rPr>
        <w:t>Геворкян Тигран Гагикович</w:t>
      </w:r>
      <w:r>
        <w:t xml:space="preserve"> − заместитель директора по реализации федеральных </w:t>
      </w:r>
      <w:r>
        <w:t>проектов ФГБУ «Национальный медицинский исследовательский центр онкологии им. Н.Н. Блохина» Минздрава России.</w:t>
      </w:r>
    </w:p>
    <w:p w:rsidR="00C3791F" w:rsidRDefault="00AE1F83">
      <w:pPr>
        <w:numPr>
          <w:ilvl w:val="0"/>
          <w:numId w:val="55"/>
        </w:numPr>
        <w:ind w:right="189" w:hanging="360"/>
      </w:pPr>
      <w:r>
        <w:rPr>
          <w:b/>
        </w:rPr>
        <w:t>Иванов Сергей Анатольевич</w:t>
      </w:r>
      <w:r>
        <w:t xml:space="preserve"> − д.м.н., профессор, член-корреспондент РАН, заслуженный врач РФ, директор МРНЦ им. А.Ф. Цыба — филиала ФГБУ «НМИЦ радио</w:t>
      </w:r>
      <w:r>
        <w:t>логии» Минздрава России, главный внештатный специалист-онколог ЦФО Минздрава России.</w:t>
      </w:r>
    </w:p>
    <w:p w:rsidR="00C3791F" w:rsidRDefault="00AE1F83">
      <w:pPr>
        <w:numPr>
          <w:ilvl w:val="0"/>
          <w:numId w:val="55"/>
        </w:numPr>
        <w:ind w:right="189" w:hanging="360"/>
      </w:pPr>
      <w:r>
        <w:rPr>
          <w:b/>
        </w:rPr>
        <w:t>Хайлова Жанна Владимировна</w:t>
      </w:r>
      <w:r>
        <w:t xml:space="preserve"> – к.м.н., заместитель директора по организационно-методической работе МРНЦ им. А.Ф. Цыба – филиала ФГБУ «НМИЦ радиологии» Минздрава России.</w:t>
      </w:r>
    </w:p>
    <w:p w:rsidR="00C3791F" w:rsidRDefault="00AE1F83">
      <w:pPr>
        <w:numPr>
          <w:ilvl w:val="0"/>
          <w:numId w:val="55"/>
        </w:numPr>
        <w:spacing w:line="359" w:lineRule="auto"/>
        <w:ind w:right="189" w:hanging="360"/>
      </w:pPr>
      <w:r>
        <w:rPr>
          <w:b/>
        </w:rPr>
        <w:t>Кома</w:t>
      </w:r>
      <w:r>
        <w:rPr>
          <w:b/>
        </w:rPr>
        <w:t>ров Юрий Игоревич</w:t>
      </w:r>
      <w:r>
        <w:t xml:space="preserve"> - к.м.н., заместитель директора по организационнометодической работе ФГБУ «НМИЦ онкологии им. Н. Н. Петрова» Минздрава России.</w:t>
      </w:r>
    </w:p>
    <w:p w:rsidR="00C3791F" w:rsidRDefault="00AE1F83">
      <w:pPr>
        <w:numPr>
          <w:ilvl w:val="0"/>
          <w:numId w:val="55"/>
        </w:numPr>
        <w:ind w:right="189" w:hanging="360"/>
      </w:pPr>
      <w:r>
        <w:rPr>
          <w:b/>
        </w:rPr>
        <w:t>Фоменко Юрий Александрович</w:t>
      </w:r>
      <w:r>
        <w:t xml:space="preserve"> - к.м.н., заместитель генерального директора по клинико-экспертной работе ФГБУ "НМИЦ</w:t>
      </w:r>
      <w:r>
        <w:t xml:space="preserve"> онкологии" Минздрава России.</w:t>
      </w:r>
    </w:p>
    <w:p w:rsidR="00C3791F" w:rsidRDefault="00AE1F83">
      <w:pPr>
        <w:spacing w:after="108" w:line="265" w:lineRule="auto"/>
        <w:ind w:left="137"/>
      </w:pPr>
      <w:r>
        <w:rPr>
          <w:b/>
        </w:rPr>
        <w:t>Блок по сопроводительной терапии:</w:t>
      </w:r>
    </w:p>
    <w:p w:rsidR="00C3791F" w:rsidRDefault="00AE1F83">
      <w:pPr>
        <w:numPr>
          <w:ilvl w:val="0"/>
          <w:numId w:val="56"/>
        </w:numPr>
        <w:ind w:right="95" w:hanging="360"/>
      </w:pPr>
      <w:r>
        <w:rPr>
          <w:b/>
        </w:rPr>
        <w:t xml:space="preserve">Гладков Олег Александрович - </w:t>
      </w:r>
      <w:r>
        <w:t>профессор, д.м.н., директор медицинского центра ООО “ЭВИМЕД”.</w:t>
      </w:r>
    </w:p>
    <w:p w:rsidR="00C3791F" w:rsidRDefault="00AE1F83">
      <w:pPr>
        <w:numPr>
          <w:ilvl w:val="0"/>
          <w:numId w:val="56"/>
        </w:numPr>
        <w:spacing w:after="820"/>
        <w:ind w:right="95" w:hanging="360"/>
      </w:pPr>
      <w:r>
        <w:rPr>
          <w:b/>
        </w:rPr>
        <w:t xml:space="preserve">Карасева Вера Витальевна - </w:t>
      </w:r>
      <w:r>
        <w:t>д.м.н., доцент, профессор, кафедра онкологии ИНОПР ФГБОУ ВО РНИМУ им. Н.И.</w:t>
      </w:r>
      <w:r>
        <w:t xml:space="preserve"> Пирогова Минздрава России.</w:t>
      </w:r>
    </w:p>
    <w:p w:rsidR="00C3791F" w:rsidRDefault="00AE1F83">
      <w:pPr>
        <w:spacing w:after="108" w:line="265" w:lineRule="auto"/>
        <w:ind w:left="861"/>
      </w:pPr>
      <w:r>
        <w:rPr>
          <w:b/>
        </w:rPr>
        <w:t>Конфликт интересов</w:t>
      </w:r>
    </w:p>
    <w:p w:rsidR="00C3791F" w:rsidRDefault="00AE1F83">
      <w:pPr>
        <w:ind w:left="127" w:right="189" w:firstLine="709"/>
      </w:pPr>
      <w:r>
        <w:t>Все</w:t>
      </w:r>
      <w:r>
        <w:tab/>
        <w:t xml:space="preserve"> </w:t>
      </w:r>
      <w:r>
        <w:tab/>
        <w:t>члены</w:t>
      </w:r>
      <w:r>
        <w:tab/>
        <w:t xml:space="preserve"> </w:t>
      </w:r>
      <w:r>
        <w:tab/>
        <w:t xml:space="preserve">рабочей </w:t>
      </w:r>
      <w:r>
        <w:tab/>
        <w:t>группы</w:t>
      </w:r>
      <w:r>
        <w:tab/>
        <w:t xml:space="preserve"> </w:t>
      </w:r>
      <w:r>
        <w:tab/>
        <w:t xml:space="preserve">подтвердили </w:t>
      </w:r>
      <w:r>
        <w:tab/>
        <w:t>отсутствие</w:t>
      </w:r>
      <w:r>
        <w:tab/>
        <w:t xml:space="preserve"> </w:t>
      </w:r>
      <w:r>
        <w:tab/>
        <w:t>конфликта интересов/финансовой поддержки, о которых необходимо сообщить.</w:t>
      </w:r>
    </w:p>
    <w:p w:rsidR="00C3791F" w:rsidRDefault="00AE1F83">
      <w:pPr>
        <w:pStyle w:val="Heading1"/>
        <w:spacing w:after="347" w:line="249" w:lineRule="auto"/>
        <w:ind w:left="333" w:right="163"/>
        <w:jc w:val="left"/>
      </w:pPr>
      <w:r>
        <w:t>Приложение А2. Методология разработки клинических рекомендаций</w:t>
      </w:r>
    </w:p>
    <w:p w:rsidR="00C3791F" w:rsidRDefault="00AE1F83">
      <w:pPr>
        <w:spacing w:after="108" w:line="265" w:lineRule="auto"/>
        <w:ind w:left="861"/>
      </w:pPr>
      <w:r>
        <w:rPr>
          <w:b/>
        </w:rPr>
        <w:t>Целевая аудитор</w:t>
      </w:r>
      <w:r>
        <w:rPr>
          <w:b/>
        </w:rPr>
        <w:t>ия данных клинических рекомендаций:</w:t>
      </w:r>
    </w:p>
    <w:p w:rsidR="00C3791F" w:rsidRDefault="00AE1F83">
      <w:pPr>
        <w:numPr>
          <w:ilvl w:val="0"/>
          <w:numId w:val="57"/>
        </w:numPr>
        <w:spacing w:after="120" w:line="259" w:lineRule="auto"/>
        <w:ind w:right="189" w:hanging="360"/>
      </w:pPr>
      <w:r>
        <w:t>врачи-онкологи;</w:t>
      </w:r>
    </w:p>
    <w:p w:rsidR="00C3791F" w:rsidRDefault="00AE1F83">
      <w:pPr>
        <w:numPr>
          <w:ilvl w:val="0"/>
          <w:numId w:val="57"/>
        </w:numPr>
        <w:spacing w:after="120" w:line="259" w:lineRule="auto"/>
        <w:ind w:right="189" w:hanging="360"/>
      </w:pPr>
      <w:r>
        <w:t>врачи-урологи;</w:t>
      </w:r>
    </w:p>
    <w:p w:rsidR="00C3791F" w:rsidRDefault="00AE1F83">
      <w:pPr>
        <w:numPr>
          <w:ilvl w:val="0"/>
          <w:numId w:val="57"/>
        </w:numPr>
        <w:spacing w:after="120" w:line="259" w:lineRule="auto"/>
        <w:ind w:right="189" w:hanging="360"/>
      </w:pPr>
      <w:r>
        <w:t>врачи-радиологи;</w:t>
      </w:r>
    </w:p>
    <w:p w:rsidR="00C3791F" w:rsidRDefault="00AE1F83">
      <w:pPr>
        <w:numPr>
          <w:ilvl w:val="0"/>
          <w:numId w:val="57"/>
        </w:numPr>
        <w:spacing w:after="120" w:line="259" w:lineRule="auto"/>
        <w:ind w:right="189" w:hanging="360"/>
      </w:pPr>
      <w:r>
        <w:t>врачи-радиотерапевты;</w:t>
      </w:r>
    </w:p>
    <w:p w:rsidR="00C3791F" w:rsidRDefault="00AE1F83">
      <w:pPr>
        <w:numPr>
          <w:ilvl w:val="0"/>
          <w:numId w:val="57"/>
        </w:numPr>
        <w:spacing w:after="120" w:line="259" w:lineRule="auto"/>
        <w:ind w:right="189" w:hanging="360"/>
      </w:pPr>
      <w:r>
        <w:t>врачи-хирурги;</w:t>
      </w:r>
    </w:p>
    <w:p w:rsidR="00C3791F" w:rsidRDefault="00AE1F83">
      <w:pPr>
        <w:numPr>
          <w:ilvl w:val="0"/>
          <w:numId w:val="57"/>
        </w:numPr>
        <w:spacing w:after="120" w:line="259" w:lineRule="auto"/>
        <w:ind w:right="189" w:hanging="360"/>
      </w:pPr>
      <w:r>
        <w:t>врачи-анестезиологи-реаниматологи;</w:t>
      </w:r>
    </w:p>
    <w:p w:rsidR="00C3791F" w:rsidRDefault="00AE1F83">
      <w:pPr>
        <w:numPr>
          <w:ilvl w:val="0"/>
          <w:numId w:val="57"/>
        </w:numPr>
        <w:spacing w:after="120" w:line="259" w:lineRule="auto"/>
        <w:ind w:right="189" w:hanging="360"/>
      </w:pPr>
      <w:r>
        <w:t>врачи-терапевты;</w:t>
      </w:r>
    </w:p>
    <w:p w:rsidR="00C3791F" w:rsidRDefault="00AE1F83">
      <w:pPr>
        <w:numPr>
          <w:ilvl w:val="0"/>
          <w:numId w:val="57"/>
        </w:numPr>
        <w:spacing w:after="120" w:line="259" w:lineRule="auto"/>
        <w:ind w:right="189" w:hanging="360"/>
      </w:pPr>
      <w:r>
        <w:t>врачи общей практики (семейные врачи);</w:t>
      </w:r>
    </w:p>
    <w:p w:rsidR="00C3791F" w:rsidRDefault="00AE1F83">
      <w:pPr>
        <w:numPr>
          <w:ilvl w:val="0"/>
          <w:numId w:val="57"/>
        </w:numPr>
        <w:spacing w:after="120" w:line="259" w:lineRule="auto"/>
        <w:ind w:right="189" w:hanging="360"/>
      </w:pPr>
      <w:r>
        <w:t>врачи-неврологи;</w:t>
      </w:r>
    </w:p>
    <w:p w:rsidR="00C3791F" w:rsidRDefault="00AE1F83">
      <w:pPr>
        <w:spacing w:after="114" w:line="259" w:lineRule="auto"/>
        <w:ind w:left="1712" w:right="189"/>
      </w:pPr>
      <w:r>
        <w:t>10)врачи-генетики;</w:t>
      </w:r>
    </w:p>
    <w:p w:rsidR="00C3791F" w:rsidRDefault="00AE1F83">
      <w:pPr>
        <w:spacing w:after="114" w:line="259" w:lineRule="auto"/>
        <w:ind w:left="1712" w:right="189"/>
      </w:pPr>
      <w:r>
        <w:t>11)</w:t>
      </w:r>
      <w:r>
        <w:t>врачи-патологоанатомы;</w:t>
      </w:r>
    </w:p>
    <w:p w:rsidR="00C3791F" w:rsidRDefault="00AE1F83">
      <w:pPr>
        <w:spacing w:after="114" w:line="259" w:lineRule="auto"/>
        <w:ind w:left="1712" w:right="189"/>
      </w:pPr>
      <w:r>
        <w:t>12)врачи организации здравоохранения и общественного здоровья;</w:t>
      </w:r>
    </w:p>
    <w:p w:rsidR="00C3791F" w:rsidRDefault="00AE1F83">
      <w:pPr>
        <w:spacing w:after="114" w:line="259" w:lineRule="auto"/>
        <w:ind w:left="1712" w:right="189"/>
      </w:pPr>
      <w:r>
        <w:t>13)врачи-реабилитологи;</w:t>
      </w:r>
    </w:p>
    <w:p w:rsidR="00C3791F" w:rsidRDefault="00AE1F83">
      <w:pPr>
        <w:spacing w:after="114" w:line="259" w:lineRule="auto"/>
        <w:ind w:left="1712" w:right="189"/>
      </w:pPr>
      <w:r>
        <w:t>14)врачи – клинические фармакологи;</w:t>
      </w:r>
    </w:p>
    <w:p w:rsidR="00C3791F" w:rsidRDefault="00AE1F83">
      <w:pPr>
        <w:spacing w:after="114" w:line="259" w:lineRule="auto"/>
        <w:ind w:left="1712" w:right="189"/>
      </w:pPr>
      <w:r>
        <w:t>15)студенты медицинских ВУЗов, ординаторы и аспиранты.</w:t>
      </w:r>
    </w:p>
    <w:p w:rsidR="00C3791F" w:rsidRDefault="00AE1F83">
      <w:pPr>
        <w:spacing w:after="113"/>
        <w:ind w:left="127" w:right="189" w:firstLine="709"/>
      </w:pPr>
      <w:r>
        <w:t>В данных клинических рекомендациях все сведения ранжиро</w:t>
      </w:r>
      <w:r>
        <w:t>ваны по уровню достоверности (доказательности) в зависимости от количества и качества исследований по данной проблеме.</w:t>
      </w:r>
    </w:p>
    <w:p w:rsidR="00C3791F" w:rsidRDefault="00AE1F83">
      <w:pPr>
        <w:spacing w:after="108" w:line="265" w:lineRule="auto"/>
        <w:ind w:left="861"/>
      </w:pPr>
      <w:r>
        <w:rPr>
          <w:b/>
        </w:rPr>
        <w:t xml:space="preserve">Методы, использованные для сбора/селекции доказательств: </w:t>
      </w:r>
    </w:p>
    <w:p w:rsidR="00C3791F" w:rsidRDefault="00AE1F83">
      <w:pPr>
        <w:numPr>
          <w:ilvl w:val="0"/>
          <w:numId w:val="58"/>
        </w:numPr>
        <w:spacing w:after="120" w:line="259" w:lineRule="auto"/>
        <w:ind w:right="189" w:hanging="360"/>
      </w:pPr>
      <w:r>
        <w:t>поиск в электронных базах данных;</w:t>
      </w:r>
    </w:p>
    <w:p w:rsidR="00C3791F" w:rsidRDefault="00AE1F83">
      <w:pPr>
        <w:numPr>
          <w:ilvl w:val="0"/>
          <w:numId w:val="58"/>
        </w:numPr>
        <w:ind w:right="189" w:hanging="360"/>
      </w:pPr>
      <w:r>
        <w:t>анализ современных научных разработок по проб</w:t>
      </w:r>
      <w:r>
        <w:t xml:space="preserve">леме герминогенных опухолей в России и за рубежом; </w:t>
      </w:r>
    </w:p>
    <w:p w:rsidR="00C3791F" w:rsidRDefault="00AE1F83">
      <w:pPr>
        <w:numPr>
          <w:ilvl w:val="0"/>
          <w:numId w:val="58"/>
        </w:numPr>
        <w:spacing w:after="120" w:line="259" w:lineRule="auto"/>
        <w:ind w:right="189" w:hanging="360"/>
      </w:pPr>
      <w:r>
        <w:t>обобщение практического опыта российских и зарубежных специалистов.</w:t>
      </w:r>
    </w:p>
    <w:p w:rsidR="00C3791F" w:rsidRDefault="00AE1F83">
      <w:pPr>
        <w:ind w:left="127" w:right="189" w:firstLine="709"/>
      </w:pPr>
      <w:r>
        <w:t xml:space="preserve">Для оценки уровней убедительности рекомендаций (УУР) и уровней достоверности </w:t>
      </w:r>
      <w:r>
        <w:t xml:space="preserve">доказательств (УДД) по каждому тезису-рекомендации выполнен отдельный систематический обзор доказательств эффективности и/или безопасности медицинского вмешательства, включающий следующие этапы: </w:t>
      </w:r>
    </w:p>
    <w:p w:rsidR="00C3791F" w:rsidRDefault="00AE1F83">
      <w:pPr>
        <w:numPr>
          <w:ilvl w:val="0"/>
          <w:numId w:val="59"/>
        </w:numPr>
        <w:spacing w:after="119" w:line="359" w:lineRule="auto"/>
        <w:ind w:right="189" w:firstLine="709"/>
      </w:pPr>
      <w:r>
        <w:t>Определение критериев поиска и отбора публикаций о клиническ</w:t>
      </w:r>
      <w:r>
        <w:t xml:space="preserve">их исследованиях (КИ) эффективности и/или безопасности медицинского вмешательства, описанного в тезисе-рекомендации. </w:t>
      </w:r>
    </w:p>
    <w:p w:rsidR="00C3791F" w:rsidRDefault="00AE1F83">
      <w:pPr>
        <w:numPr>
          <w:ilvl w:val="0"/>
          <w:numId w:val="59"/>
        </w:numPr>
        <w:spacing w:after="113"/>
        <w:ind w:right="189" w:firstLine="709"/>
      </w:pPr>
      <w:r>
        <w:t xml:space="preserve">Систематический поиск и отбор публикаций о КИ в соответствии с определенными ранее критериями. </w:t>
      </w:r>
    </w:p>
    <w:p w:rsidR="00C3791F" w:rsidRDefault="00AE1F83">
      <w:pPr>
        <w:numPr>
          <w:ilvl w:val="0"/>
          <w:numId w:val="59"/>
        </w:numPr>
        <w:ind w:right="189" w:firstLine="709"/>
      </w:pPr>
      <w:r>
        <w:t>Определение УДД и УУР на основании результ</w:t>
      </w:r>
      <w:r>
        <w:t xml:space="preserve">атов систематического поиска и отбора публикаций о КИ. </w:t>
      </w:r>
    </w:p>
    <w:p w:rsidR="00C3791F" w:rsidRDefault="00AE1F83">
      <w:pPr>
        <w:spacing w:after="233"/>
        <w:ind w:left="127" w:right="189" w:firstLine="709"/>
      </w:pPr>
      <w:r>
        <w:t>Оценка УДД и УУР проводится на основании единых шкал, представленных в табл. П1–3.</w:t>
      </w:r>
    </w:p>
    <w:p w:rsidR="00C3791F" w:rsidRDefault="00AE1F83">
      <w:pPr>
        <w:spacing w:line="259" w:lineRule="auto"/>
        <w:ind w:left="137" w:right="189"/>
      </w:pPr>
      <w:r>
        <w:rPr>
          <w:b/>
        </w:rPr>
        <w:t>Таблица П1.</w:t>
      </w:r>
      <w:r>
        <w:t xml:space="preserve"> Шкала оценки уровней достоверности доказательств (УДД) для методов диагностики (диагностических вмешатель</w:t>
      </w:r>
      <w:r>
        <w:t>ств)</w:t>
      </w:r>
    </w:p>
    <w:tbl>
      <w:tblPr>
        <w:tblStyle w:val="TableGrid"/>
        <w:tblW w:w="9238" w:type="dxa"/>
        <w:tblInd w:w="253" w:type="dxa"/>
        <w:tblCellMar>
          <w:top w:w="14" w:type="dxa"/>
          <w:left w:w="110" w:type="dxa"/>
          <w:bottom w:w="0" w:type="dxa"/>
          <w:right w:w="115" w:type="dxa"/>
        </w:tblCellMar>
        <w:tblLook w:val="04A0" w:firstRow="1" w:lastRow="0" w:firstColumn="1" w:lastColumn="0" w:noHBand="0" w:noVBand="1"/>
      </w:tblPr>
      <w:tblGrid>
        <w:gridCol w:w="1398"/>
        <w:gridCol w:w="7840"/>
      </w:tblGrid>
      <w:tr w:rsidR="00C3791F">
        <w:trPr>
          <w:trHeight w:val="408"/>
        </w:trPr>
        <w:tc>
          <w:tcPr>
            <w:tcW w:w="13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9" w:firstLine="0"/>
              <w:jc w:val="center"/>
            </w:pPr>
            <w:r>
              <w:rPr>
                <w:b/>
              </w:rPr>
              <w:t>УДД</w:t>
            </w:r>
          </w:p>
        </w:tc>
        <w:tc>
          <w:tcPr>
            <w:tcW w:w="784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18" w:firstLine="0"/>
              <w:jc w:val="center"/>
            </w:pPr>
            <w:r>
              <w:rPr>
                <w:b/>
              </w:rPr>
              <w:t>Расшифровка</w:t>
            </w:r>
          </w:p>
        </w:tc>
      </w:tr>
      <w:tr w:rsidR="00C3791F">
        <w:trPr>
          <w:trHeight w:val="1228"/>
        </w:trPr>
        <w:tc>
          <w:tcPr>
            <w:tcW w:w="13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9" w:firstLine="0"/>
              <w:jc w:val="center"/>
            </w:pPr>
            <w:r>
              <w:t>1</w:t>
            </w:r>
          </w:p>
        </w:tc>
        <w:tc>
          <w:tcPr>
            <w:tcW w:w="784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3791F">
        <w:trPr>
          <w:trHeight w:val="2058"/>
        </w:trPr>
        <w:tc>
          <w:tcPr>
            <w:tcW w:w="13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9" w:firstLine="0"/>
              <w:jc w:val="center"/>
            </w:pPr>
            <w:r>
              <w:t>2</w:t>
            </w:r>
          </w:p>
        </w:tc>
        <w:tc>
          <w:tcPr>
            <w:tcW w:w="784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3791F">
        <w:trPr>
          <w:trHeight w:val="1642"/>
        </w:trPr>
        <w:tc>
          <w:tcPr>
            <w:tcW w:w="13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9" w:firstLine="0"/>
              <w:jc w:val="center"/>
            </w:pPr>
            <w:r>
              <w:t>3</w:t>
            </w:r>
          </w:p>
        </w:tc>
        <w:tc>
          <w:tcPr>
            <w:tcW w:w="784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3791F">
        <w:trPr>
          <w:trHeight w:val="514"/>
        </w:trPr>
        <w:tc>
          <w:tcPr>
            <w:tcW w:w="13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9" w:firstLine="0"/>
              <w:jc w:val="center"/>
            </w:pPr>
            <w:r>
              <w:t>4</w:t>
            </w:r>
          </w:p>
        </w:tc>
        <w:tc>
          <w:tcPr>
            <w:tcW w:w="784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Несравнительн</w:t>
            </w:r>
            <w:r>
              <w:t>ые исследования, описание клинического случая</w:t>
            </w:r>
          </w:p>
        </w:tc>
      </w:tr>
      <w:tr w:rsidR="00C3791F">
        <w:trPr>
          <w:trHeight w:val="548"/>
        </w:trPr>
        <w:tc>
          <w:tcPr>
            <w:tcW w:w="139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9" w:firstLine="0"/>
              <w:jc w:val="center"/>
            </w:pPr>
            <w:r>
              <w:t>5</w:t>
            </w:r>
          </w:p>
        </w:tc>
        <w:tc>
          <w:tcPr>
            <w:tcW w:w="784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Имеется лишь обоснование механизма действия или мнение экспертов</w:t>
            </w:r>
          </w:p>
        </w:tc>
      </w:tr>
    </w:tbl>
    <w:p w:rsidR="00C3791F" w:rsidRDefault="00AE1F83">
      <w:pPr>
        <w:spacing w:line="259" w:lineRule="auto"/>
        <w:ind w:left="137" w:right="189"/>
      </w:pPr>
      <w:r>
        <w:rPr>
          <w:b/>
        </w:rPr>
        <w:t>Таблица П2.</w:t>
      </w:r>
      <w:r>
        <w:t xml:space="preserve"> Шкала оценки уровней достоверности доказательств (УДД) для методов </w:t>
      </w:r>
      <w:r>
        <w:t>профилактики, лечения и реабилитации (профилактических, лечебных, реабилитационных вмешательств)</w:t>
      </w:r>
    </w:p>
    <w:tbl>
      <w:tblPr>
        <w:tblStyle w:val="TableGrid"/>
        <w:tblW w:w="9378" w:type="dxa"/>
        <w:tblInd w:w="253" w:type="dxa"/>
        <w:tblCellMar>
          <w:top w:w="14" w:type="dxa"/>
          <w:left w:w="109" w:type="dxa"/>
          <w:bottom w:w="0" w:type="dxa"/>
          <w:right w:w="115" w:type="dxa"/>
        </w:tblCellMar>
        <w:tblLook w:val="04A0" w:firstRow="1" w:lastRow="0" w:firstColumn="1" w:lastColumn="0" w:noHBand="0" w:noVBand="1"/>
      </w:tblPr>
      <w:tblGrid>
        <w:gridCol w:w="1118"/>
        <w:gridCol w:w="8260"/>
      </w:tblGrid>
      <w:tr w:rsidR="00C3791F">
        <w:trPr>
          <w:trHeight w:val="402"/>
        </w:trPr>
        <w:tc>
          <w:tcPr>
            <w:tcW w:w="11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b/>
              </w:rPr>
              <w:t>УДД</w:t>
            </w:r>
          </w:p>
        </w:tc>
        <w:tc>
          <w:tcPr>
            <w:tcW w:w="82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518" w:firstLine="0"/>
              <w:jc w:val="center"/>
            </w:pPr>
            <w:r>
              <w:rPr>
                <w:b/>
              </w:rPr>
              <w:t xml:space="preserve">Расшифровка </w:t>
            </w:r>
          </w:p>
        </w:tc>
      </w:tr>
      <w:tr w:rsidR="00C3791F">
        <w:trPr>
          <w:trHeight w:val="816"/>
        </w:trPr>
        <w:tc>
          <w:tcPr>
            <w:tcW w:w="11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1</w:t>
            </w:r>
          </w:p>
        </w:tc>
        <w:tc>
          <w:tcPr>
            <w:tcW w:w="82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Систематический обзор рандомизированных клинических исследований с применением метаанализа</w:t>
            </w:r>
          </w:p>
        </w:tc>
      </w:tr>
      <w:tr w:rsidR="00C3791F">
        <w:trPr>
          <w:trHeight w:val="1228"/>
        </w:trPr>
        <w:tc>
          <w:tcPr>
            <w:tcW w:w="11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2</w:t>
            </w:r>
          </w:p>
        </w:tc>
        <w:tc>
          <w:tcPr>
            <w:tcW w:w="82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3791F">
        <w:trPr>
          <w:trHeight w:val="816"/>
        </w:trPr>
        <w:tc>
          <w:tcPr>
            <w:tcW w:w="11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3</w:t>
            </w:r>
          </w:p>
        </w:tc>
        <w:tc>
          <w:tcPr>
            <w:tcW w:w="82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Нерандомизированные сравнительные исследования, в том числе к</w:t>
            </w:r>
            <w:r>
              <w:t>огортные исследования</w:t>
            </w:r>
          </w:p>
        </w:tc>
      </w:tr>
      <w:tr w:rsidR="00C3791F">
        <w:trPr>
          <w:trHeight w:val="814"/>
        </w:trPr>
        <w:tc>
          <w:tcPr>
            <w:tcW w:w="11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4</w:t>
            </w:r>
          </w:p>
        </w:tc>
        <w:tc>
          <w:tcPr>
            <w:tcW w:w="82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Несравнительные исследования, описание клинического случая или серии случаев, исследования «случай−контроль»</w:t>
            </w:r>
          </w:p>
        </w:tc>
      </w:tr>
      <w:tr w:rsidR="00C3791F">
        <w:trPr>
          <w:trHeight w:val="816"/>
        </w:trPr>
        <w:tc>
          <w:tcPr>
            <w:tcW w:w="111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5</w:t>
            </w:r>
          </w:p>
        </w:tc>
        <w:tc>
          <w:tcPr>
            <w:tcW w:w="8260" w:type="dxa"/>
            <w:tcBorders>
              <w:top w:val="single" w:sz="4" w:space="0" w:color="000000"/>
              <w:left w:val="single" w:sz="4" w:space="0" w:color="000000"/>
              <w:bottom w:val="single" w:sz="4" w:space="0" w:color="000000"/>
              <w:right w:val="single" w:sz="4" w:space="0" w:color="000000"/>
            </w:tcBorders>
          </w:tcPr>
          <w:p w:rsidR="00C3791F" w:rsidRDefault="00AE1F83">
            <w:pPr>
              <w:spacing w:after="114" w:line="259" w:lineRule="auto"/>
              <w:ind w:left="0" w:firstLine="0"/>
              <w:jc w:val="left"/>
            </w:pPr>
            <w:r>
              <w:t xml:space="preserve">Имеется лишь обоснование механизма действия вмешательства </w:t>
            </w:r>
          </w:p>
          <w:p w:rsidR="00C3791F" w:rsidRDefault="00AE1F83">
            <w:pPr>
              <w:spacing w:after="0" w:line="259" w:lineRule="auto"/>
              <w:ind w:left="0" w:firstLine="0"/>
              <w:jc w:val="left"/>
            </w:pPr>
            <w:r>
              <w:t>(доклинические исследования) или мнение экспертов</w:t>
            </w:r>
          </w:p>
        </w:tc>
      </w:tr>
    </w:tbl>
    <w:p w:rsidR="00C3791F" w:rsidRDefault="00AE1F83">
      <w:pPr>
        <w:spacing w:line="259" w:lineRule="auto"/>
        <w:ind w:left="137" w:right="189"/>
      </w:pPr>
      <w:r>
        <w:rPr>
          <w:b/>
        </w:rPr>
        <w:t>Таблица П3.</w:t>
      </w:r>
      <w:r>
        <w:t xml:space="preserve">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Style w:val="TableGrid"/>
        <w:tblW w:w="9238" w:type="dxa"/>
        <w:tblInd w:w="253" w:type="dxa"/>
        <w:tblCellMar>
          <w:top w:w="14" w:type="dxa"/>
          <w:left w:w="110" w:type="dxa"/>
          <w:bottom w:w="0" w:type="dxa"/>
          <w:right w:w="99" w:type="dxa"/>
        </w:tblCellMar>
        <w:tblLook w:val="04A0" w:firstRow="1" w:lastRow="0" w:firstColumn="1" w:lastColumn="0" w:noHBand="0" w:noVBand="1"/>
      </w:tblPr>
      <w:tblGrid>
        <w:gridCol w:w="1224"/>
        <w:gridCol w:w="8014"/>
      </w:tblGrid>
      <w:tr w:rsidR="00C3791F">
        <w:trPr>
          <w:trHeight w:val="486"/>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7" w:firstLine="0"/>
              <w:jc w:val="center"/>
            </w:pPr>
            <w:r>
              <w:rPr>
                <w:b/>
              </w:rPr>
              <w:t>УУР</w:t>
            </w:r>
          </w:p>
        </w:tc>
        <w:tc>
          <w:tcPr>
            <w:tcW w:w="801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02" w:firstLine="0"/>
              <w:jc w:val="center"/>
            </w:pPr>
            <w:r>
              <w:rPr>
                <w:b/>
              </w:rPr>
              <w:t>Расшифровка</w:t>
            </w:r>
          </w:p>
        </w:tc>
      </w:tr>
      <w:tr w:rsidR="00C3791F">
        <w:trPr>
          <w:trHeight w:val="1644"/>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6" w:firstLine="0"/>
              <w:jc w:val="center"/>
            </w:pPr>
            <w:r>
              <w:t>A</w:t>
            </w:r>
          </w:p>
        </w:tc>
        <w:tc>
          <w:tcPr>
            <w:tcW w:w="801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C3791F">
        <w:trPr>
          <w:trHeight w:val="1642"/>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7" w:firstLine="0"/>
              <w:jc w:val="center"/>
            </w:pPr>
            <w:r>
              <w:t>B</w:t>
            </w:r>
          </w:p>
        </w:tc>
        <w:tc>
          <w:tcPr>
            <w:tcW w:w="801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Условная рекомендаци</w:t>
            </w:r>
            <w:r>
              <w:t xml:space="preserve">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C3791F">
        <w:trPr>
          <w:trHeight w:val="1644"/>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7" w:firstLine="0"/>
              <w:jc w:val="center"/>
            </w:pPr>
            <w:r>
              <w:t>C</w:t>
            </w:r>
          </w:p>
        </w:tc>
        <w:tc>
          <w:tcPr>
            <w:tcW w:w="801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w:t>
            </w:r>
            <w:r>
              <w:t xml:space="preserve">ми) </w:t>
            </w:r>
          </w:p>
        </w:tc>
      </w:tr>
    </w:tbl>
    <w:p w:rsidR="00C3791F" w:rsidRDefault="00AE1F83">
      <w:pPr>
        <w:ind w:left="127" w:right="189" w:firstLine="709"/>
      </w:pPr>
      <w:r>
        <w:rPr>
          <w:b/>
        </w:rPr>
        <w:t xml:space="preserve">Индикаторы доброкачественной клинической практики (Good Practice Points – GPPs): </w:t>
      </w:r>
      <w:r>
        <w:t>доброкачественная практика рекомендаций основывается на квалификации и клиническом опыте авторского коллектива.</w:t>
      </w:r>
    </w:p>
    <w:p w:rsidR="00C3791F" w:rsidRDefault="00AE1F83">
      <w:pPr>
        <w:spacing w:line="357" w:lineRule="auto"/>
        <w:ind w:left="127" w:firstLine="709"/>
      </w:pPr>
      <w:r>
        <w:rPr>
          <w:b/>
        </w:rPr>
        <w:t>Методы, использованные для формулирования рекомендаций:</w:t>
      </w:r>
      <w:r>
        <w:t xml:space="preserve"> консенсус экспертов.</w:t>
      </w:r>
    </w:p>
    <w:p w:rsidR="00C3791F" w:rsidRDefault="00AE1F83">
      <w:pPr>
        <w:ind w:left="127" w:right="189" w:firstLine="709"/>
      </w:pPr>
      <w:r>
        <w:rPr>
          <w:b/>
        </w:rPr>
        <w:t xml:space="preserve">Экономический анализ: </w:t>
      </w:r>
      <w:r>
        <w:t>анализ стоимости не проводился, публикации по фармакоэкономике не анализировались.</w:t>
      </w:r>
    </w:p>
    <w:p w:rsidR="00C3791F" w:rsidRDefault="00AE1F83">
      <w:pPr>
        <w:spacing w:after="112" w:line="265" w:lineRule="auto"/>
        <w:ind w:left="861"/>
      </w:pPr>
      <w:r>
        <w:rPr>
          <w:b/>
        </w:rPr>
        <w:t>Методы валидизации рекомендаций:</w:t>
      </w:r>
    </w:p>
    <w:p w:rsidR="00C3791F" w:rsidRDefault="00AE1F83">
      <w:pPr>
        <w:numPr>
          <w:ilvl w:val="0"/>
          <w:numId w:val="60"/>
        </w:numPr>
        <w:spacing w:after="118" w:line="259" w:lineRule="auto"/>
        <w:ind w:right="189" w:hanging="731"/>
      </w:pPr>
      <w:r>
        <w:t>внешняя экспертная оценка;</w:t>
      </w:r>
    </w:p>
    <w:p w:rsidR="00C3791F" w:rsidRDefault="00AE1F83">
      <w:pPr>
        <w:numPr>
          <w:ilvl w:val="0"/>
          <w:numId w:val="60"/>
        </w:numPr>
        <w:spacing w:after="423"/>
        <w:ind w:right="189" w:hanging="731"/>
      </w:pPr>
      <w:r>
        <w:t>внутренняя экспертная оценка.</w:t>
      </w:r>
    </w:p>
    <w:p w:rsidR="00C3791F" w:rsidRDefault="00AE1F83">
      <w:pPr>
        <w:spacing w:after="108" w:line="265" w:lineRule="auto"/>
        <w:ind w:left="861"/>
      </w:pPr>
      <w:r>
        <w:rPr>
          <w:b/>
        </w:rPr>
        <w:t>Описание метода валидизации рекомендаци</w:t>
      </w:r>
      <w:r>
        <w:rPr>
          <w:b/>
        </w:rPr>
        <w:t>й</w:t>
      </w:r>
    </w:p>
    <w:p w:rsidR="00C3791F" w:rsidRDefault="00AE1F83">
      <w:pPr>
        <w:ind w:left="127" w:right="189" w:firstLine="709"/>
      </w:pPr>
      <w:r>
        <w:t>Настоящие рекомендации в предварительной версии рецензированы независимыми экспертами, которых попросили прокомментировать прежде всего, насколько интерпретация доказательств, лежащих в основе рекомендаций, доступна для понимания.</w:t>
      </w:r>
    </w:p>
    <w:p w:rsidR="00C3791F" w:rsidRDefault="00AE1F83">
      <w:pPr>
        <w:ind w:left="127" w:right="189" w:firstLine="709"/>
      </w:pPr>
      <w:r>
        <w:t>Получены комментарии со</w:t>
      </w:r>
      <w:r>
        <w:t xml:space="preserve"> стороны врачей-онкологов и урологов первичного звена в отношении доходчивости изложения рекомендаций и их оценка важности рекомендаций как рабочего инструмента повседневной практики.</w:t>
      </w:r>
    </w:p>
    <w:p w:rsidR="00C3791F" w:rsidRDefault="00AE1F83">
      <w:pPr>
        <w:ind w:left="127" w:right="189" w:firstLine="709"/>
      </w:pPr>
      <w:r>
        <w:t>Комментарии, полученные от экспертов, тщательно систематизировались и об</w:t>
      </w:r>
      <w:r>
        <w:t>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C3791F" w:rsidRDefault="00AE1F83">
      <w:pPr>
        <w:ind w:left="127" w:right="189" w:firstLine="709"/>
      </w:pPr>
      <w:r>
        <w:t>Проект рекомендаци</w:t>
      </w:r>
      <w:r>
        <w:t>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C3791F" w:rsidRDefault="00AE1F83">
      <w:pPr>
        <w:ind w:left="127" w:right="189" w:firstLine="709"/>
      </w:pPr>
      <w:r>
        <w:t>Для окончательной редакции и контроля качества рекомендации повторно про</w:t>
      </w:r>
      <w:r>
        <w:t>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C3791F" w:rsidRDefault="00AE1F83">
      <w:pPr>
        <w:ind w:left="127" w:right="189" w:firstLine="709"/>
      </w:pPr>
      <w:r>
        <w:t xml:space="preserve">Актуализация проводится не реже чем 1 раз в 3 года </w:t>
      </w:r>
      <w:r>
        <w:t>с учетом появившейся новой информации о диагностике и тактике ведения пациентов с раком почки.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w:t>
      </w:r>
      <w:r>
        <w:t>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C3791F" w:rsidRDefault="00AE1F83">
      <w:pPr>
        <w:spacing w:after="407"/>
        <w:ind w:left="127" w:right="189" w:firstLine="709"/>
      </w:pPr>
      <w:r>
        <w:t>При отборе публикаций как потенциальных источников доказательств использованная в каждом исследовании мето</w:t>
      </w:r>
      <w:r>
        <w:t>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C3791F" w:rsidRDefault="00AE1F83">
      <w:pPr>
        <w:spacing w:after="108" w:line="265" w:lineRule="auto"/>
        <w:ind w:left="861"/>
      </w:pPr>
      <w:r>
        <w:rPr>
          <w:b/>
        </w:rPr>
        <w:t>Порядок обновления клинических рекомендаций</w:t>
      </w:r>
    </w:p>
    <w:p w:rsidR="00C3791F" w:rsidRDefault="00AE1F83">
      <w:pPr>
        <w:ind w:left="127" w:right="189" w:firstLine="709"/>
      </w:pPr>
      <w:r>
        <w:t>Ме</w:t>
      </w:r>
      <w:r>
        <w:t>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w:t>
      </w:r>
      <w:r>
        <w:t>етных заболеваний при наличии обоснованных дополнений/замечаний к ранее утвержденным клиническим рекомендациям, но не чаще 1 раза в 6 мес.</w:t>
      </w:r>
      <w:r>
        <w:br w:type="page"/>
      </w:r>
    </w:p>
    <w:p w:rsidR="00C3791F" w:rsidRDefault="00AE1F83">
      <w:pPr>
        <w:pStyle w:val="Heading1"/>
        <w:spacing w:line="357" w:lineRule="auto"/>
        <w:ind w:left="160" w:right="126"/>
      </w:pPr>
      <w:r>
        <w:t>Приложение А3. Справочные материалы, включая соответствие показаний к применению и противопоказаний, способов примен</w:t>
      </w:r>
      <w:r>
        <w:t>ения и доз лекарственных препаратов, инструкции по применению лекарственного препарата</w:t>
      </w:r>
    </w:p>
    <w:p w:rsidR="00C3791F" w:rsidRDefault="00AE1F83">
      <w:pPr>
        <w:ind w:left="137" w:right="189"/>
      </w:pPr>
      <w:r>
        <w:t>Данные клинические рекомендации разработаны с учетом следующих нормативноправовых документов:</w:t>
      </w:r>
    </w:p>
    <w:p w:rsidR="00C3791F" w:rsidRDefault="00AE1F83">
      <w:pPr>
        <w:numPr>
          <w:ilvl w:val="0"/>
          <w:numId w:val="61"/>
        </w:numPr>
        <w:spacing w:after="102" w:line="259" w:lineRule="auto"/>
        <w:ind w:right="189" w:hanging="360"/>
      </w:pPr>
      <w:r>
        <w:t>клинические рекомендации Европейской ассоциации урологов;</w:t>
      </w:r>
    </w:p>
    <w:p w:rsidR="00C3791F" w:rsidRDefault="00AE1F83">
      <w:pPr>
        <w:numPr>
          <w:ilvl w:val="0"/>
          <w:numId w:val="61"/>
        </w:numPr>
        <w:spacing w:after="18" w:line="359" w:lineRule="auto"/>
        <w:ind w:right="189" w:hanging="360"/>
      </w:pPr>
      <w:r>
        <w:rPr>
          <w:sz w:val="22"/>
        </w:rPr>
        <w:t>приказ Министерства здравоохранения РФ от 19 февраля 2021 г. N 116н "Об утверждении Порядка оказания медицинской помощи взрослому населению при онкологических заболеваниях" С изменениями и дополнениями от 24 января 2022 г.;</w:t>
      </w:r>
    </w:p>
    <w:p w:rsidR="00C3791F" w:rsidRDefault="00AE1F83">
      <w:pPr>
        <w:numPr>
          <w:ilvl w:val="0"/>
          <w:numId w:val="61"/>
        </w:numPr>
        <w:ind w:right="189" w:hanging="360"/>
      </w:pPr>
      <w:r>
        <w:t>приказ Минздрава России от 04.06</w:t>
      </w:r>
      <w:r>
        <w:t>.2020 № 548н «Об утверждении порядка диспансерного наблюдения за взрослыми с онкологическими заболеваниями»;</w:t>
      </w:r>
    </w:p>
    <w:p w:rsidR="00C3791F" w:rsidRDefault="00AE1F83">
      <w:pPr>
        <w:numPr>
          <w:ilvl w:val="0"/>
          <w:numId w:val="61"/>
        </w:numPr>
        <w:ind w:right="189" w:hanging="360"/>
      </w:pPr>
      <w:r>
        <w:t xml:space="preserve">приказ Минздрава России от 21.03.2022 № 182н «Об утверждении стандартов медицинской помощи взрослым при раке паренхимы почки». 5) </w:t>
      </w:r>
      <w:hyperlink r:id="rId360">
        <w:r>
          <w:t>распоряжение Правительства Российской Федерации от 12.10.2019 г. №</w:t>
        </w:r>
      </w:hyperlink>
      <w:r>
        <w:t xml:space="preserve"> </w:t>
      </w:r>
      <w:hyperlink r:id="rId361">
        <w:r>
          <w:t>2406-р</w:t>
        </w:r>
      </w:hyperlink>
      <w:r>
        <w:t xml:space="preserve"> «Об утверждении перечня жизненно необ</w:t>
      </w:r>
      <w:r>
        <w:t>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C3791F" w:rsidRDefault="00AE1F83">
      <w:pPr>
        <w:numPr>
          <w:ilvl w:val="0"/>
          <w:numId w:val="62"/>
        </w:numPr>
        <w:ind w:right="189" w:hanging="360"/>
      </w:pPr>
      <w:r>
        <w:t xml:space="preserve">приказ Минздрава России от 28.02.2019 № </w:t>
      </w:r>
      <w:r>
        <w:t>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w:t>
      </w:r>
      <w:r>
        <w:t>ано в Минюсте России 08.05.2019 № 54588).</w:t>
      </w:r>
    </w:p>
    <w:p w:rsidR="00C3791F" w:rsidRDefault="00AE1F83">
      <w:pPr>
        <w:numPr>
          <w:ilvl w:val="0"/>
          <w:numId w:val="62"/>
        </w:numPr>
        <w:spacing w:after="109" w:line="359" w:lineRule="auto"/>
        <w:ind w:right="189" w:hanging="360"/>
      </w:pPr>
      <w:r>
        <w:t>методические рекомендации по проведению оценки научной обоснованности, включаемой в клинические рекомендации информации, ФГБУ «Центр экспертизы и контроля качества» Министерства здравоохранения Российской Федерации</w:t>
      </w:r>
      <w:r>
        <w:t>, 2019 г.</w:t>
      </w:r>
    </w:p>
    <w:p w:rsidR="00C3791F" w:rsidRDefault="00AE1F83">
      <w:pPr>
        <w:numPr>
          <w:ilvl w:val="0"/>
          <w:numId w:val="62"/>
        </w:numPr>
        <w:ind w:right="189" w:hanging="360"/>
      </w:pPr>
      <w:r>
        <w:t>Актуальные инструкции к лекарственным препаратам, упоминаемым в данных клинических рекомендациях, можно найти на сайте http://grls.rosminzdrav.ru и на сайте RUSSCO.</w:t>
      </w:r>
      <w:r>
        <w:br w:type="page"/>
      </w:r>
    </w:p>
    <w:p w:rsidR="00C3791F" w:rsidRDefault="00AE1F83">
      <w:pPr>
        <w:pStyle w:val="Heading1"/>
        <w:spacing w:after="48"/>
        <w:ind w:left="160" w:right="201"/>
      </w:pPr>
      <w:r>
        <w:t>Приложение А3-1. Параметры нефрометрических шкал RENAL и PADUA [11, 12]</w:t>
      </w:r>
    </w:p>
    <w:tbl>
      <w:tblPr>
        <w:tblStyle w:val="TableGrid"/>
        <w:tblW w:w="9788" w:type="dxa"/>
        <w:tblInd w:w="253" w:type="dxa"/>
        <w:tblCellMar>
          <w:top w:w="14" w:type="dxa"/>
          <w:left w:w="110" w:type="dxa"/>
          <w:bottom w:w="0" w:type="dxa"/>
          <w:right w:w="72" w:type="dxa"/>
        </w:tblCellMar>
        <w:tblLook w:val="04A0" w:firstRow="1" w:lastRow="0" w:firstColumn="1" w:lastColumn="0" w:noHBand="0" w:noVBand="1"/>
      </w:tblPr>
      <w:tblGrid>
        <w:gridCol w:w="2886"/>
        <w:gridCol w:w="3760"/>
        <w:gridCol w:w="3142"/>
      </w:tblGrid>
      <w:tr w:rsidR="00C3791F">
        <w:trPr>
          <w:trHeight w:val="534"/>
        </w:trPr>
        <w:tc>
          <w:tcPr>
            <w:tcW w:w="288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35" w:firstLine="0"/>
              <w:jc w:val="center"/>
            </w:pPr>
            <w:r>
              <w:rPr>
                <w:b/>
              </w:rPr>
              <w:t>Параметр</w:t>
            </w: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34" w:firstLine="0"/>
              <w:jc w:val="center"/>
            </w:pPr>
            <w:r>
              <w:rPr>
                <w:b/>
              </w:rPr>
              <w:t>RENAL</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34" w:firstLine="0"/>
              <w:jc w:val="center"/>
            </w:pPr>
            <w:r>
              <w:rPr>
                <w:b/>
              </w:rPr>
              <w:t>PADUA</w:t>
            </w:r>
          </w:p>
        </w:tc>
      </w:tr>
      <w:tr w:rsidR="00C3791F">
        <w:trPr>
          <w:trHeight w:val="286"/>
        </w:trPr>
        <w:tc>
          <w:tcPr>
            <w:tcW w:w="2886"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Максимальный диаметр опухоли</w:t>
            </w: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1 балл: ≤4 см</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1 балл: ≤4 см</w:t>
            </w:r>
          </w:p>
        </w:tc>
      </w:tr>
      <w:tr w:rsidR="00C3791F">
        <w:trPr>
          <w:trHeight w:val="286"/>
        </w:trPr>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2 балла: &gt;4…&lt;7 см</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2 балла: 4–7 см</w:t>
            </w:r>
          </w:p>
        </w:tc>
      </w:tr>
      <w:tr w:rsidR="00C3791F">
        <w:trPr>
          <w:trHeight w:val="286"/>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3 балла: ≥7 см</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3 балла: &gt;7 см</w:t>
            </w:r>
          </w:p>
        </w:tc>
      </w:tr>
      <w:tr w:rsidR="00C3791F">
        <w:trPr>
          <w:trHeight w:val="286"/>
        </w:trPr>
        <w:tc>
          <w:tcPr>
            <w:tcW w:w="2886"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Эндофитный/экзофитный рост</w:t>
            </w: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1 балл: ≥50 %</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1 балл: ≥50 %</w:t>
            </w:r>
          </w:p>
        </w:tc>
      </w:tr>
      <w:tr w:rsidR="00C3791F">
        <w:trPr>
          <w:trHeight w:val="286"/>
        </w:trPr>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2 балла: &lt;50 %</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2 балла: &lt;50 %</w:t>
            </w:r>
          </w:p>
        </w:tc>
      </w:tr>
      <w:tr w:rsidR="00C3791F">
        <w:trPr>
          <w:trHeight w:val="286"/>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3 балла: эндофитный</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3 балла: эндофитный</w:t>
            </w:r>
          </w:p>
        </w:tc>
      </w:tr>
      <w:tr w:rsidR="00C3791F">
        <w:trPr>
          <w:trHeight w:val="286"/>
        </w:trPr>
        <w:tc>
          <w:tcPr>
            <w:tcW w:w="2886"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Собирательная система</w:t>
            </w: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Или почечный синус</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1 балл: не вовлечена</w:t>
            </w:r>
          </w:p>
        </w:tc>
      </w:tr>
      <w:tr w:rsidR="00C3791F">
        <w:trPr>
          <w:trHeight w:val="286"/>
        </w:trPr>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1 балл: на расстоянии &gt;7 мм</w:t>
            </w:r>
          </w:p>
        </w:tc>
        <w:tc>
          <w:tcPr>
            <w:tcW w:w="3142"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 xml:space="preserve">2 балла: </w:t>
            </w:r>
          </w:p>
          <w:p w:rsidR="00C3791F" w:rsidRDefault="00AE1F83">
            <w:pPr>
              <w:spacing w:after="0" w:line="259" w:lineRule="auto"/>
              <w:ind w:left="0" w:firstLine="0"/>
              <w:jc w:val="left"/>
            </w:pPr>
            <w:r>
              <w:t>смещена/инфильтрирована</w:t>
            </w:r>
          </w:p>
        </w:tc>
      </w:tr>
      <w:tr w:rsidR="00C3791F">
        <w:trPr>
          <w:trHeight w:val="286"/>
        </w:trPr>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2 балла: на расстоянии 4–7 мм</w:t>
            </w:r>
          </w:p>
        </w:tc>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r>
      <w:tr w:rsidR="00C3791F">
        <w:trPr>
          <w:trHeight w:val="286"/>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3 балла: на расстоянии ≤4 мм</w:t>
            </w: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r>
      <w:tr w:rsidR="00C3791F">
        <w:trPr>
          <w:trHeight w:val="562"/>
        </w:trPr>
        <w:tc>
          <w:tcPr>
            <w:tcW w:w="2886"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Полюсное расположение</w:t>
            </w: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pPr>
            <w:r>
              <w:t>1 балл: полностью над или под полюсной линией</w:t>
            </w:r>
            <w:r>
              <w:rPr>
                <w:sz w:val="22"/>
                <w:vertAlign w:val="superscript"/>
              </w:rPr>
              <w:t>a</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1 балл: верхний/нижний</w:t>
            </w:r>
            <w:r>
              <w:rPr>
                <w:sz w:val="22"/>
                <w:vertAlign w:val="superscript"/>
              </w:rPr>
              <w:t>b</w:t>
            </w:r>
          </w:p>
        </w:tc>
      </w:tr>
      <w:tr w:rsidR="00C3791F">
        <w:trPr>
          <w:trHeight w:val="562"/>
        </w:trPr>
        <w:tc>
          <w:tcPr>
            <w:tcW w:w="0" w:type="auto"/>
            <w:vMerge/>
            <w:tcBorders>
              <w:top w:val="nil"/>
              <w:left w:val="single" w:sz="4" w:space="0" w:color="000000"/>
              <w:bottom w:val="nil"/>
              <w:right w:val="single" w:sz="4" w:space="0" w:color="000000"/>
            </w:tcBorders>
          </w:tcPr>
          <w:p w:rsidR="00C3791F" w:rsidRDefault="00C3791F">
            <w:pPr>
              <w:spacing w:after="160" w:line="259" w:lineRule="auto"/>
              <w:ind w:left="0" w:firstLine="0"/>
              <w:jc w:val="left"/>
            </w:pP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2 балла: пересекает полюсную линию</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2 балла: средний</w:t>
            </w:r>
          </w:p>
        </w:tc>
      </w:tr>
      <w:tr w:rsidR="00C3791F">
        <w:trPr>
          <w:trHeight w:val="1390"/>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3 балла: &gt;50 % пересекает полюсную линию или пересекает осевую почечную срединную линию или полностью между полюсными линиями</w:t>
            </w:r>
          </w:p>
        </w:tc>
        <w:tc>
          <w:tcPr>
            <w:tcW w:w="3142"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r>
      <w:tr w:rsidR="00C3791F">
        <w:trPr>
          <w:trHeight w:val="286"/>
        </w:trPr>
        <w:tc>
          <w:tcPr>
            <w:tcW w:w="2886"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Почечный край</w:t>
            </w:r>
          </w:p>
        </w:tc>
        <w:tc>
          <w:tcPr>
            <w:tcW w:w="3760"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34" w:firstLine="0"/>
              <w:jc w:val="center"/>
            </w:pPr>
            <w:r>
              <w:t>–</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1 балл: латеральный</w:t>
            </w:r>
          </w:p>
        </w:tc>
      </w:tr>
      <w:tr w:rsidR="00C3791F">
        <w:trPr>
          <w:trHeight w:val="286"/>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2 балла: медиальный</w:t>
            </w:r>
          </w:p>
        </w:tc>
      </w:tr>
      <w:tr w:rsidR="00C3791F">
        <w:trPr>
          <w:trHeight w:val="286"/>
        </w:trPr>
        <w:tc>
          <w:tcPr>
            <w:tcW w:w="2886"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Почечный синус</w:t>
            </w:r>
          </w:p>
        </w:tc>
        <w:tc>
          <w:tcPr>
            <w:tcW w:w="3760" w:type="dxa"/>
            <w:vMerge w:val="restart"/>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Включено в собирательную систему</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1 балл: не вовлечен</w:t>
            </w:r>
          </w:p>
        </w:tc>
      </w:tr>
      <w:tr w:rsidR="00C3791F">
        <w:trPr>
          <w:trHeight w:val="286"/>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2 балла: вовлечен</w:t>
            </w:r>
          </w:p>
        </w:tc>
      </w:tr>
      <w:tr w:rsidR="00C3791F">
        <w:trPr>
          <w:trHeight w:val="286"/>
        </w:trPr>
        <w:tc>
          <w:tcPr>
            <w:tcW w:w="288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Передний/задний</w:t>
            </w:r>
          </w:p>
        </w:tc>
        <w:tc>
          <w:tcPr>
            <w:tcW w:w="376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Нет баллов</w:t>
            </w:r>
          </w:p>
        </w:tc>
        <w:tc>
          <w:tcPr>
            <w:tcW w:w="314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Нет баллов</w:t>
            </w:r>
          </w:p>
        </w:tc>
      </w:tr>
    </w:tbl>
    <w:p w:rsidR="00C3791F" w:rsidRDefault="00AE1F83">
      <w:pPr>
        <w:spacing w:after="4" w:line="256" w:lineRule="auto"/>
        <w:ind w:left="127" w:right="203" w:firstLine="709"/>
      </w:pPr>
      <w:r>
        <w:rPr>
          <w:i/>
          <w:sz w:val="18"/>
          <w:vertAlign w:val="superscript"/>
        </w:rPr>
        <w:t>a</w:t>
      </w:r>
      <w:r>
        <w:rPr>
          <w:i/>
          <w:sz w:val="20"/>
        </w:rPr>
        <w:t>Полюсные линии определяются как плоскость почки, над или под которой медиальная губа паренхимы прерывается жиром почечного синуса, сосудами или собирательной системой при аксиальной визуализации.</w:t>
      </w:r>
    </w:p>
    <w:p w:rsidR="00C3791F" w:rsidRDefault="00AE1F83">
      <w:pPr>
        <w:spacing w:after="4" w:line="256" w:lineRule="auto"/>
        <w:ind w:left="861" w:right="203"/>
      </w:pPr>
      <w:r>
        <w:rPr>
          <w:i/>
          <w:sz w:val="18"/>
          <w:vertAlign w:val="superscript"/>
        </w:rPr>
        <w:t>b</w:t>
      </w:r>
      <w:r>
        <w:rPr>
          <w:i/>
          <w:sz w:val="20"/>
        </w:rPr>
        <w:t>Полюсные линии определяются по почечному синусу.</w:t>
      </w:r>
    </w:p>
    <w:p w:rsidR="00C3791F" w:rsidRDefault="00AE1F83">
      <w:pPr>
        <w:pStyle w:val="Heading1"/>
        <w:spacing w:after="0"/>
        <w:ind w:left="160" w:right="127"/>
      </w:pPr>
      <w:r>
        <w:t>Приложение А3-2. Термины, описывающие процедуры в клинической рекомендации и возможные (наиболее близкие) термины из действующей номенклатуры медицинских услуг</w:t>
      </w:r>
    </w:p>
    <w:tbl>
      <w:tblPr>
        <w:tblStyle w:val="TableGrid"/>
        <w:tblW w:w="9490" w:type="dxa"/>
        <w:tblInd w:w="145" w:type="dxa"/>
        <w:tblCellMar>
          <w:top w:w="14" w:type="dxa"/>
          <w:left w:w="109" w:type="dxa"/>
          <w:bottom w:w="0" w:type="dxa"/>
          <w:right w:w="60" w:type="dxa"/>
        </w:tblCellMar>
        <w:tblLook w:val="04A0" w:firstRow="1" w:lastRow="0" w:firstColumn="1" w:lastColumn="0" w:noHBand="0" w:noVBand="1"/>
      </w:tblPr>
      <w:tblGrid>
        <w:gridCol w:w="2826"/>
        <w:gridCol w:w="6664"/>
      </w:tblGrid>
      <w:tr w:rsidR="00C3791F">
        <w:trPr>
          <w:trHeight w:val="1922"/>
        </w:trPr>
        <w:tc>
          <w:tcPr>
            <w:tcW w:w="282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right="139" w:firstLine="0"/>
              <w:jc w:val="left"/>
            </w:pPr>
            <w:r>
              <w:t>Термин, встречающийся в клинической рекомендации</w:t>
            </w:r>
          </w:p>
        </w:tc>
        <w:tc>
          <w:tcPr>
            <w:tcW w:w="6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Виды и подвиды медицинских услуг, наиболее подх</w:t>
            </w:r>
            <w:r>
              <w:t>одящих под термин клинической рекомендации (на основании номенклатуры медицинских услуг, утвержденной приказом от 13 октября 2017 г. N 804н МЗ РФ)</w:t>
            </w:r>
          </w:p>
        </w:tc>
      </w:tr>
      <w:tr w:rsidR="00C3791F">
        <w:trPr>
          <w:trHeight w:val="2760"/>
        </w:trPr>
        <w:tc>
          <w:tcPr>
            <w:tcW w:w="282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t>Биопсия опухоли</w:t>
            </w:r>
          </w:p>
        </w:tc>
        <w:tc>
          <w:tcPr>
            <w:tcW w:w="6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 xml:space="preserve">A11.28.001 Биопсия почки </w:t>
            </w:r>
          </w:p>
          <w:p w:rsidR="00C3791F" w:rsidRDefault="00AE1F83">
            <w:pPr>
              <w:spacing w:after="0" w:line="259" w:lineRule="auto"/>
              <w:ind w:left="0" w:right="14" w:firstLine="0"/>
              <w:jc w:val="left"/>
            </w:pPr>
            <w:r>
              <w:t>A11.28.001.001 Биопсия почки под контролем ультразвукового исследования</w:t>
            </w:r>
          </w:p>
        </w:tc>
      </w:tr>
      <w:tr w:rsidR="00C3791F">
        <w:trPr>
          <w:trHeight w:val="2626"/>
        </w:trPr>
        <w:tc>
          <w:tcPr>
            <w:tcW w:w="282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center"/>
            </w:pPr>
            <w:r>
              <w:t xml:space="preserve">УЗИ регионарных ЛУ и первичной опухоли </w:t>
            </w:r>
          </w:p>
        </w:tc>
        <w:tc>
          <w:tcPr>
            <w:tcW w:w="666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240" w:line="238" w:lineRule="auto"/>
              <w:ind w:left="0" w:firstLine="0"/>
              <w:jc w:val="left"/>
            </w:pPr>
            <w:r>
              <w:t xml:space="preserve">A04.28.001 Ультразвуковое исследование почек и надпочечников </w:t>
            </w:r>
          </w:p>
          <w:p w:rsidR="00C3791F" w:rsidRDefault="00AE1F83">
            <w:pPr>
              <w:spacing w:after="240" w:line="238" w:lineRule="auto"/>
              <w:ind w:left="0" w:firstLine="0"/>
              <w:jc w:val="left"/>
            </w:pPr>
            <w:r>
              <w:t>A04.01.001 Ультразвуковое исследование мягких тканей (одна анатомическая зона)</w:t>
            </w:r>
          </w:p>
          <w:p w:rsidR="00C3791F" w:rsidRDefault="00AE1F83">
            <w:pPr>
              <w:spacing w:after="0" w:line="259" w:lineRule="auto"/>
              <w:ind w:left="0" w:firstLine="0"/>
              <w:jc w:val="left"/>
            </w:pPr>
            <w:r>
              <w:t>A04.28.002 Ультразвуковое исследование мочевыводящих путей</w:t>
            </w:r>
          </w:p>
        </w:tc>
      </w:tr>
      <w:tr w:rsidR="00C3791F">
        <w:trPr>
          <w:trHeight w:val="2770"/>
        </w:trPr>
        <w:tc>
          <w:tcPr>
            <w:tcW w:w="282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firstLine="0"/>
              <w:jc w:val="center"/>
            </w:pPr>
            <w:r>
              <w:t xml:space="preserve">Компьютерная томография (КТ) и МРТ органов грудной, </w:t>
            </w:r>
          </w:p>
          <w:p w:rsidR="00C3791F" w:rsidRDefault="00AE1F83">
            <w:pPr>
              <w:spacing w:after="0" w:line="259" w:lineRule="auto"/>
              <w:ind w:left="0" w:firstLine="0"/>
              <w:jc w:val="center"/>
            </w:pPr>
            <w:r>
              <w:t>брюшной полости и малого таза с контрастированием</w:t>
            </w:r>
          </w:p>
        </w:tc>
        <w:tc>
          <w:tcPr>
            <w:tcW w:w="6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firstLine="0"/>
              <w:jc w:val="left"/>
            </w:pPr>
            <w:r>
              <w:t xml:space="preserve">A06.30.005.002 Компьютерная томография органов брюшной полости и забрюшинного пространства с внутривенным болюсным контрастированием </w:t>
            </w:r>
          </w:p>
          <w:p w:rsidR="00C3791F" w:rsidRDefault="00AE1F83">
            <w:pPr>
              <w:spacing w:after="0" w:line="238" w:lineRule="auto"/>
              <w:ind w:left="0" w:firstLine="0"/>
              <w:jc w:val="left"/>
            </w:pPr>
            <w:r>
              <w:t>A06.09.005.002 Компьютерная томография органов грудной полости с внутривенным болюсным контрастированием A07.28.002 Сцинти</w:t>
            </w:r>
            <w:r>
              <w:t xml:space="preserve">графия почек и мочевыделительной системы </w:t>
            </w:r>
          </w:p>
          <w:p w:rsidR="00C3791F" w:rsidRDefault="00AE1F83">
            <w:pPr>
              <w:spacing w:after="0" w:line="259" w:lineRule="auto"/>
              <w:ind w:left="0" w:firstLine="0"/>
              <w:jc w:val="left"/>
            </w:pPr>
            <w:r>
              <w:t>A07.03.001.001 Сцинтиграфия костей всего тела</w:t>
            </w:r>
          </w:p>
          <w:p w:rsidR="00C3791F" w:rsidRDefault="00AE1F83">
            <w:pPr>
              <w:spacing w:after="0" w:line="259" w:lineRule="auto"/>
              <w:ind w:left="0" w:firstLine="0"/>
              <w:jc w:val="left"/>
            </w:pPr>
            <w:r>
              <w:t>A05.28.002.001 Магнитно-резонансная томография почек с контрастированием</w:t>
            </w:r>
          </w:p>
        </w:tc>
      </w:tr>
      <w:tr w:rsidR="00C3791F">
        <w:trPr>
          <w:trHeight w:val="1630"/>
        </w:trPr>
        <w:tc>
          <w:tcPr>
            <w:tcW w:w="282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right="13" w:firstLine="0"/>
              <w:jc w:val="center"/>
            </w:pPr>
            <w:r>
              <w:t xml:space="preserve">Патологоанатомического </w:t>
            </w:r>
          </w:p>
          <w:p w:rsidR="00C3791F" w:rsidRDefault="00AE1F83">
            <w:pPr>
              <w:spacing w:after="0" w:line="259" w:lineRule="auto"/>
              <w:ind w:left="0" w:right="47" w:firstLine="0"/>
              <w:jc w:val="center"/>
            </w:pPr>
            <w:r>
              <w:t xml:space="preserve">исследования </w:t>
            </w:r>
          </w:p>
          <w:p w:rsidR="00C3791F" w:rsidRDefault="00AE1F83">
            <w:pPr>
              <w:spacing w:after="0" w:line="259" w:lineRule="auto"/>
              <w:ind w:left="56" w:firstLine="0"/>
              <w:jc w:val="left"/>
            </w:pPr>
            <w:r>
              <w:t xml:space="preserve">биопсийного материала </w:t>
            </w:r>
          </w:p>
        </w:tc>
        <w:tc>
          <w:tcPr>
            <w:tcW w:w="6664" w:type="dxa"/>
            <w:tcBorders>
              <w:top w:val="single" w:sz="4" w:space="0" w:color="000000"/>
              <w:left w:val="single" w:sz="4" w:space="0" w:color="000000"/>
              <w:bottom w:val="single" w:sz="4" w:space="0" w:color="000000"/>
              <w:right w:val="single" w:sz="4" w:space="0" w:color="000000"/>
            </w:tcBorders>
          </w:tcPr>
          <w:p w:rsidR="00C3791F" w:rsidRDefault="00AE1F83">
            <w:pPr>
              <w:spacing w:after="240" w:line="238" w:lineRule="auto"/>
              <w:ind w:left="0" w:firstLine="0"/>
              <w:jc w:val="left"/>
            </w:pPr>
            <w:r>
              <w:t xml:space="preserve">A08.28.005.002 </w:t>
            </w:r>
            <w:r>
              <w:rPr>
                <w:color w:val="333333"/>
              </w:rPr>
              <w:t>Патолого-анатомическое исследование биопсийного (операционного) материала почки с применением иммуногистохимических методов</w:t>
            </w:r>
          </w:p>
          <w:p w:rsidR="00C3791F" w:rsidRDefault="00AE1F83">
            <w:pPr>
              <w:spacing w:after="0" w:line="259" w:lineRule="auto"/>
              <w:ind w:left="0" w:firstLine="0"/>
              <w:jc w:val="left"/>
            </w:pPr>
            <w:r>
              <w:t xml:space="preserve">A08.28.005.003 Патолого-анатомическое исследование биопсийного (операционного) материала почки с </w:t>
            </w:r>
          </w:p>
        </w:tc>
      </w:tr>
    </w:tbl>
    <w:p w:rsidR="00C3791F" w:rsidRDefault="00C3791F">
      <w:pPr>
        <w:spacing w:after="0" w:line="259" w:lineRule="auto"/>
        <w:ind w:left="-1561" w:right="49" w:firstLine="0"/>
        <w:jc w:val="left"/>
      </w:pPr>
    </w:p>
    <w:tbl>
      <w:tblPr>
        <w:tblStyle w:val="TableGrid"/>
        <w:tblW w:w="9490" w:type="dxa"/>
        <w:tblInd w:w="145" w:type="dxa"/>
        <w:tblCellMar>
          <w:top w:w="15" w:type="dxa"/>
          <w:left w:w="109" w:type="dxa"/>
          <w:bottom w:w="0" w:type="dxa"/>
          <w:right w:w="98" w:type="dxa"/>
        </w:tblCellMar>
        <w:tblLook w:val="04A0" w:firstRow="1" w:lastRow="0" w:firstColumn="1" w:lastColumn="0" w:noHBand="0" w:noVBand="1"/>
      </w:tblPr>
      <w:tblGrid>
        <w:gridCol w:w="2826"/>
        <w:gridCol w:w="6664"/>
      </w:tblGrid>
      <w:tr w:rsidR="00C3791F">
        <w:trPr>
          <w:trHeight w:val="1558"/>
        </w:trPr>
        <w:tc>
          <w:tcPr>
            <w:tcW w:w="2826"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666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216" w:line="259" w:lineRule="auto"/>
              <w:ind w:left="0" w:firstLine="0"/>
              <w:jc w:val="left"/>
            </w:pPr>
            <w:r>
              <w:t>применением гистохимических методов</w:t>
            </w:r>
          </w:p>
          <w:p w:rsidR="00C3791F" w:rsidRDefault="00AE1F83">
            <w:pPr>
              <w:spacing w:after="0" w:line="259" w:lineRule="auto"/>
              <w:ind w:left="0" w:firstLine="0"/>
            </w:pPr>
            <w:r>
              <w:t>A08.28.002 Электронная микроскопия микропрепарата тканей почки</w:t>
            </w:r>
          </w:p>
        </w:tc>
      </w:tr>
      <w:tr w:rsidR="00C3791F">
        <w:trPr>
          <w:trHeight w:val="1834"/>
        </w:trPr>
        <w:tc>
          <w:tcPr>
            <w:tcW w:w="282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9" w:firstLine="0"/>
              <w:jc w:val="center"/>
            </w:pPr>
            <w:r>
              <w:t>Аблация</w:t>
            </w:r>
          </w:p>
        </w:tc>
        <w:tc>
          <w:tcPr>
            <w:tcW w:w="666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240" w:line="238" w:lineRule="auto"/>
              <w:ind w:left="0" w:firstLine="0"/>
              <w:jc w:val="left"/>
            </w:pPr>
            <w:r>
              <w:t xml:space="preserve">A22.28.008.002 Радиочастотная абляция опухоли почки с ультразвуковой и/или компьютерно-томографической навигацией </w:t>
            </w:r>
          </w:p>
          <w:p w:rsidR="00C3791F" w:rsidRDefault="00AE1F83">
            <w:pPr>
              <w:spacing w:after="0" w:line="259" w:lineRule="auto"/>
              <w:ind w:left="0" w:firstLine="0"/>
              <w:jc w:val="left"/>
            </w:pPr>
            <w:r>
              <w:t>A16.28.070 Криоабляция новообразования почки</w:t>
            </w:r>
          </w:p>
        </w:tc>
      </w:tr>
      <w:tr w:rsidR="00C3791F">
        <w:trPr>
          <w:trHeight w:val="766"/>
        </w:trPr>
        <w:tc>
          <w:tcPr>
            <w:tcW w:w="9490" w:type="dxa"/>
            <w:gridSpan w:val="2"/>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t>Хирургическое лечение</w:t>
            </w:r>
          </w:p>
        </w:tc>
      </w:tr>
      <w:tr w:rsidR="00C3791F">
        <w:trPr>
          <w:trHeight w:val="5722"/>
        </w:trPr>
        <w:tc>
          <w:tcPr>
            <w:tcW w:w="2826" w:type="dxa"/>
            <w:tcBorders>
              <w:top w:val="single" w:sz="4" w:space="0" w:color="000000"/>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666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216" w:line="259" w:lineRule="auto"/>
              <w:ind w:left="0" w:firstLine="0"/>
              <w:jc w:val="left"/>
            </w:pPr>
            <w:r>
              <w:t xml:space="preserve">A16.28.003.001 Лапароскопическая резекция почки </w:t>
            </w:r>
          </w:p>
          <w:p w:rsidR="00C3791F" w:rsidRDefault="00AE1F83">
            <w:pPr>
              <w:spacing w:after="216" w:line="259" w:lineRule="auto"/>
              <w:ind w:left="0" w:firstLine="0"/>
              <w:jc w:val="left"/>
            </w:pPr>
            <w:r>
              <w:t xml:space="preserve">A16.28.003 Резекция почки </w:t>
            </w:r>
          </w:p>
          <w:p w:rsidR="00C3791F" w:rsidRDefault="00AE1F83">
            <w:pPr>
              <w:spacing w:after="240" w:line="238" w:lineRule="auto"/>
              <w:ind w:left="0" w:firstLine="0"/>
              <w:jc w:val="left"/>
            </w:pPr>
            <w:r>
              <w:t xml:space="preserve">A16.28.004.005 Радикальная нефрэктомия с резекцией соседних органов </w:t>
            </w:r>
          </w:p>
          <w:p w:rsidR="00C3791F" w:rsidRDefault="00AE1F83">
            <w:pPr>
              <w:spacing w:after="240" w:line="238" w:lineRule="auto"/>
              <w:ind w:left="0" w:firstLine="0"/>
              <w:jc w:val="left"/>
            </w:pPr>
            <w:r>
              <w:t xml:space="preserve">A16.28.004.004 Радикальная нефрэктомия с расширенной забрюшинной лимфаденэктомией </w:t>
            </w:r>
          </w:p>
          <w:p w:rsidR="00C3791F" w:rsidRDefault="00AE1F83">
            <w:pPr>
              <w:spacing w:after="216" w:line="259" w:lineRule="auto"/>
              <w:ind w:left="0" w:firstLine="0"/>
              <w:jc w:val="left"/>
            </w:pPr>
            <w:r>
              <w:t xml:space="preserve">A16.28.004.003 Роботассистированная нефрэктомия </w:t>
            </w:r>
          </w:p>
          <w:p w:rsidR="00C3791F" w:rsidRDefault="00AE1F83">
            <w:pPr>
              <w:spacing w:after="240" w:line="238" w:lineRule="auto"/>
              <w:ind w:left="0" w:firstLine="0"/>
              <w:jc w:val="left"/>
            </w:pPr>
            <w:r>
              <w:t xml:space="preserve">A16.28.004.002 Нефрэктомия с тромбэктомией из нижней полой вены </w:t>
            </w:r>
          </w:p>
          <w:p w:rsidR="00C3791F" w:rsidRDefault="00AE1F83">
            <w:pPr>
              <w:spacing w:after="216" w:line="259" w:lineRule="auto"/>
              <w:ind w:left="0" w:firstLine="0"/>
              <w:jc w:val="left"/>
            </w:pPr>
            <w:r>
              <w:t>A16.28.003.002 Роботассистированная резекция почки</w:t>
            </w:r>
          </w:p>
          <w:p w:rsidR="00C3791F" w:rsidRDefault="00AE1F83">
            <w:pPr>
              <w:spacing w:after="216" w:line="259" w:lineRule="auto"/>
              <w:ind w:left="0" w:firstLine="0"/>
              <w:jc w:val="left"/>
            </w:pPr>
            <w:r>
              <w:t>A16.28.0</w:t>
            </w:r>
            <w:r>
              <w:t>04.001 Лапароскопическая нефрэктомия</w:t>
            </w:r>
          </w:p>
          <w:p w:rsidR="00C3791F" w:rsidRDefault="00AE1F83">
            <w:pPr>
              <w:spacing w:after="0" w:line="259" w:lineRule="auto"/>
              <w:ind w:left="0" w:firstLine="0"/>
              <w:jc w:val="left"/>
            </w:pPr>
            <w:r>
              <w:t>A16.28.004 Радикальная нефрэктомия</w:t>
            </w:r>
          </w:p>
        </w:tc>
      </w:tr>
    </w:tbl>
    <w:p w:rsidR="00C3791F" w:rsidRDefault="00AE1F83">
      <w:pPr>
        <w:pStyle w:val="Heading1"/>
        <w:spacing w:after="475" w:line="249" w:lineRule="auto"/>
        <w:ind w:left="2060" w:right="163"/>
        <w:jc w:val="left"/>
      </w:pPr>
      <w:r>
        <w:t>Приложение Б. Алгоритмы действий врача</w:t>
      </w:r>
    </w:p>
    <w:p w:rsidR="00C3791F" w:rsidRDefault="00AE1F83">
      <w:pPr>
        <w:spacing w:after="0" w:line="259" w:lineRule="auto"/>
        <w:ind w:left="-994" w:right="-233" w:firstLine="0"/>
        <w:jc w:val="left"/>
      </w:pPr>
      <w:r>
        <w:rPr>
          <w:noProof/>
        </w:rPr>
        <w:drawing>
          <wp:inline distT="0" distB="0" distL="0" distR="0">
            <wp:extent cx="6928485" cy="2352675"/>
            <wp:effectExtent l="0" t="0" r="0" b="0"/>
            <wp:docPr id="12440" name="Picture 12440"/>
            <wp:cNvGraphicFramePr/>
            <a:graphic xmlns:a="http://schemas.openxmlformats.org/drawingml/2006/main">
              <a:graphicData uri="http://schemas.openxmlformats.org/drawingml/2006/picture">
                <pic:pic xmlns:pic="http://schemas.openxmlformats.org/drawingml/2006/picture">
                  <pic:nvPicPr>
                    <pic:cNvPr id="12440" name="Picture 12440"/>
                    <pic:cNvPicPr/>
                  </pic:nvPicPr>
                  <pic:blipFill>
                    <a:blip r:embed="rId362"/>
                    <a:stretch>
                      <a:fillRect/>
                    </a:stretch>
                  </pic:blipFill>
                  <pic:spPr>
                    <a:xfrm>
                      <a:off x="0" y="0"/>
                      <a:ext cx="6928485" cy="2352675"/>
                    </a:xfrm>
                    <a:prstGeom prst="rect">
                      <a:avLst/>
                    </a:prstGeom>
                  </pic:spPr>
                </pic:pic>
              </a:graphicData>
            </a:graphic>
          </wp:inline>
        </w:drawing>
      </w:r>
      <w:r>
        <w:br w:type="page"/>
      </w:r>
    </w:p>
    <w:p w:rsidR="00C3791F" w:rsidRDefault="00AE1F83">
      <w:pPr>
        <w:spacing w:after="43" w:line="259" w:lineRule="auto"/>
        <w:ind w:left="137" w:right="189"/>
      </w:pPr>
      <w:r>
        <w:rPr>
          <w:b/>
        </w:rPr>
        <w:t xml:space="preserve">Таблица П4. </w:t>
      </w:r>
      <w:r>
        <w:t>Алгоритм выбора режима лекарственной терапии у пациентов с ПКР</w:t>
      </w:r>
    </w:p>
    <w:tbl>
      <w:tblPr>
        <w:tblStyle w:val="TableGrid"/>
        <w:tblW w:w="9378" w:type="dxa"/>
        <w:tblInd w:w="-23" w:type="dxa"/>
        <w:tblCellMar>
          <w:top w:w="12" w:type="dxa"/>
          <w:left w:w="109" w:type="dxa"/>
          <w:bottom w:w="0" w:type="dxa"/>
          <w:right w:w="67" w:type="dxa"/>
        </w:tblCellMar>
        <w:tblLook w:val="04A0" w:firstRow="1" w:lastRow="0" w:firstColumn="1" w:lastColumn="0" w:noHBand="0" w:noVBand="1"/>
      </w:tblPr>
      <w:tblGrid>
        <w:gridCol w:w="1582"/>
        <w:gridCol w:w="1700"/>
        <w:gridCol w:w="2664"/>
        <w:gridCol w:w="1588"/>
        <w:gridCol w:w="1844"/>
      </w:tblGrid>
      <w:tr w:rsidR="00C3791F">
        <w:trPr>
          <w:trHeight w:val="562"/>
        </w:trPr>
        <w:tc>
          <w:tcPr>
            <w:tcW w:w="158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b/>
                <w:sz w:val="16"/>
              </w:rPr>
              <w:t>Предшествующее лечение</w:t>
            </w:r>
          </w:p>
        </w:tc>
        <w:tc>
          <w:tcPr>
            <w:tcW w:w="17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b/>
                <w:sz w:val="16"/>
              </w:rPr>
              <w:t xml:space="preserve">Группа прогноза </w:t>
            </w:r>
          </w:p>
          <w:p w:rsidR="00C3791F" w:rsidRDefault="00AE1F83">
            <w:pPr>
              <w:spacing w:after="0" w:line="259" w:lineRule="auto"/>
              <w:ind w:left="0" w:firstLine="0"/>
              <w:jc w:val="left"/>
            </w:pPr>
            <w:r>
              <w:rPr>
                <w:b/>
                <w:sz w:val="16"/>
              </w:rPr>
              <w:t>IMDC</w:t>
            </w:r>
          </w:p>
        </w:tc>
        <w:tc>
          <w:tcPr>
            <w:tcW w:w="2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b/>
                <w:sz w:val="16"/>
              </w:rPr>
              <w:t>Режимы предпочтения/уровень рекомендаций</w:t>
            </w:r>
          </w:p>
        </w:tc>
        <w:tc>
          <w:tcPr>
            <w:tcW w:w="158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b/>
                <w:sz w:val="16"/>
              </w:rPr>
              <w:t>Альтернативные режимы/уровень рекомендаций</w:t>
            </w:r>
          </w:p>
        </w:tc>
        <w:tc>
          <w:tcPr>
            <w:tcW w:w="184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b/>
                <w:sz w:val="16"/>
              </w:rPr>
              <w:t>Допустимые режимы/уровень рекомендаций</w:t>
            </w:r>
          </w:p>
        </w:tc>
      </w:tr>
      <w:tr w:rsidR="00C3791F">
        <w:trPr>
          <w:trHeight w:val="194"/>
        </w:trPr>
        <w:tc>
          <w:tcPr>
            <w:tcW w:w="9378" w:type="dxa"/>
            <w:gridSpan w:val="5"/>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6" w:firstLine="0"/>
              <w:jc w:val="left"/>
            </w:pPr>
            <w:r>
              <w:rPr>
                <w:b/>
                <w:sz w:val="16"/>
              </w:rPr>
              <w:t>1-я линия терапии сПКР</w:t>
            </w:r>
          </w:p>
        </w:tc>
      </w:tr>
      <w:tr w:rsidR="00C3791F">
        <w:trPr>
          <w:trHeight w:val="378"/>
        </w:trPr>
        <w:tc>
          <w:tcPr>
            <w:tcW w:w="1582" w:type="dxa"/>
            <w:vMerge w:val="restart"/>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Не было</w:t>
            </w:r>
          </w:p>
        </w:tc>
        <w:tc>
          <w:tcPr>
            <w:tcW w:w="17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Хороший</w:t>
            </w:r>
          </w:p>
        </w:tc>
        <w:tc>
          <w:tcPr>
            <w:tcW w:w="2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right="343" w:firstLine="0"/>
              <w:jc w:val="left"/>
            </w:pPr>
            <w:r>
              <w:rPr>
                <w:sz w:val="16"/>
              </w:rPr>
              <w:t>Пазопаниб**/А Сунитиниб**/А</w:t>
            </w:r>
          </w:p>
        </w:tc>
        <w:tc>
          <w:tcPr>
            <w:tcW w:w="158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w:t>
            </w:r>
          </w:p>
        </w:tc>
        <w:tc>
          <w:tcPr>
            <w:tcW w:w="184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16"/>
              </w:rPr>
              <w:t>-</w:t>
            </w:r>
          </w:p>
        </w:tc>
      </w:tr>
      <w:tr w:rsidR="00C3791F">
        <w:trPr>
          <w:trHeight w:val="1298"/>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Промежуточный и плохой</w:t>
            </w:r>
          </w:p>
        </w:tc>
        <w:tc>
          <w:tcPr>
            <w:tcW w:w="2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16"/>
              </w:rPr>
              <w:t>Ниволумаб** с ипилимумабом**/А</w:t>
            </w:r>
          </w:p>
          <w:p w:rsidR="00C3791F" w:rsidRDefault="00AE1F83">
            <w:pPr>
              <w:spacing w:after="0" w:line="259" w:lineRule="auto"/>
              <w:ind w:left="1" w:right="266" w:firstLine="0"/>
              <w:jc w:val="left"/>
            </w:pPr>
            <w:r>
              <w:rPr>
                <w:sz w:val="16"/>
              </w:rPr>
              <w:t>Пембролизумаб** с акситинибом**/А Пембролизумаб** с ленватинибом**/А Ниволумаб** с кабозантинибом**/А</w:t>
            </w:r>
          </w:p>
        </w:tc>
        <w:tc>
          <w:tcPr>
            <w:tcW w:w="158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Авелумаб** с акситинибом**/А</w:t>
            </w:r>
          </w:p>
        </w:tc>
        <w:tc>
          <w:tcPr>
            <w:tcW w:w="184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16"/>
              </w:rPr>
              <w:t>Кабозантиниб**/В</w:t>
            </w:r>
          </w:p>
        </w:tc>
      </w:tr>
      <w:tr w:rsidR="00C3791F">
        <w:trPr>
          <w:trHeight w:val="194"/>
        </w:trPr>
        <w:tc>
          <w:tcPr>
            <w:tcW w:w="9378" w:type="dxa"/>
            <w:gridSpan w:val="5"/>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09" w:firstLine="0"/>
              <w:jc w:val="left"/>
            </w:pPr>
            <w:r>
              <w:rPr>
                <w:b/>
                <w:sz w:val="16"/>
              </w:rPr>
              <w:t>1-я линия терапии ПКР с саркоматоидной дифференцировкой</w:t>
            </w:r>
          </w:p>
        </w:tc>
      </w:tr>
      <w:tr w:rsidR="00C3791F">
        <w:trPr>
          <w:trHeight w:val="746"/>
        </w:trPr>
        <w:tc>
          <w:tcPr>
            <w:tcW w:w="1582" w:type="dxa"/>
            <w:vMerge w:val="restart"/>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Не было</w:t>
            </w:r>
          </w:p>
        </w:tc>
        <w:tc>
          <w:tcPr>
            <w:tcW w:w="170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Хороший</w:t>
            </w:r>
          </w:p>
        </w:tc>
        <w:tc>
          <w:tcPr>
            <w:tcW w:w="2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right="344" w:firstLine="0"/>
              <w:jc w:val="left"/>
            </w:pPr>
            <w:r>
              <w:rPr>
                <w:sz w:val="16"/>
              </w:rPr>
              <w:t>Пембролизумаб** с акситинибом**/А Ниволумаб** с кабозантинибом**/А</w:t>
            </w:r>
          </w:p>
        </w:tc>
        <w:tc>
          <w:tcPr>
            <w:tcW w:w="158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Авелумаб** с акситинибом**/А Пембролизумаб** с ленватинибом**/А</w:t>
            </w:r>
          </w:p>
        </w:tc>
        <w:tc>
          <w:tcPr>
            <w:tcW w:w="184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right="168" w:firstLine="0"/>
              <w:jc w:val="center"/>
            </w:pPr>
            <w:r>
              <w:rPr>
                <w:sz w:val="16"/>
              </w:rPr>
              <w:t>–</w:t>
            </w:r>
          </w:p>
        </w:tc>
      </w:tr>
      <w:tr w:rsidR="00C3791F">
        <w:trPr>
          <w:trHeight w:val="562"/>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Промежуточный и плохой</w:t>
            </w:r>
          </w:p>
        </w:tc>
        <w:tc>
          <w:tcPr>
            <w:tcW w:w="2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1" w:firstLine="0"/>
              <w:jc w:val="left"/>
            </w:pPr>
            <w:r>
              <w:rPr>
                <w:sz w:val="16"/>
              </w:rPr>
              <w:t>Ниволумаб** с кабозантинибом**/А</w:t>
            </w:r>
          </w:p>
          <w:p w:rsidR="00C3791F" w:rsidRDefault="00AE1F83">
            <w:pPr>
              <w:spacing w:after="0" w:line="259" w:lineRule="auto"/>
              <w:ind w:left="1" w:firstLine="0"/>
              <w:jc w:val="left"/>
            </w:pPr>
            <w:r>
              <w:rPr>
                <w:sz w:val="16"/>
              </w:rPr>
              <w:t>Ниволумаб** с ипилимумабом**/А</w:t>
            </w:r>
          </w:p>
        </w:tc>
        <w:tc>
          <w:tcPr>
            <w:tcW w:w="158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Авелумаб** с акситинибом**/А</w:t>
            </w:r>
          </w:p>
        </w:tc>
        <w:tc>
          <w:tcPr>
            <w:tcW w:w="184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right="195" w:firstLine="0"/>
              <w:jc w:val="center"/>
            </w:pPr>
            <w:r>
              <w:rPr>
                <w:sz w:val="16"/>
              </w:rPr>
              <w:t>-</w:t>
            </w:r>
          </w:p>
        </w:tc>
      </w:tr>
      <w:tr w:rsidR="00C3791F">
        <w:trPr>
          <w:trHeight w:val="194"/>
        </w:trPr>
        <w:tc>
          <w:tcPr>
            <w:tcW w:w="9378" w:type="dxa"/>
            <w:gridSpan w:val="5"/>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09" w:firstLine="0"/>
              <w:jc w:val="left"/>
            </w:pPr>
            <w:r>
              <w:rPr>
                <w:b/>
                <w:sz w:val="16"/>
              </w:rPr>
              <w:t>1-я линия терапии несветлоклеточного ПКР</w:t>
            </w:r>
          </w:p>
        </w:tc>
      </w:tr>
      <w:tr w:rsidR="00C3791F">
        <w:trPr>
          <w:trHeight w:val="1666"/>
        </w:trPr>
        <w:tc>
          <w:tcPr>
            <w:tcW w:w="1582" w:type="dxa"/>
            <w:vMerge w:val="restart"/>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Не было</w:t>
            </w:r>
          </w:p>
        </w:tc>
        <w:tc>
          <w:tcPr>
            <w:tcW w:w="17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26" w:firstLine="0"/>
              <w:jc w:val="left"/>
            </w:pPr>
            <w:r>
              <w:rPr>
                <w:sz w:val="16"/>
              </w:rPr>
              <w:t>Все группы прогноза, папиллярный вариант ПКР</w:t>
            </w:r>
          </w:p>
        </w:tc>
        <w:tc>
          <w:tcPr>
            <w:tcW w:w="266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16"/>
              </w:rPr>
              <w:t xml:space="preserve">Кабозантиниб**/В Пембролизумаб** с ленватинибом**/А </w:t>
            </w:r>
          </w:p>
        </w:tc>
        <w:tc>
          <w:tcPr>
            <w:tcW w:w="158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Пембролизумаб**/</w:t>
            </w:r>
          </w:p>
          <w:p w:rsidR="00C3791F" w:rsidRDefault="00AE1F83">
            <w:pPr>
              <w:spacing w:after="0" w:line="259" w:lineRule="auto"/>
              <w:ind w:left="0" w:firstLine="0"/>
              <w:jc w:val="left"/>
            </w:pPr>
            <w:r>
              <w:rPr>
                <w:sz w:val="16"/>
              </w:rPr>
              <w:t>В</w:t>
            </w:r>
          </w:p>
          <w:p w:rsidR="00C3791F" w:rsidRDefault="00AE1F83">
            <w:pPr>
              <w:spacing w:after="0" w:line="259" w:lineRule="auto"/>
              <w:ind w:left="0" w:firstLine="0"/>
              <w:jc w:val="left"/>
            </w:pPr>
            <w:r>
              <w:rPr>
                <w:sz w:val="16"/>
              </w:rPr>
              <w:t xml:space="preserve">Ниволумаб** с </w:t>
            </w:r>
          </w:p>
          <w:p w:rsidR="00C3791F" w:rsidRDefault="00AE1F83">
            <w:pPr>
              <w:spacing w:after="0" w:line="259" w:lineRule="auto"/>
              <w:ind w:left="0" w:firstLine="0"/>
              <w:jc w:val="left"/>
            </w:pPr>
            <w:r>
              <w:rPr>
                <w:sz w:val="16"/>
              </w:rPr>
              <w:t>кабозантинибом**/</w:t>
            </w:r>
          </w:p>
          <w:p w:rsidR="00C3791F" w:rsidRDefault="00AE1F83">
            <w:pPr>
              <w:spacing w:after="0" w:line="259" w:lineRule="auto"/>
              <w:ind w:left="0" w:firstLine="0"/>
              <w:jc w:val="left"/>
            </w:pPr>
            <w:r>
              <w:rPr>
                <w:sz w:val="16"/>
              </w:rPr>
              <w:t>А</w:t>
            </w:r>
          </w:p>
          <w:p w:rsidR="00C3791F" w:rsidRDefault="00AE1F83">
            <w:pPr>
              <w:spacing w:after="0" w:line="238" w:lineRule="auto"/>
              <w:ind w:left="0" w:firstLine="0"/>
              <w:jc w:val="left"/>
            </w:pPr>
            <w:r>
              <w:rPr>
                <w:sz w:val="16"/>
              </w:rPr>
              <w:t>Ниволумаб** с ипилимумабом**/А Сунитиниб**/А</w:t>
            </w:r>
          </w:p>
          <w:p w:rsidR="00C3791F" w:rsidRDefault="00AE1F83">
            <w:pPr>
              <w:spacing w:after="0" w:line="259" w:lineRule="auto"/>
              <w:ind w:left="0" w:firstLine="0"/>
              <w:jc w:val="left"/>
            </w:pPr>
            <w:r>
              <w:rPr>
                <w:sz w:val="16"/>
              </w:rPr>
              <w:t>Эверолимус**/С</w:t>
            </w:r>
          </w:p>
        </w:tc>
        <w:tc>
          <w:tcPr>
            <w:tcW w:w="184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right="168" w:firstLine="0"/>
              <w:jc w:val="center"/>
            </w:pPr>
            <w:r>
              <w:rPr>
                <w:sz w:val="16"/>
              </w:rPr>
              <w:t>–</w:t>
            </w:r>
          </w:p>
        </w:tc>
      </w:tr>
      <w:tr w:rsidR="00C3791F">
        <w:trPr>
          <w:trHeight w:val="1114"/>
        </w:trPr>
        <w:tc>
          <w:tcPr>
            <w:tcW w:w="0" w:type="auto"/>
            <w:vMerge/>
            <w:tcBorders>
              <w:top w:val="nil"/>
              <w:left w:val="single" w:sz="4" w:space="0" w:color="000000"/>
              <w:bottom w:val="single" w:sz="4" w:space="0" w:color="000000"/>
              <w:right w:val="single" w:sz="4" w:space="0" w:color="000000"/>
            </w:tcBorders>
          </w:tcPr>
          <w:p w:rsidR="00C3791F" w:rsidRDefault="00C3791F">
            <w:pPr>
              <w:spacing w:after="160" w:line="259" w:lineRule="auto"/>
              <w:ind w:left="0"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Все группы прогноза, все варианты несветлоклеточного ПКР, кроме рака собирательных трубочек</w:t>
            </w:r>
          </w:p>
        </w:tc>
        <w:tc>
          <w:tcPr>
            <w:tcW w:w="266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16"/>
              </w:rPr>
              <w:t xml:space="preserve">Пембролизумаб** с ленватинибом**/А </w:t>
            </w:r>
          </w:p>
        </w:tc>
        <w:tc>
          <w:tcPr>
            <w:tcW w:w="158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w:t>
            </w:r>
          </w:p>
        </w:tc>
        <w:tc>
          <w:tcPr>
            <w:tcW w:w="184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right="195" w:firstLine="0"/>
              <w:jc w:val="center"/>
            </w:pPr>
            <w:r>
              <w:rPr>
                <w:sz w:val="16"/>
              </w:rPr>
              <w:t>-</w:t>
            </w:r>
          </w:p>
        </w:tc>
      </w:tr>
      <w:tr w:rsidR="00C3791F">
        <w:trPr>
          <w:trHeight w:val="194"/>
        </w:trPr>
        <w:tc>
          <w:tcPr>
            <w:tcW w:w="9378" w:type="dxa"/>
            <w:gridSpan w:val="5"/>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66" w:firstLine="0"/>
              <w:jc w:val="left"/>
            </w:pPr>
            <w:r>
              <w:rPr>
                <w:b/>
                <w:sz w:val="16"/>
              </w:rPr>
              <w:t>Последующая терапия</w:t>
            </w:r>
          </w:p>
        </w:tc>
      </w:tr>
      <w:tr w:rsidR="00C3791F">
        <w:trPr>
          <w:trHeight w:val="378"/>
        </w:trPr>
        <w:tc>
          <w:tcPr>
            <w:tcW w:w="158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Анти-VEGF</w:t>
            </w:r>
          </w:p>
        </w:tc>
        <w:tc>
          <w:tcPr>
            <w:tcW w:w="17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Все группы прогноза</w:t>
            </w:r>
          </w:p>
        </w:tc>
        <w:tc>
          <w:tcPr>
            <w:tcW w:w="2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right="111" w:firstLine="0"/>
              <w:jc w:val="left"/>
            </w:pPr>
            <w:r>
              <w:rPr>
                <w:sz w:val="16"/>
              </w:rPr>
              <w:t>Ниволумаб**/А Кабозантиниб**/А</w:t>
            </w:r>
          </w:p>
        </w:tc>
        <w:tc>
          <w:tcPr>
            <w:tcW w:w="158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Ленватиниб** с эверолимусом**/А</w:t>
            </w:r>
          </w:p>
        </w:tc>
        <w:tc>
          <w:tcPr>
            <w:tcW w:w="184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16"/>
              </w:rPr>
              <w:t>Акситиниб**/А</w:t>
            </w:r>
          </w:p>
        </w:tc>
      </w:tr>
      <w:tr w:rsidR="00C3791F">
        <w:trPr>
          <w:trHeight w:val="562"/>
        </w:trPr>
        <w:tc>
          <w:tcPr>
            <w:tcW w:w="158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Анти-PD(L)-1 + анти-VEGF</w:t>
            </w:r>
          </w:p>
        </w:tc>
        <w:tc>
          <w:tcPr>
            <w:tcW w:w="170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Все группы прогноза</w:t>
            </w:r>
          </w:p>
        </w:tc>
        <w:tc>
          <w:tcPr>
            <w:tcW w:w="266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16"/>
              </w:rPr>
              <w:t>Клинические исследования</w:t>
            </w:r>
          </w:p>
        </w:tc>
        <w:tc>
          <w:tcPr>
            <w:tcW w:w="158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Кабозантиниб**/С Ленватиниб** с эверолимусом**/С</w:t>
            </w:r>
          </w:p>
        </w:tc>
        <w:tc>
          <w:tcPr>
            <w:tcW w:w="184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16"/>
              </w:rPr>
              <w:t>–</w:t>
            </w:r>
          </w:p>
        </w:tc>
      </w:tr>
      <w:tr w:rsidR="00C3791F">
        <w:trPr>
          <w:trHeight w:val="930"/>
        </w:trPr>
        <w:tc>
          <w:tcPr>
            <w:tcW w:w="158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Анти-PD(L)-1 + анти-CTLA-4</w:t>
            </w:r>
          </w:p>
        </w:tc>
        <w:tc>
          <w:tcPr>
            <w:tcW w:w="1700"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Все группы прогноза</w:t>
            </w:r>
          </w:p>
        </w:tc>
        <w:tc>
          <w:tcPr>
            <w:tcW w:w="2664"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16"/>
              </w:rPr>
              <w:t>Клинические исследования</w:t>
            </w:r>
          </w:p>
        </w:tc>
        <w:tc>
          <w:tcPr>
            <w:tcW w:w="158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Клинические исследования</w:t>
            </w:r>
          </w:p>
        </w:tc>
        <w:tc>
          <w:tcPr>
            <w:tcW w:w="184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1" w:firstLine="0"/>
              <w:jc w:val="left"/>
            </w:pPr>
            <w:r>
              <w:rPr>
                <w:sz w:val="16"/>
              </w:rPr>
              <w:t>Кабозантиниб**/С Ленватиниб** с эверолимусом**/A Сунитиниб**/С</w:t>
            </w:r>
          </w:p>
          <w:p w:rsidR="00C3791F" w:rsidRDefault="00AE1F83">
            <w:pPr>
              <w:spacing w:after="0" w:line="259" w:lineRule="auto"/>
              <w:ind w:left="1" w:firstLine="0"/>
              <w:jc w:val="left"/>
            </w:pPr>
            <w:r>
              <w:rPr>
                <w:sz w:val="16"/>
              </w:rPr>
              <w:t>Пазопаниб**/С</w:t>
            </w:r>
          </w:p>
        </w:tc>
      </w:tr>
      <w:tr w:rsidR="00C3791F">
        <w:trPr>
          <w:trHeight w:val="1298"/>
        </w:trPr>
        <w:tc>
          <w:tcPr>
            <w:tcW w:w="1582"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rPr>
                <w:sz w:val="16"/>
              </w:rPr>
              <w:t>Две и более линии, любое</w:t>
            </w:r>
          </w:p>
        </w:tc>
        <w:tc>
          <w:tcPr>
            <w:tcW w:w="17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Все группы прогноза</w:t>
            </w:r>
          </w:p>
        </w:tc>
        <w:tc>
          <w:tcPr>
            <w:tcW w:w="26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16"/>
              </w:rPr>
              <w:t>–</w:t>
            </w:r>
          </w:p>
        </w:tc>
        <w:tc>
          <w:tcPr>
            <w:tcW w:w="158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16"/>
              </w:rPr>
              <w:t>–</w:t>
            </w:r>
          </w:p>
        </w:tc>
        <w:tc>
          <w:tcPr>
            <w:tcW w:w="184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16"/>
              </w:rPr>
              <w:t>Эверолимус**/В</w:t>
            </w:r>
          </w:p>
          <w:p w:rsidR="00C3791F" w:rsidRDefault="00AE1F83">
            <w:pPr>
              <w:spacing w:after="0" w:line="259" w:lineRule="auto"/>
              <w:ind w:left="1" w:firstLine="0"/>
              <w:jc w:val="left"/>
            </w:pPr>
            <w:r>
              <w:rPr>
                <w:sz w:val="16"/>
              </w:rPr>
              <w:t>Сунитиниб**/В</w:t>
            </w:r>
          </w:p>
          <w:p w:rsidR="00C3791F" w:rsidRDefault="00AE1F83">
            <w:pPr>
              <w:spacing w:after="0" w:line="238" w:lineRule="auto"/>
              <w:ind w:left="1" w:firstLine="0"/>
              <w:jc w:val="left"/>
            </w:pPr>
            <w:r>
              <w:rPr>
                <w:sz w:val="16"/>
              </w:rPr>
              <w:t>Пазопаниб**/В Бевацизумаб** с ИФНα**/С</w:t>
            </w:r>
          </w:p>
          <w:p w:rsidR="00C3791F" w:rsidRDefault="00AE1F83">
            <w:pPr>
              <w:spacing w:after="0" w:line="259" w:lineRule="auto"/>
              <w:ind w:left="1" w:firstLine="0"/>
              <w:jc w:val="left"/>
            </w:pPr>
            <w:r>
              <w:rPr>
                <w:sz w:val="16"/>
              </w:rPr>
              <w:t>Сорафениб**/С</w:t>
            </w:r>
          </w:p>
        </w:tc>
      </w:tr>
    </w:tbl>
    <w:p w:rsidR="00C3791F" w:rsidRDefault="00AE1F83">
      <w:pPr>
        <w:spacing w:after="43" w:line="259" w:lineRule="auto"/>
        <w:ind w:left="137" w:right="189"/>
      </w:pPr>
      <w:r>
        <w:rPr>
          <w:b/>
        </w:rPr>
        <w:t xml:space="preserve">Таблица П5. </w:t>
      </w:r>
      <w:r>
        <w:t>Критерии селекции пациентов с распространенным ПКР, получающих наибольшую клиническую пользу от режимов противоопухолевого лечения*</w:t>
      </w:r>
    </w:p>
    <w:tbl>
      <w:tblPr>
        <w:tblStyle w:val="TableGrid"/>
        <w:tblW w:w="9464" w:type="dxa"/>
        <w:tblInd w:w="145" w:type="dxa"/>
        <w:tblCellMar>
          <w:top w:w="14" w:type="dxa"/>
          <w:left w:w="109" w:type="dxa"/>
          <w:bottom w:w="0" w:type="dxa"/>
          <w:right w:w="50" w:type="dxa"/>
        </w:tblCellMar>
        <w:tblLook w:val="04A0" w:firstRow="1" w:lastRow="0" w:firstColumn="1" w:lastColumn="0" w:noHBand="0" w:noVBand="1"/>
      </w:tblPr>
      <w:tblGrid>
        <w:gridCol w:w="1938"/>
        <w:gridCol w:w="3800"/>
        <w:gridCol w:w="2592"/>
        <w:gridCol w:w="1134"/>
      </w:tblGrid>
      <w:tr w:rsidR="00C3791F">
        <w:trPr>
          <w:trHeight w:val="1022"/>
        </w:trPr>
        <w:tc>
          <w:tcPr>
            <w:tcW w:w="193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Режим</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pPr>
            <w:r>
              <w:rPr>
                <w:sz w:val="22"/>
              </w:rPr>
              <w:t>Популяция пациентов, получающая наибольшую клиническую пользу</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right="56" w:firstLine="0"/>
            </w:pPr>
            <w:r>
              <w:rPr>
                <w:sz w:val="22"/>
              </w:rPr>
              <w:t>Популяция пациентов, у которых режим является альтернати</w:t>
            </w:r>
            <w:r>
              <w:rPr>
                <w:sz w:val="22"/>
              </w:rPr>
              <w:t>вным</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1" w:firstLine="0"/>
              <w:jc w:val="left"/>
            </w:pPr>
            <w:r>
              <w:rPr>
                <w:sz w:val="22"/>
              </w:rPr>
              <w:t>Балл по шкале ESMO-</w:t>
            </w:r>
          </w:p>
          <w:p w:rsidR="00C3791F" w:rsidRDefault="00AE1F83">
            <w:pPr>
              <w:spacing w:after="0" w:line="259" w:lineRule="auto"/>
              <w:ind w:left="1" w:firstLine="0"/>
              <w:jc w:val="left"/>
            </w:pPr>
            <w:r>
              <w:rPr>
                <w:sz w:val="22"/>
              </w:rPr>
              <w:t>MCBS</w:t>
            </w:r>
          </w:p>
        </w:tc>
      </w:tr>
      <w:tr w:rsidR="00C3791F">
        <w:trPr>
          <w:trHeight w:val="2540"/>
        </w:trPr>
        <w:tc>
          <w:tcPr>
            <w:tcW w:w="193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22"/>
              </w:rPr>
              <w:t>Авелумаб**</w:t>
            </w:r>
            <w:r>
              <w:rPr>
                <w:sz w:val="22"/>
              </w:rPr>
              <w:tab/>
              <w:t xml:space="preserve"> </w:t>
            </w:r>
            <w:r>
              <w:rPr>
                <w:sz w:val="22"/>
              </w:rPr>
              <w:tab/>
              <w:t>+ акситиниб**</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22"/>
              </w:rPr>
              <w:t>Отсутствие предшествующей терапии</w:t>
            </w:r>
          </w:p>
          <w:p w:rsidR="00C3791F" w:rsidRDefault="00AE1F83">
            <w:pPr>
              <w:spacing w:after="0" w:line="259" w:lineRule="auto"/>
              <w:ind w:left="0" w:firstLine="0"/>
              <w:jc w:val="left"/>
            </w:pPr>
            <w:r>
              <w:rPr>
                <w:sz w:val="22"/>
              </w:rPr>
              <w:t xml:space="preserve">Группа плохого прогноза </w:t>
            </w:r>
          </w:p>
          <w:p w:rsidR="00C3791F" w:rsidRDefault="00AE1F83">
            <w:pPr>
              <w:spacing w:after="0" w:line="259" w:lineRule="auto"/>
              <w:ind w:left="0" w:firstLine="0"/>
              <w:jc w:val="left"/>
            </w:pPr>
            <w:r>
              <w:rPr>
                <w:sz w:val="22"/>
              </w:rPr>
              <w:t>Возраст ≤ 65 лет</w:t>
            </w:r>
          </w:p>
          <w:p w:rsidR="00C3791F" w:rsidRDefault="00AE1F83">
            <w:pPr>
              <w:spacing w:after="23" w:line="259" w:lineRule="auto"/>
              <w:ind w:left="0" w:firstLine="0"/>
              <w:jc w:val="left"/>
            </w:pPr>
            <w:r>
              <w:rPr>
                <w:sz w:val="22"/>
              </w:rPr>
              <w:t>Соматический статус ECOG 0-1</w:t>
            </w:r>
            <w:r>
              <w:rPr>
                <w:sz w:val="20"/>
                <w:vertAlign w:val="superscript"/>
              </w:rPr>
              <w:t>а</w:t>
            </w:r>
          </w:p>
          <w:p w:rsidR="00C3791F" w:rsidRDefault="00AE1F83">
            <w:pPr>
              <w:spacing w:after="0" w:line="259" w:lineRule="auto"/>
              <w:ind w:left="0" w:right="57" w:firstLine="0"/>
            </w:pPr>
            <w:r>
              <w:rPr>
                <w:sz w:val="22"/>
              </w:rPr>
              <w:t xml:space="preserve">Отсутствие неконтролируемой артериальной гипертензии, высоких рисков кровотечения, </w:t>
            </w:r>
            <w:r>
              <w:rPr>
                <w:sz w:val="22"/>
              </w:rPr>
              <w:t>декомпенсированной сердечной недостаточности и терминальной хронической болезни почек</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3</w:t>
            </w:r>
          </w:p>
        </w:tc>
      </w:tr>
      <w:tr w:rsidR="00C3791F">
        <w:trPr>
          <w:trHeight w:val="3046"/>
        </w:trPr>
        <w:tc>
          <w:tcPr>
            <w:tcW w:w="193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22"/>
              </w:rPr>
              <w:t>Пембролизумаб** + акситиниб**</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right="46" w:firstLine="0"/>
            </w:pPr>
            <w:r>
              <w:rPr>
                <w:sz w:val="22"/>
              </w:rPr>
              <w:t>Отсутствие предшествующей терапии Группы промежуточного и плохого прогноза</w:t>
            </w:r>
          </w:p>
          <w:p w:rsidR="00C3791F" w:rsidRDefault="00AE1F83">
            <w:pPr>
              <w:spacing w:after="34" w:line="216" w:lineRule="auto"/>
              <w:ind w:left="0" w:firstLine="0"/>
              <w:jc w:val="left"/>
            </w:pPr>
            <w:r>
              <w:rPr>
                <w:sz w:val="22"/>
              </w:rPr>
              <w:t>Наличие метастазов, вызывающих симптомы</w:t>
            </w:r>
            <w:r>
              <w:rPr>
                <w:sz w:val="20"/>
                <w:vertAlign w:val="superscript"/>
              </w:rPr>
              <w:t>б</w:t>
            </w:r>
          </w:p>
          <w:p w:rsidR="00C3791F" w:rsidRDefault="00AE1F83">
            <w:pPr>
              <w:spacing w:after="23" w:line="259" w:lineRule="auto"/>
              <w:ind w:left="0" w:firstLine="0"/>
              <w:jc w:val="left"/>
            </w:pPr>
            <w:r>
              <w:rPr>
                <w:sz w:val="22"/>
              </w:rPr>
              <w:t>Соматический статус ECOG 0-1</w:t>
            </w:r>
            <w:r>
              <w:rPr>
                <w:sz w:val="20"/>
                <w:vertAlign w:val="superscript"/>
              </w:rPr>
              <w:t>а</w:t>
            </w:r>
          </w:p>
          <w:p w:rsidR="00C3791F" w:rsidRDefault="00AE1F83">
            <w:pPr>
              <w:spacing w:after="0" w:line="259" w:lineRule="auto"/>
              <w:ind w:left="0" w:right="57" w:firstLine="0"/>
            </w:pPr>
            <w:r>
              <w:rPr>
                <w:sz w:val="22"/>
              </w:rPr>
              <w:t>Отсутствие неконтролируемой артериальной гипертензии, высоких рисков кровотечения, декомпенсированной сердечной недостаточности и терминальной хронической болезни почек</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Саркоматоидная дифференцировка ПКР</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4</w:t>
            </w:r>
          </w:p>
        </w:tc>
      </w:tr>
      <w:tr w:rsidR="00C3791F">
        <w:trPr>
          <w:trHeight w:val="2540"/>
        </w:trPr>
        <w:tc>
          <w:tcPr>
            <w:tcW w:w="193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22"/>
              </w:rPr>
              <w:t xml:space="preserve">Пембролизумаб** </w:t>
            </w:r>
            <w:r>
              <w:rPr>
                <w:sz w:val="22"/>
              </w:rPr>
              <w:t>+ ленватиниб**</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22"/>
              </w:rPr>
              <w:t>Отсутствие предшествующей терапии</w:t>
            </w:r>
          </w:p>
          <w:p w:rsidR="00C3791F" w:rsidRDefault="00AE1F83">
            <w:pPr>
              <w:spacing w:after="0" w:line="259" w:lineRule="auto"/>
              <w:ind w:left="0" w:firstLine="0"/>
              <w:jc w:val="left"/>
            </w:pPr>
            <w:r>
              <w:rPr>
                <w:sz w:val="22"/>
              </w:rPr>
              <w:t xml:space="preserve">Группа плохого прогноза </w:t>
            </w:r>
          </w:p>
          <w:p w:rsidR="00C3791F" w:rsidRDefault="00AE1F83">
            <w:pPr>
              <w:spacing w:after="73" w:line="216" w:lineRule="auto"/>
              <w:ind w:left="0" w:firstLine="0"/>
              <w:jc w:val="left"/>
            </w:pPr>
            <w:r>
              <w:rPr>
                <w:sz w:val="22"/>
              </w:rPr>
              <w:t>Наличие метастазов, вызывающих симптомы</w:t>
            </w:r>
            <w:r>
              <w:rPr>
                <w:sz w:val="20"/>
                <w:vertAlign w:val="superscript"/>
              </w:rPr>
              <w:t>б</w:t>
            </w:r>
          </w:p>
          <w:p w:rsidR="00C3791F" w:rsidRDefault="00AE1F83">
            <w:pPr>
              <w:spacing w:after="0" w:line="259" w:lineRule="auto"/>
              <w:ind w:left="0" w:right="57" w:firstLine="0"/>
            </w:pPr>
            <w:r>
              <w:rPr>
                <w:sz w:val="22"/>
              </w:rPr>
              <w:t>Отсутствие неконтролируемой артериальной гипертензии, высоких рисков кровотечения, декомпенсированной сердечной недостаточности и терминально</w:t>
            </w:r>
            <w:r>
              <w:rPr>
                <w:sz w:val="22"/>
              </w:rPr>
              <w:t>й хронической болезни почек</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Саркоматоидная дифференцировка ПКР</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4</w:t>
            </w:r>
          </w:p>
        </w:tc>
      </w:tr>
      <w:tr w:rsidR="00C3791F">
        <w:trPr>
          <w:trHeight w:val="3300"/>
        </w:trPr>
        <w:tc>
          <w:tcPr>
            <w:tcW w:w="193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22"/>
              </w:rPr>
              <w:t>Ниволумаб** + кабозантиниб**</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right="46" w:firstLine="0"/>
            </w:pPr>
            <w:r>
              <w:rPr>
                <w:sz w:val="22"/>
              </w:rPr>
              <w:t>Отсутствие предшествующей терапии Группы промежуточного и плохого прогноза</w:t>
            </w:r>
          </w:p>
          <w:p w:rsidR="00C3791F" w:rsidRDefault="00AE1F83">
            <w:pPr>
              <w:spacing w:after="73" w:line="216" w:lineRule="auto"/>
              <w:ind w:left="0" w:firstLine="0"/>
              <w:jc w:val="left"/>
            </w:pPr>
            <w:r>
              <w:rPr>
                <w:sz w:val="22"/>
              </w:rPr>
              <w:t>Наличие метастазов, вызывающих симптомы</w:t>
            </w:r>
            <w:r>
              <w:rPr>
                <w:sz w:val="20"/>
                <w:vertAlign w:val="superscript"/>
              </w:rPr>
              <w:t>б</w:t>
            </w:r>
          </w:p>
          <w:p w:rsidR="00C3791F" w:rsidRDefault="00AE1F83">
            <w:pPr>
              <w:spacing w:after="0" w:line="259" w:lineRule="auto"/>
              <w:ind w:left="0" w:firstLine="0"/>
              <w:jc w:val="left"/>
            </w:pPr>
            <w:r>
              <w:rPr>
                <w:sz w:val="22"/>
              </w:rPr>
              <w:t xml:space="preserve">Саркоматоидная дифференцировка </w:t>
            </w:r>
          </w:p>
          <w:p w:rsidR="00C3791F" w:rsidRDefault="00AE1F83">
            <w:pPr>
              <w:spacing w:after="0" w:line="259" w:lineRule="auto"/>
              <w:ind w:left="0" w:firstLine="0"/>
              <w:jc w:val="left"/>
            </w:pPr>
            <w:r>
              <w:rPr>
                <w:sz w:val="22"/>
              </w:rPr>
              <w:t xml:space="preserve">ПКР </w:t>
            </w:r>
          </w:p>
          <w:p w:rsidR="00C3791F" w:rsidRDefault="00AE1F83">
            <w:pPr>
              <w:spacing w:after="0" w:line="259" w:lineRule="auto"/>
              <w:ind w:left="0" w:right="57" w:firstLine="0"/>
            </w:pPr>
            <w:r>
              <w:rPr>
                <w:sz w:val="22"/>
              </w:rPr>
              <w:t>Отсутствие неконтролируемой артериальной гипертензии, высоких рисков кровотечения, декомпенсированной сердечной недостаточности и терминальной хронической болезни почек</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4</w:t>
            </w:r>
          </w:p>
        </w:tc>
      </w:tr>
    </w:tbl>
    <w:p w:rsidR="00C3791F" w:rsidRDefault="00C3791F">
      <w:pPr>
        <w:spacing w:after="0" w:line="259" w:lineRule="auto"/>
        <w:ind w:left="-1561" w:right="75" w:firstLine="0"/>
        <w:jc w:val="left"/>
      </w:pPr>
    </w:p>
    <w:tbl>
      <w:tblPr>
        <w:tblStyle w:val="TableGrid"/>
        <w:tblW w:w="9464" w:type="dxa"/>
        <w:tblInd w:w="145" w:type="dxa"/>
        <w:tblCellMar>
          <w:top w:w="13" w:type="dxa"/>
          <w:left w:w="109" w:type="dxa"/>
          <w:bottom w:w="0" w:type="dxa"/>
          <w:right w:w="50" w:type="dxa"/>
        </w:tblCellMar>
        <w:tblLook w:val="04A0" w:firstRow="1" w:lastRow="0" w:firstColumn="1" w:lastColumn="0" w:noHBand="0" w:noVBand="1"/>
      </w:tblPr>
      <w:tblGrid>
        <w:gridCol w:w="1938"/>
        <w:gridCol w:w="3800"/>
        <w:gridCol w:w="2592"/>
        <w:gridCol w:w="1134"/>
      </w:tblGrid>
      <w:tr w:rsidR="00C3791F">
        <w:trPr>
          <w:trHeight w:val="2288"/>
        </w:trPr>
        <w:tc>
          <w:tcPr>
            <w:tcW w:w="193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Ниволумаб** + ипилимумаб**</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22"/>
              </w:rPr>
              <w:t>Отсутствие предшествующей терапии</w:t>
            </w:r>
          </w:p>
          <w:p w:rsidR="00C3791F" w:rsidRDefault="00AE1F83">
            <w:pPr>
              <w:spacing w:after="0" w:line="259" w:lineRule="auto"/>
              <w:ind w:left="0" w:firstLine="0"/>
              <w:jc w:val="left"/>
            </w:pPr>
            <w:r>
              <w:rPr>
                <w:sz w:val="22"/>
              </w:rPr>
              <w:t xml:space="preserve">Группа плохого прогноза </w:t>
            </w:r>
          </w:p>
          <w:p w:rsidR="00C3791F" w:rsidRDefault="00AE1F83">
            <w:pPr>
              <w:spacing w:after="0" w:line="259" w:lineRule="auto"/>
              <w:ind w:left="0" w:firstLine="0"/>
              <w:jc w:val="left"/>
            </w:pPr>
            <w:r>
              <w:rPr>
                <w:sz w:val="22"/>
              </w:rPr>
              <w:t>Возраст ≤ 75 лет</w:t>
            </w:r>
          </w:p>
          <w:p w:rsidR="00C3791F" w:rsidRDefault="00AE1F83">
            <w:pPr>
              <w:spacing w:after="0" w:line="259" w:lineRule="auto"/>
              <w:ind w:left="0" w:firstLine="0"/>
              <w:jc w:val="left"/>
            </w:pPr>
            <w:r>
              <w:rPr>
                <w:sz w:val="22"/>
              </w:rPr>
              <w:t xml:space="preserve">Саркоматоидная дифференцировка </w:t>
            </w:r>
          </w:p>
          <w:p w:rsidR="00C3791F" w:rsidRDefault="00AE1F83">
            <w:pPr>
              <w:spacing w:after="0" w:line="259" w:lineRule="auto"/>
              <w:ind w:left="0" w:firstLine="0"/>
              <w:jc w:val="left"/>
            </w:pPr>
            <w:r>
              <w:rPr>
                <w:sz w:val="22"/>
              </w:rPr>
              <w:t>ПКР</w:t>
            </w:r>
          </w:p>
          <w:p w:rsidR="00C3791F" w:rsidRDefault="00AE1F83">
            <w:pPr>
              <w:spacing w:after="23" w:line="259" w:lineRule="auto"/>
              <w:ind w:left="0" w:firstLine="0"/>
              <w:jc w:val="left"/>
            </w:pPr>
            <w:r>
              <w:rPr>
                <w:sz w:val="22"/>
              </w:rPr>
              <w:t>Соматический статус ECOG 0-1</w:t>
            </w:r>
            <w:r>
              <w:rPr>
                <w:sz w:val="20"/>
                <w:vertAlign w:val="superscript"/>
              </w:rPr>
              <w:t>а</w:t>
            </w:r>
          </w:p>
          <w:p w:rsidR="00C3791F" w:rsidRDefault="00AE1F83">
            <w:pPr>
              <w:spacing w:after="0" w:line="259" w:lineRule="auto"/>
              <w:ind w:left="0" w:right="60" w:firstLine="0"/>
            </w:pPr>
            <w:r>
              <w:rPr>
                <w:sz w:val="22"/>
              </w:rPr>
              <w:t xml:space="preserve">У пациентов с интракраниальными метастазами при возможности их локального контроля </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4</w:t>
            </w:r>
          </w:p>
        </w:tc>
      </w:tr>
      <w:tr w:rsidR="00C3791F">
        <w:trPr>
          <w:trHeight w:val="2034"/>
        </w:trPr>
        <w:tc>
          <w:tcPr>
            <w:tcW w:w="193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22"/>
              </w:rPr>
              <w:t>Сунитиниб**</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22"/>
              </w:rPr>
              <w:t>Отсутствие предшествующей терапии</w:t>
            </w:r>
          </w:p>
          <w:p w:rsidR="00C3791F" w:rsidRDefault="00AE1F83">
            <w:pPr>
              <w:spacing w:after="0" w:line="259" w:lineRule="auto"/>
              <w:ind w:left="0" w:firstLine="0"/>
              <w:jc w:val="left"/>
            </w:pPr>
            <w:r>
              <w:rPr>
                <w:sz w:val="22"/>
              </w:rPr>
              <w:t>Группа хорошего прогноза</w:t>
            </w:r>
          </w:p>
          <w:p w:rsidR="00C3791F" w:rsidRDefault="00AE1F83">
            <w:pPr>
              <w:spacing w:after="73" w:line="216" w:lineRule="auto"/>
              <w:ind w:left="0" w:firstLine="0"/>
              <w:jc w:val="left"/>
            </w:pPr>
            <w:r>
              <w:rPr>
                <w:sz w:val="22"/>
              </w:rPr>
              <w:t>Отсутствие метастазов, вызывающих симптомы</w:t>
            </w:r>
            <w:r>
              <w:rPr>
                <w:sz w:val="20"/>
                <w:vertAlign w:val="superscript"/>
              </w:rPr>
              <w:t>б</w:t>
            </w:r>
          </w:p>
          <w:p w:rsidR="00C3791F" w:rsidRDefault="00AE1F83">
            <w:pPr>
              <w:spacing w:after="0" w:line="238" w:lineRule="auto"/>
              <w:ind w:left="0" w:right="56" w:firstLine="0"/>
            </w:pPr>
            <w:r>
              <w:rPr>
                <w:sz w:val="22"/>
              </w:rPr>
              <w:t xml:space="preserve">Противопоказания или отказ от терапии ингибиторами контрольных точек противоопухолевого </w:t>
            </w:r>
          </w:p>
          <w:p w:rsidR="00C3791F" w:rsidRDefault="00AE1F83">
            <w:pPr>
              <w:spacing w:after="0" w:line="259" w:lineRule="auto"/>
              <w:ind w:left="0" w:firstLine="0"/>
              <w:jc w:val="left"/>
            </w:pPr>
            <w:r>
              <w:rPr>
                <w:sz w:val="22"/>
              </w:rPr>
              <w:t xml:space="preserve">иммунного ответа </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3</w:t>
            </w:r>
          </w:p>
        </w:tc>
      </w:tr>
      <w:tr w:rsidR="00C3791F">
        <w:trPr>
          <w:trHeight w:val="2034"/>
        </w:trPr>
        <w:tc>
          <w:tcPr>
            <w:tcW w:w="193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 xml:space="preserve">Пазопаниб** </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rPr>
                <w:sz w:val="22"/>
              </w:rPr>
              <w:t>Отсутствие предшествующей терапии</w:t>
            </w:r>
          </w:p>
          <w:p w:rsidR="00C3791F" w:rsidRDefault="00AE1F83">
            <w:pPr>
              <w:spacing w:after="0" w:line="259" w:lineRule="auto"/>
              <w:ind w:left="0" w:firstLine="0"/>
              <w:jc w:val="left"/>
            </w:pPr>
            <w:r>
              <w:rPr>
                <w:sz w:val="22"/>
              </w:rPr>
              <w:t>Группа хорошего прогноза</w:t>
            </w:r>
          </w:p>
          <w:p w:rsidR="00C3791F" w:rsidRDefault="00AE1F83">
            <w:pPr>
              <w:spacing w:after="73" w:line="216" w:lineRule="auto"/>
              <w:ind w:left="0" w:firstLine="0"/>
              <w:jc w:val="left"/>
            </w:pPr>
            <w:r>
              <w:rPr>
                <w:sz w:val="22"/>
              </w:rPr>
              <w:t>Отсутствие метастазов, вызывающих симптомы</w:t>
            </w:r>
            <w:r>
              <w:rPr>
                <w:sz w:val="20"/>
                <w:vertAlign w:val="superscript"/>
              </w:rPr>
              <w:t>б</w:t>
            </w:r>
          </w:p>
          <w:p w:rsidR="00C3791F" w:rsidRDefault="00AE1F83">
            <w:pPr>
              <w:spacing w:after="0" w:line="238" w:lineRule="auto"/>
              <w:ind w:left="0" w:right="56" w:firstLine="0"/>
            </w:pPr>
            <w:r>
              <w:rPr>
                <w:sz w:val="22"/>
              </w:rPr>
              <w:t xml:space="preserve">Противопоказания или отказ от терапии ингибиторами контрольных точек противоопухолевого </w:t>
            </w:r>
          </w:p>
          <w:p w:rsidR="00C3791F" w:rsidRDefault="00AE1F83">
            <w:pPr>
              <w:spacing w:after="0" w:line="259" w:lineRule="auto"/>
              <w:ind w:left="0" w:firstLine="0"/>
              <w:jc w:val="left"/>
            </w:pPr>
            <w:r>
              <w:rPr>
                <w:sz w:val="22"/>
              </w:rPr>
              <w:t>иммунного ответа</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3</w:t>
            </w:r>
          </w:p>
        </w:tc>
      </w:tr>
      <w:tr w:rsidR="00C3791F">
        <w:trPr>
          <w:trHeight w:val="5576"/>
        </w:trPr>
        <w:tc>
          <w:tcPr>
            <w:tcW w:w="1938"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 w:firstLine="0"/>
              <w:jc w:val="left"/>
            </w:pPr>
            <w:r>
              <w:rPr>
                <w:sz w:val="22"/>
              </w:rPr>
              <w:t>Кабозантиниб**</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firstLine="0"/>
              <w:jc w:val="left"/>
            </w:pPr>
            <w:r>
              <w:rPr>
                <w:sz w:val="22"/>
              </w:rPr>
              <w:t xml:space="preserve">Предшествующая антиангиогенная терапия </w:t>
            </w:r>
          </w:p>
          <w:p w:rsidR="00C3791F" w:rsidRDefault="00AE1F83">
            <w:pPr>
              <w:spacing w:after="0" w:line="238" w:lineRule="auto"/>
              <w:ind w:left="0" w:firstLine="0"/>
              <w:jc w:val="left"/>
            </w:pPr>
            <w:r>
              <w:rPr>
                <w:sz w:val="22"/>
              </w:rPr>
              <w:t>Группы хорошего и промежуточного прогноза</w:t>
            </w:r>
          </w:p>
          <w:p w:rsidR="00C3791F" w:rsidRDefault="00AE1F83">
            <w:pPr>
              <w:spacing w:after="0" w:line="259" w:lineRule="auto"/>
              <w:ind w:left="0" w:firstLine="0"/>
              <w:jc w:val="left"/>
            </w:pPr>
            <w:r>
              <w:rPr>
                <w:sz w:val="22"/>
              </w:rPr>
              <w:t>Соматический статус ECOG 0-1*</w:t>
            </w:r>
          </w:p>
          <w:p w:rsidR="00C3791F" w:rsidRDefault="00AE1F83">
            <w:pPr>
              <w:spacing w:after="0" w:line="259" w:lineRule="auto"/>
              <w:ind w:left="0" w:right="57" w:firstLine="0"/>
            </w:pPr>
            <w:r>
              <w:rPr>
                <w:sz w:val="22"/>
              </w:rPr>
              <w:t>Метастазы более одной локализации Отсутствие неконтролируемой артериальной гипертензии, высоких рисков кровотечения, декомпенсированной сердечной недостаточности и терминальной хронической болезни почек</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1" w:firstLine="0"/>
              <w:jc w:val="left"/>
            </w:pPr>
            <w:r>
              <w:rPr>
                <w:sz w:val="22"/>
              </w:rPr>
              <w:t>Отсутствие предшествующ</w:t>
            </w:r>
            <w:r>
              <w:rPr>
                <w:sz w:val="22"/>
              </w:rPr>
              <w:t>ей терапии</w:t>
            </w:r>
          </w:p>
          <w:p w:rsidR="00C3791F" w:rsidRDefault="00AE1F83">
            <w:pPr>
              <w:spacing w:after="0" w:line="238" w:lineRule="auto"/>
              <w:ind w:left="1" w:firstLine="0"/>
            </w:pPr>
            <w:r>
              <w:rPr>
                <w:sz w:val="22"/>
              </w:rPr>
              <w:t>Группы промежуточного и плохого прогноза</w:t>
            </w:r>
          </w:p>
          <w:p w:rsidR="00C3791F" w:rsidRDefault="00AE1F83">
            <w:pPr>
              <w:spacing w:after="0" w:line="238" w:lineRule="auto"/>
              <w:ind w:left="1" w:firstLine="0"/>
            </w:pPr>
            <w:r>
              <w:rPr>
                <w:sz w:val="22"/>
              </w:rPr>
              <w:t xml:space="preserve">Противопоказания или отказ от терапии </w:t>
            </w:r>
          </w:p>
          <w:p w:rsidR="00C3791F" w:rsidRDefault="00AE1F83">
            <w:pPr>
              <w:spacing w:after="6" w:line="238" w:lineRule="auto"/>
              <w:ind w:left="1" w:firstLine="0"/>
              <w:jc w:val="left"/>
            </w:pPr>
            <w:r>
              <w:rPr>
                <w:sz w:val="22"/>
              </w:rPr>
              <w:t>ингибиторами контрольных</w:t>
            </w:r>
            <w:r>
              <w:rPr>
                <w:sz w:val="22"/>
              </w:rPr>
              <w:tab/>
              <w:t xml:space="preserve"> </w:t>
            </w:r>
            <w:r>
              <w:rPr>
                <w:sz w:val="22"/>
              </w:rPr>
              <w:tab/>
              <w:t xml:space="preserve">точек </w:t>
            </w:r>
          </w:p>
          <w:p w:rsidR="00C3791F" w:rsidRDefault="00AE1F83">
            <w:pPr>
              <w:spacing w:after="0" w:line="238" w:lineRule="auto"/>
              <w:ind w:left="1" w:right="57" w:firstLine="0"/>
            </w:pPr>
            <w:r>
              <w:rPr>
                <w:sz w:val="22"/>
              </w:rPr>
              <w:t xml:space="preserve">противоопухолевого иммунного ответа Отсутствие неконтролируемой артериальной гипертензии, высоких рисков кровотечения, </w:t>
            </w:r>
            <w:r>
              <w:rPr>
                <w:sz w:val="22"/>
              </w:rPr>
              <w:t xml:space="preserve">декомпенсированной сердечной </w:t>
            </w:r>
          </w:p>
          <w:p w:rsidR="00C3791F" w:rsidRDefault="00AE1F83">
            <w:pPr>
              <w:tabs>
                <w:tab w:val="center" w:pos="793"/>
                <w:tab w:val="center" w:pos="1893"/>
                <w:tab w:val="center" w:pos="2317"/>
              </w:tabs>
              <w:spacing w:after="0" w:line="259" w:lineRule="auto"/>
              <w:ind w:left="0" w:firstLine="0"/>
              <w:jc w:val="left"/>
            </w:pPr>
            <w:r>
              <w:rPr>
                <w:rFonts w:ascii="Calibri" w:eastAsia="Calibri" w:hAnsi="Calibri" w:cs="Calibri"/>
                <w:sz w:val="22"/>
              </w:rPr>
              <w:tab/>
            </w:r>
            <w:r>
              <w:rPr>
                <w:sz w:val="22"/>
              </w:rPr>
              <w:t>недостаточности</w:t>
            </w:r>
            <w:r>
              <w:rPr>
                <w:sz w:val="22"/>
              </w:rPr>
              <w:tab/>
              <w:t xml:space="preserve"> </w:t>
            </w:r>
            <w:r>
              <w:rPr>
                <w:sz w:val="22"/>
              </w:rPr>
              <w:tab/>
              <w:t xml:space="preserve">и </w:t>
            </w:r>
          </w:p>
          <w:p w:rsidR="00C3791F" w:rsidRDefault="00AE1F83">
            <w:pPr>
              <w:spacing w:after="0" w:line="259" w:lineRule="auto"/>
              <w:ind w:left="1" w:firstLine="0"/>
              <w:jc w:val="left"/>
            </w:pPr>
            <w:r>
              <w:rPr>
                <w:sz w:val="22"/>
              </w:rPr>
              <w:t>терминальной хронической</w:t>
            </w:r>
            <w:r>
              <w:rPr>
                <w:sz w:val="22"/>
              </w:rPr>
              <w:tab/>
              <w:t xml:space="preserve"> </w:t>
            </w:r>
            <w:r>
              <w:rPr>
                <w:sz w:val="22"/>
              </w:rPr>
              <w:tab/>
              <w:t>болезни почек</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3</w:t>
            </w:r>
          </w:p>
        </w:tc>
      </w:tr>
      <w:tr w:rsidR="00C3791F">
        <w:trPr>
          <w:trHeight w:val="1528"/>
        </w:trPr>
        <w:tc>
          <w:tcPr>
            <w:tcW w:w="193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Ниволумаб**</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firstLine="0"/>
              <w:jc w:val="left"/>
            </w:pPr>
            <w:r>
              <w:rPr>
                <w:sz w:val="22"/>
              </w:rPr>
              <w:t xml:space="preserve">Предшествующая антиангиогенная терапия </w:t>
            </w:r>
          </w:p>
          <w:p w:rsidR="00C3791F" w:rsidRDefault="00AE1F83">
            <w:pPr>
              <w:spacing w:after="0" w:line="238" w:lineRule="auto"/>
              <w:ind w:left="0" w:right="57" w:firstLine="0"/>
            </w:pPr>
            <w:r>
              <w:rPr>
                <w:sz w:val="22"/>
              </w:rPr>
              <w:t>Группы плохого и промежуточного прогноза Возраст ≤75 лет</w:t>
            </w:r>
          </w:p>
          <w:p w:rsidR="00C3791F" w:rsidRDefault="00AE1F83">
            <w:pPr>
              <w:spacing w:after="0" w:line="259" w:lineRule="auto"/>
              <w:ind w:left="0" w:firstLine="0"/>
              <w:jc w:val="left"/>
            </w:pPr>
            <w:r>
              <w:rPr>
                <w:sz w:val="22"/>
              </w:rPr>
              <w:t>Соматический статус ECOG 0-1</w:t>
            </w:r>
            <w:r>
              <w:rPr>
                <w:sz w:val="20"/>
                <w:vertAlign w:val="superscript"/>
              </w:rPr>
              <w:t>а</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4</w:t>
            </w:r>
          </w:p>
        </w:tc>
      </w:tr>
      <w:tr w:rsidR="00C3791F">
        <w:trPr>
          <w:trHeight w:val="2288"/>
        </w:trPr>
        <w:tc>
          <w:tcPr>
            <w:tcW w:w="193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 xml:space="preserve">Ленватиниб** + </w:t>
            </w:r>
            <w:r>
              <w:rPr>
                <w:sz w:val="22"/>
              </w:rPr>
              <w:t>эверолимус**</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firstLine="0"/>
              <w:jc w:val="left"/>
            </w:pPr>
            <w:r>
              <w:rPr>
                <w:sz w:val="22"/>
              </w:rPr>
              <w:t xml:space="preserve">Предшествующая антиангиогенная терапия </w:t>
            </w:r>
          </w:p>
          <w:p w:rsidR="00C3791F" w:rsidRDefault="00AE1F83">
            <w:pPr>
              <w:spacing w:after="23" w:line="259" w:lineRule="auto"/>
              <w:ind w:left="0" w:firstLine="0"/>
              <w:jc w:val="left"/>
            </w:pPr>
            <w:r>
              <w:rPr>
                <w:sz w:val="22"/>
              </w:rPr>
              <w:t>Соматический статус ECOG 0-1</w:t>
            </w:r>
            <w:r>
              <w:rPr>
                <w:sz w:val="20"/>
                <w:vertAlign w:val="superscript"/>
              </w:rPr>
              <w:t>а</w:t>
            </w:r>
          </w:p>
          <w:p w:rsidR="00C3791F" w:rsidRDefault="00AE1F83">
            <w:pPr>
              <w:spacing w:after="0" w:line="259" w:lineRule="auto"/>
              <w:ind w:left="0" w:right="57" w:firstLine="0"/>
            </w:pPr>
            <w:r>
              <w:rPr>
                <w:sz w:val="22"/>
              </w:rPr>
              <w:t>Отсутствие неконтролируемой артериальной гипертензии, высоких рисков кровотечения, декомпенсированной сердечной недостаточности и терминальной хронической болезни почек</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4</w:t>
            </w:r>
          </w:p>
        </w:tc>
      </w:tr>
      <w:tr w:rsidR="00C3791F">
        <w:trPr>
          <w:trHeight w:val="3298"/>
        </w:trPr>
        <w:tc>
          <w:tcPr>
            <w:tcW w:w="1938"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Акситиниб**</w:t>
            </w:r>
          </w:p>
        </w:tc>
        <w:tc>
          <w:tcPr>
            <w:tcW w:w="38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38" w:lineRule="auto"/>
              <w:ind w:left="0" w:firstLine="0"/>
              <w:jc w:val="left"/>
            </w:pPr>
            <w:r>
              <w:rPr>
                <w:sz w:val="22"/>
              </w:rPr>
              <w:t xml:space="preserve">Предшествующая антиангиогенная терапия </w:t>
            </w:r>
          </w:p>
          <w:p w:rsidR="00C3791F" w:rsidRDefault="00AE1F83">
            <w:pPr>
              <w:spacing w:after="0" w:line="238" w:lineRule="auto"/>
              <w:ind w:left="0" w:right="56" w:firstLine="0"/>
            </w:pPr>
            <w:r>
              <w:rPr>
                <w:sz w:val="22"/>
              </w:rPr>
              <w:t xml:space="preserve">Противопоказания или отказ от терапии ингибиторами контрольных точек противоопухолевого иммунного ответа, кабозантинибом, ленватинибом с эверолимусом </w:t>
            </w:r>
          </w:p>
          <w:p w:rsidR="00C3791F" w:rsidRDefault="00AE1F83">
            <w:pPr>
              <w:spacing w:after="0" w:line="259" w:lineRule="auto"/>
              <w:ind w:left="0" w:right="57" w:firstLine="0"/>
            </w:pPr>
            <w:r>
              <w:rPr>
                <w:sz w:val="22"/>
              </w:rPr>
              <w:t xml:space="preserve">Отсутствие неконтролируемой </w:t>
            </w:r>
            <w:r>
              <w:rPr>
                <w:sz w:val="22"/>
              </w:rPr>
              <w:t>артериальной гипертензии, высоких рисков кровотечения, декомпенсированной сердечной недостаточности и терминальной хронической болезни почек</w:t>
            </w:r>
          </w:p>
        </w:tc>
        <w:tc>
          <w:tcPr>
            <w:tcW w:w="259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w:t>
            </w:r>
          </w:p>
        </w:tc>
        <w:tc>
          <w:tcPr>
            <w:tcW w:w="113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 w:firstLine="0"/>
              <w:jc w:val="left"/>
            </w:pPr>
            <w:r>
              <w:rPr>
                <w:sz w:val="22"/>
              </w:rPr>
              <w:t>3</w:t>
            </w:r>
          </w:p>
        </w:tc>
      </w:tr>
    </w:tbl>
    <w:p w:rsidR="00C3791F" w:rsidRDefault="00AE1F83">
      <w:pPr>
        <w:spacing w:after="0" w:line="239" w:lineRule="auto"/>
        <w:ind w:left="142" w:right="199" w:firstLine="0"/>
      </w:pPr>
      <w:r>
        <w:rPr>
          <w:sz w:val="20"/>
        </w:rPr>
        <w:t xml:space="preserve">* клиническая польза оценена путем анализа клинической эффективности и целесообразности проведения </w:t>
      </w:r>
      <w:r>
        <w:rPr>
          <w:sz w:val="20"/>
        </w:rPr>
        <w:t xml:space="preserve">лекарственного лечения злокачественных новообразований с применением шкалы ESMO-MCBS [259]. а – снижение соматического статуса не вызвано симптомами метастазов. б – клинически значимые симптомы, требующие проведения противоопухолевой терапии, направленной </w:t>
      </w:r>
      <w:r>
        <w:rPr>
          <w:sz w:val="20"/>
        </w:rPr>
        <w:t xml:space="preserve">на достижение объективного ответа, потенциально способного снизить интенсивность симптомов опухолевого процесса. </w:t>
      </w:r>
      <w:r>
        <w:br w:type="page"/>
      </w:r>
    </w:p>
    <w:p w:rsidR="00C3791F" w:rsidRDefault="00AE1F83">
      <w:pPr>
        <w:pStyle w:val="Heading1"/>
        <w:spacing w:after="328"/>
        <w:ind w:left="160" w:right="200"/>
      </w:pPr>
      <w:r>
        <w:t>Приложение В. Информация для пациента</w:t>
      </w:r>
    </w:p>
    <w:p w:rsidR="00C3791F" w:rsidRDefault="00AE1F83">
      <w:pPr>
        <w:ind w:left="127" w:right="189" w:firstLine="709"/>
      </w:pPr>
      <w:r>
        <w:t>Пациента информируют о клинической картине и методах диагностики/стадирования ПКР, знакомят с различным</w:t>
      </w:r>
      <w:r>
        <w:t>и методами лечения и их потенциальными результатами/осложнениями. Выбор метода лечения следует выполнять в результате такого собеседования после того, как пациент имел возможность задать все интересующие его вопросы.</w:t>
      </w:r>
    </w:p>
    <w:p w:rsidR="00C3791F" w:rsidRDefault="00AE1F83">
      <w:pPr>
        <w:ind w:left="127" w:right="189" w:firstLine="709"/>
      </w:pPr>
      <w:r>
        <w:t>Необходимо убедить пациента не стыдитьс</w:t>
      </w:r>
      <w:r>
        <w:t>я болезни и ознакомиться с научнопопулярной литературой о ПКР.</w:t>
      </w:r>
    </w:p>
    <w:p w:rsidR="00C3791F" w:rsidRDefault="00AE1F83">
      <w:pPr>
        <w:ind w:left="127" w:right="189" w:firstLine="709"/>
      </w:pPr>
      <w:r>
        <w:t>Следует информировать пациента о характере последующего наблюдения после лечения ПКР, о важности регулярного обследования.</w:t>
      </w:r>
    </w:p>
    <w:p w:rsidR="00C3791F" w:rsidRDefault="00AE1F83">
      <w:pPr>
        <w:ind w:left="127" w:right="189" w:firstLine="709"/>
      </w:pPr>
      <w:r>
        <w:t>Пациентов с мПКР следует информировать о проводимых в Российской Федер</w:t>
      </w:r>
      <w:r>
        <w:t xml:space="preserve">ации клинических исследованиях у пациентов с указанной стадией заболевания. </w:t>
      </w:r>
    </w:p>
    <w:p w:rsidR="00C3791F" w:rsidRDefault="00AE1F83">
      <w:pPr>
        <w:spacing w:after="113"/>
        <w:ind w:left="127" w:right="189" w:firstLine="709"/>
      </w:pPr>
      <w:r>
        <w:t>Самостоятельный контроль за течением заболевания со стороны пациента невозможен; приступы, требующие самостоятельной помощи, при раке почки отсутствуют; частота посещения врача оп</w:t>
      </w:r>
      <w:r>
        <w:t>ределяется в индивидуальном порядке в каждом конкретном случае.</w:t>
      </w:r>
    </w:p>
    <w:p w:rsidR="00C3791F" w:rsidRDefault="00AE1F83">
      <w:pPr>
        <w:spacing w:after="230" w:line="265" w:lineRule="auto"/>
        <w:ind w:left="861"/>
      </w:pPr>
      <w:r>
        <w:rPr>
          <w:b/>
        </w:rPr>
        <w:t>Преимущества отказа от табакокурения и потребления алкоголя</w:t>
      </w:r>
    </w:p>
    <w:p w:rsidR="00C3791F" w:rsidRDefault="00AE1F83">
      <w:pPr>
        <w:numPr>
          <w:ilvl w:val="0"/>
          <w:numId w:val="63"/>
        </w:numPr>
        <w:spacing w:after="107" w:line="259" w:lineRule="auto"/>
        <w:ind w:right="189" w:hanging="360"/>
      </w:pPr>
      <w:r>
        <w:t>Более высокие показатели выживаемости</w:t>
      </w:r>
    </w:p>
    <w:p w:rsidR="00C3791F" w:rsidRDefault="00AE1F83">
      <w:pPr>
        <w:numPr>
          <w:ilvl w:val="0"/>
          <w:numId w:val="63"/>
        </w:numPr>
        <w:spacing w:after="105" w:line="259" w:lineRule="auto"/>
        <w:ind w:right="189" w:hanging="360"/>
      </w:pPr>
      <w:r>
        <w:t>Бόльшая эффективность лечения</w:t>
      </w:r>
    </w:p>
    <w:p w:rsidR="00C3791F" w:rsidRDefault="00AE1F83">
      <w:pPr>
        <w:numPr>
          <w:ilvl w:val="0"/>
          <w:numId w:val="63"/>
        </w:numPr>
        <w:ind w:right="189" w:hanging="360"/>
      </w:pPr>
      <w:r>
        <w:t xml:space="preserve">Меньшее количество и выраженность побочных эффектов </w:t>
      </w:r>
      <w:r>
        <w:t>противоопухолевого лечения (сердечно-легочные осложнения, утомляемость, снижение массы тела, мукозиты, потеря вкуса)</w:t>
      </w:r>
    </w:p>
    <w:p w:rsidR="00C3791F" w:rsidRDefault="00AE1F83">
      <w:pPr>
        <w:numPr>
          <w:ilvl w:val="0"/>
          <w:numId w:val="63"/>
        </w:numPr>
        <w:spacing w:after="108" w:line="259" w:lineRule="auto"/>
        <w:ind w:right="189" w:hanging="360"/>
      </w:pPr>
      <w:r>
        <w:t>Ускоренное восстановление общего состояния после лечения</w:t>
      </w:r>
    </w:p>
    <w:p w:rsidR="00C3791F" w:rsidRDefault="00AE1F83">
      <w:pPr>
        <w:numPr>
          <w:ilvl w:val="0"/>
          <w:numId w:val="63"/>
        </w:numPr>
        <w:spacing w:after="107" w:line="259" w:lineRule="auto"/>
        <w:ind w:right="189" w:hanging="360"/>
      </w:pPr>
      <w:r>
        <w:t>Ниже риск рецидива</w:t>
      </w:r>
    </w:p>
    <w:p w:rsidR="00C3791F" w:rsidRDefault="00AE1F83">
      <w:pPr>
        <w:numPr>
          <w:ilvl w:val="0"/>
          <w:numId w:val="63"/>
        </w:numPr>
        <w:spacing w:after="107" w:line="259" w:lineRule="auto"/>
        <w:ind w:right="189" w:hanging="360"/>
      </w:pPr>
      <w:r>
        <w:t>Меньший риск вторых опухолей</w:t>
      </w:r>
    </w:p>
    <w:p w:rsidR="00C3791F" w:rsidRDefault="00AE1F83">
      <w:pPr>
        <w:numPr>
          <w:ilvl w:val="0"/>
          <w:numId w:val="63"/>
        </w:numPr>
        <w:spacing w:after="108" w:line="259" w:lineRule="auto"/>
        <w:ind w:right="189" w:hanging="360"/>
      </w:pPr>
      <w:r>
        <w:t>Меньший риск инфекций</w:t>
      </w:r>
    </w:p>
    <w:p w:rsidR="00C3791F" w:rsidRDefault="00AE1F83">
      <w:pPr>
        <w:numPr>
          <w:ilvl w:val="0"/>
          <w:numId w:val="63"/>
        </w:numPr>
        <w:spacing w:after="104" w:line="259" w:lineRule="auto"/>
        <w:ind w:right="189" w:hanging="360"/>
      </w:pPr>
      <w:r>
        <w:t>Выше качество жизни</w:t>
      </w:r>
    </w:p>
    <w:p w:rsidR="00C3791F" w:rsidRDefault="00AE1F83">
      <w:pPr>
        <w:spacing w:after="0" w:line="357" w:lineRule="auto"/>
        <w:ind w:left="127" w:right="79" w:firstLine="709"/>
        <w:jc w:val="left"/>
      </w:pPr>
      <w:r>
        <w:rPr>
          <w:b/>
          <w:u w:val="single" w:color="000000"/>
        </w:rPr>
        <w:t>Рекомендации при осложнениях химиотерапии/лучевой терапии – связаться с</w:t>
      </w:r>
      <w:r>
        <w:rPr>
          <w:b/>
        </w:rPr>
        <w:t xml:space="preserve"> </w:t>
      </w:r>
      <w:r>
        <w:rPr>
          <w:b/>
          <w:u w:val="single" w:color="000000"/>
        </w:rPr>
        <w:t>химиотерапевтом/лучевым терапевтом!</w:t>
      </w:r>
    </w:p>
    <w:p w:rsidR="00C3791F" w:rsidRDefault="00AE1F83">
      <w:pPr>
        <w:spacing w:line="265" w:lineRule="auto"/>
        <w:ind w:left="861"/>
      </w:pPr>
      <w:r>
        <w:rPr>
          <w:b/>
        </w:rPr>
        <w:t>1) При повышении температуры тела 38 °C и выше:</w:t>
      </w:r>
    </w:p>
    <w:p w:rsidR="00C3791F" w:rsidRDefault="00AE1F83">
      <w:pPr>
        <w:numPr>
          <w:ilvl w:val="0"/>
          <w:numId w:val="64"/>
        </w:numPr>
        <w:ind w:right="189" w:hanging="357"/>
      </w:pPr>
      <w:r>
        <w:t>Рекомендовано применение противомикробной терапии</w:t>
      </w:r>
      <w:r>
        <w:tab/>
        <w:t xml:space="preserve"> </w:t>
      </w:r>
      <w:r>
        <w:rPr>
          <w:u w:val="single" w:color="000000"/>
        </w:rPr>
        <w:t>по рекомендации</w:t>
      </w:r>
      <w:r>
        <w:t xml:space="preserve"> </w:t>
      </w:r>
      <w:r>
        <w:rPr>
          <w:u w:val="single" w:color="000000"/>
        </w:rPr>
        <w:t>химиотерапевт</w:t>
      </w:r>
      <w:r>
        <w:rPr>
          <w:u w:val="single" w:color="000000"/>
        </w:rPr>
        <w:t>а.</w:t>
      </w:r>
    </w:p>
    <w:p w:rsidR="00C3791F" w:rsidRDefault="00AE1F83">
      <w:pPr>
        <w:numPr>
          <w:ilvl w:val="1"/>
          <w:numId w:val="64"/>
        </w:numPr>
        <w:spacing w:after="34" w:line="265" w:lineRule="auto"/>
        <w:ind w:hanging="357"/>
      </w:pPr>
      <w:r>
        <w:rPr>
          <w:b/>
        </w:rPr>
        <w:t>При стоматите:</w:t>
      </w:r>
    </w:p>
    <w:p w:rsidR="00C3791F" w:rsidRDefault="00AE1F83">
      <w:pPr>
        <w:numPr>
          <w:ilvl w:val="0"/>
          <w:numId w:val="64"/>
        </w:numPr>
        <w:spacing w:after="115" w:line="259" w:lineRule="auto"/>
        <w:ind w:right="189" w:hanging="357"/>
      </w:pPr>
      <w:r>
        <w:t>Диета – механическое, термическое щажение;</w:t>
      </w:r>
    </w:p>
    <w:p w:rsidR="00C3791F" w:rsidRDefault="00AE1F83">
      <w:pPr>
        <w:numPr>
          <w:ilvl w:val="0"/>
          <w:numId w:val="64"/>
        </w:numPr>
        <w:ind w:right="189" w:hanging="357"/>
      </w:pPr>
      <w:r>
        <w:t xml:space="preserve">Частое полоскание полости рта (каждый час) – ромашка, кора дуба, шалфей; смазывать слизистую полости рта облепиховым (персиковым) маслом; </w:t>
      </w:r>
      <w:r>
        <w:rPr>
          <w:rFonts w:ascii="Calibri" w:eastAsia="Calibri" w:hAnsi="Calibri" w:cs="Calibri"/>
          <w:sz w:val="20"/>
        </w:rPr>
        <w:t xml:space="preserve">● </w:t>
      </w:r>
      <w:r>
        <w:t xml:space="preserve">Обрабатывать полость рта </w:t>
      </w:r>
      <w:r>
        <w:rPr>
          <w:u w:val="single" w:color="000000"/>
        </w:rPr>
        <w:t>по рекомендации врача-химиотер</w:t>
      </w:r>
      <w:r>
        <w:rPr>
          <w:u w:val="single" w:color="000000"/>
        </w:rPr>
        <w:t>апевта</w:t>
      </w:r>
      <w:r>
        <w:t>.</w:t>
      </w:r>
    </w:p>
    <w:p w:rsidR="00C3791F" w:rsidRDefault="00AE1F83">
      <w:pPr>
        <w:numPr>
          <w:ilvl w:val="1"/>
          <w:numId w:val="64"/>
        </w:numPr>
        <w:spacing w:after="26" w:line="265" w:lineRule="auto"/>
        <w:ind w:hanging="357"/>
      </w:pPr>
      <w:r>
        <w:rPr>
          <w:b/>
        </w:rPr>
        <w:t>При диарее:</w:t>
      </w:r>
    </w:p>
    <w:p w:rsidR="00C3791F" w:rsidRDefault="00AE1F83">
      <w:pPr>
        <w:numPr>
          <w:ilvl w:val="0"/>
          <w:numId w:val="64"/>
        </w:numPr>
        <w:spacing w:line="359" w:lineRule="auto"/>
        <w:ind w:right="189" w:hanging="357"/>
      </w:pPr>
      <w:r>
        <w:t xml:space="preserve">Диета – исключить жирное, острое, копченое, сладкое, молочное, клетчатку. Можно нежирное мясо, мучное, кисломолочное, рисовый отвар. Обильное питье; </w:t>
      </w:r>
      <w:r>
        <w:rPr>
          <w:rFonts w:ascii="Calibri" w:eastAsia="Calibri" w:hAnsi="Calibri" w:cs="Calibri"/>
          <w:sz w:val="20"/>
        </w:rPr>
        <w:t xml:space="preserve">● </w:t>
      </w:r>
      <w:r>
        <w:t xml:space="preserve">Принимать препараты </w:t>
      </w:r>
      <w:r>
        <w:rPr>
          <w:u w:val="single" w:color="000000"/>
        </w:rPr>
        <w:t>по рекомендации врача-онколога.</w:t>
      </w:r>
    </w:p>
    <w:p w:rsidR="00C3791F" w:rsidRDefault="00AE1F83">
      <w:pPr>
        <w:numPr>
          <w:ilvl w:val="1"/>
          <w:numId w:val="64"/>
        </w:numPr>
        <w:spacing w:after="27" w:line="265" w:lineRule="auto"/>
        <w:ind w:hanging="357"/>
      </w:pPr>
      <w:r>
        <w:rPr>
          <w:b/>
        </w:rPr>
        <w:t>При тошноте:</w:t>
      </w:r>
    </w:p>
    <w:p w:rsidR="00C3791F" w:rsidRDefault="00AE1F83">
      <w:pPr>
        <w:numPr>
          <w:ilvl w:val="0"/>
          <w:numId w:val="64"/>
        </w:numPr>
        <w:spacing w:after="111" w:line="259" w:lineRule="auto"/>
        <w:ind w:right="189" w:hanging="357"/>
      </w:pPr>
      <w:r>
        <w:t xml:space="preserve">Принимать препараты </w:t>
      </w:r>
      <w:r>
        <w:rPr>
          <w:u w:val="single" w:color="000000"/>
        </w:rPr>
        <w:t>по рекомендации врача-онколога.</w:t>
      </w:r>
      <w:r>
        <w:br w:type="page"/>
      </w:r>
    </w:p>
    <w:p w:rsidR="00C3791F" w:rsidRDefault="00AE1F83">
      <w:pPr>
        <w:spacing w:after="471" w:line="357" w:lineRule="auto"/>
        <w:ind w:left="160" w:right="150"/>
        <w:jc w:val="center"/>
      </w:pPr>
      <w:r>
        <w:rPr>
          <w:b/>
          <w:sz w:val="28"/>
        </w:rPr>
        <w:t>Приложение Г1 - ГN. Шкалы оценки, вопросники и другие оценочные инструменты состояния пациента, приведенные в клинических рекомендациях</w:t>
      </w:r>
    </w:p>
    <w:p w:rsidR="00C3791F" w:rsidRDefault="00AE1F83">
      <w:pPr>
        <w:pStyle w:val="Heading1"/>
        <w:spacing w:after="742"/>
        <w:ind w:left="295" w:right="163"/>
        <w:jc w:val="left"/>
      </w:pPr>
      <w:r>
        <w:t>Приложение Г1. Шкала оценки тяжести состояния пациента по версии ВОЗ/ECOG</w:t>
      </w:r>
    </w:p>
    <w:p w:rsidR="00C3791F" w:rsidRDefault="00AE1F83">
      <w:pPr>
        <w:ind w:left="127" w:right="189" w:firstLine="709"/>
      </w:pPr>
      <w:r>
        <w:rPr>
          <w:b/>
        </w:rPr>
        <w:t>Название на р</w:t>
      </w:r>
      <w:r>
        <w:rPr>
          <w:b/>
        </w:rPr>
        <w:t>усском языке:</w:t>
      </w:r>
      <w:r>
        <w:t xml:space="preserve"> Шкала оценки тяжести состояния пациента по версии ВОЗ/ECOG.</w:t>
      </w:r>
    </w:p>
    <w:p w:rsidR="00C3791F" w:rsidRDefault="00AE1F83">
      <w:pPr>
        <w:ind w:left="127" w:right="189" w:firstLine="709"/>
      </w:pPr>
      <w:r>
        <w:rPr>
          <w:b/>
        </w:rPr>
        <w:t xml:space="preserve">Оригинальное название: </w:t>
      </w:r>
      <w:r>
        <w:t>The Eastern Cooperative Oncology Group/World Health Organization Performance Status (ECOG/WHO PS).</w:t>
      </w:r>
    </w:p>
    <w:p w:rsidR="00C3791F" w:rsidRDefault="00AE1F83">
      <w:pPr>
        <w:spacing w:line="357" w:lineRule="auto"/>
        <w:ind w:left="127" w:firstLine="709"/>
      </w:pPr>
      <w:r>
        <w:rPr>
          <w:b/>
        </w:rPr>
        <w:t>Источник (официальный сайт разработчиков, публикация с валид</w:t>
      </w:r>
      <w:r>
        <w:rPr>
          <w:b/>
        </w:rPr>
        <w:t xml:space="preserve">ацией): </w:t>
      </w:r>
      <w:r>
        <w:t>https://ecogacrin.org/resources/ecog-performance-status.</w:t>
      </w:r>
    </w:p>
    <w:p w:rsidR="00C3791F" w:rsidRDefault="00AE1F83">
      <w:pPr>
        <w:ind w:left="127" w:right="189" w:firstLine="709"/>
      </w:pPr>
      <w:r>
        <w:rPr>
          <w:b/>
        </w:rPr>
        <w:t>Оригинальная публикация:</w:t>
      </w:r>
      <w:r>
        <w:t xml:space="preserve"> Oken M.M., Creech R.H., Tormey D.C., Horton J., Davis T.E., McFadden E.T., Carbone P.P. Toxicity and response criteria of the Eastern Cooperative Oncology Group. Am J</w:t>
      </w:r>
      <w:r>
        <w:t xml:space="preserve"> Clin Oncol 1982;5(6):649−55 [245].</w:t>
      </w:r>
    </w:p>
    <w:p w:rsidR="00C3791F" w:rsidRDefault="00AE1F83">
      <w:pPr>
        <w:spacing w:after="114" w:line="259" w:lineRule="auto"/>
        <w:ind w:left="861" w:right="189"/>
      </w:pPr>
      <w:r>
        <w:rPr>
          <w:b/>
        </w:rPr>
        <w:t>Тип:</w:t>
      </w:r>
      <w:r>
        <w:t xml:space="preserve"> шкала оценки.</w:t>
      </w:r>
    </w:p>
    <w:p w:rsidR="00C3791F" w:rsidRDefault="00AE1F83">
      <w:pPr>
        <w:ind w:left="127" w:right="189" w:firstLine="709"/>
      </w:pPr>
      <w:r>
        <w:rPr>
          <w:b/>
        </w:rPr>
        <w:t>Назначение:</w:t>
      </w:r>
      <w:r>
        <w:t xml:space="preserve">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т.д.).</w:t>
      </w:r>
    </w:p>
    <w:p w:rsidR="00C3791F" w:rsidRDefault="00AE1F83">
      <w:pPr>
        <w:spacing w:line="265" w:lineRule="auto"/>
        <w:ind w:left="861"/>
      </w:pPr>
      <w:r>
        <w:rPr>
          <w:b/>
        </w:rPr>
        <w:t>Содержание (шаблон):</w:t>
      </w:r>
    </w:p>
    <w:tbl>
      <w:tblPr>
        <w:tblStyle w:val="TableGrid"/>
        <w:tblW w:w="9372" w:type="dxa"/>
        <w:tblInd w:w="145" w:type="dxa"/>
        <w:tblCellMar>
          <w:top w:w="14" w:type="dxa"/>
          <w:left w:w="109" w:type="dxa"/>
          <w:bottom w:w="0" w:type="dxa"/>
          <w:right w:w="92" w:type="dxa"/>
        </w:tblCellMar>
        <w:tblLook w:val="04A0" w:firstRow="1" w:lastRow="0" w:firstColumn="1" w:lastColumn="0" w:noHBand="0" w:noVBand="1"/>
      </w:tblPr>
      <w:tblGrid>
        <w:gridCol w:w="866"/>
        <w:gridCol w:w="8506"/>
      </w:tblGrid>
      <w:tr w:rsidR="00C3791F">
        <w:trPr>
          <w:trHeight w:val="768"/>
        </w:trPr>
        <w:tc>
          <w:tcPr>
            <w:tcW w:w="8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52" w:firstLine="0"/>
              <w:jc w:val="left"/>
            </w:pPr>
            <w:r>
              <w:rPr>
                <w:b/>
              </w:rPr>
              <w:t>Балл</w:t>
            </w:r>
          </w:p>
        </w:tc>
        <w:tc>
          <w:tcPr>
            <w:tcW w:w="850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716" w:firstLine="0"/>
              <w:jc w:val="center"/>
            </w:pPr>
            <w:r>
              <w:rPr>
                <w:b/>
              </w:rPr>
              <w:t>Описание</w:t>
            </w:r>
          </w:p>
        </w:tc>
      </w:tr>
      <w:tr w:rsidR="00C3791F">
        <w:trPr>
          <w:trHeight w:val="874"/>
        </w:trPr>
        <w:tc>
          <w:tcPr>
            <w:tcW w:w="8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0" w:firstLine="0"/>
              <w:jc w:val="center"/>
            </w:pPr>
            <w:r>
              <w:t>0</w:t>
            </w:r>
          </w:p>
        </w:tc>
        <w:tc>
          <w:tcPr>
            <w:tcW w:w="850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t xml:space="preserve">Пациент полностью активен, способен выполнять все, как и до заболевания (90– 100 % по шкале Карновского) </w:t>
            </w:r>
          </w:p>
        </w:tc>
      </w:tr>
      <w:tr w:rsidR="00C3791F">
        <w:trPr>
          <w:trHeight w:val="838"/>
        </w:trPr>
        <w:tc>
          <w:tcPr>
            <w:tcW w:w="8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0" w:firstLine="0"/>
              <w:jc w:val="center"/>
            </w:pPr>
            <w:r>
              <w:t>1</w:t>
            </w:r>
          </w:p>
        </w:tc>
        <w:tc>
          <w:tcPr>
            <w:tcW w:w="850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34" w:firstLine="0"/>
              <w:jc w:val="left"/>
            </w:pPr>
            <w:r>
              <w:t xml:space="preserve">Пациент неспособен выполнять тяжелую, но может выполнять легкую или сидячую работу (например, легкую домашнюю или канцелярскую работу (70–80 % по шкале Карновского) </w:t>
            </w:r>
          </w:p>
        </w:tc>
      </w:tr>
      <w:tr w:rsidR="00C3791F">
        <w:trPr>
          <w:trHeight w:val="838"/>
        </w:trPr>
        <w:tc>
          <w:tcPr>
            <w:tcW w:w="8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0" w:firstLine="0"/>
              <w:jc w:val="center"/>
            </w:pPr>
            <w:r>
              <w:t>2</w:t>
            </w:r>
          </w:p>
        </w:tc>
        <w:tc>
          <w:tcPr>
            <w:tcW w:w="850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483" w:firstLine="0"/>
              <w:jc w:val="left"/>
            </w:pPr>
            <w:r>
              <w:t xml:space="preserve">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 (50–60 % по шкале Карновского) </w:t>
            </w:r>
          </w:p>
        </w:tc>
      </w:tr>
      <w:tr w:rsidR="00C3791F">
        <w:trPr>
          <w:trHeight w:val="838"/>
        </w:trPr>
        <w:tc>
          <w:tcPr>
            <w:tcW w:w="8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10" w:firstLine="0"/>
              <w:jc w:val="center"/>
            </w:pPr>
            <w:r>
              <w:t>3</w:t>
            </w:r>
          </w:p>
        </w:tc>
        <w:tc>
          <w:tcPr>
            <w:tcW w:w="850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 xml:space="preserve">Пациент способен лишь к ограниченному самообслуживанию, </w:t>
            </w:r>
            <w:r>
              <w:t xml:space="preserve">проводит в кресле или постели более 50 % времени бодрствования (30–40 % по шкале Карновского) </w:t>
            </w:r>
          </w:p>
        </w:tc>
      </w:tr>
      <w:tr w:rsidR="00C3791F">
        <w:trPr>
          <w:trHeight w:val="562"/>
        </w:trPr>
        <w:tc>
          <w:tcPr>
            <w:tcW w:w="8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right="13" w:firstLine="0"/>
              <w:jc w:val="center"/>
            </w:pPr>
            <w:r>
              <w:t>4</w:t>
            </w:r>
          </w:p>
        </w:tc>
        <w:tc>
          <w:tcPr>
            <w:tcW w:w="850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 xml:space="preserve">Инвалид, совершенно не способен к самообслуживанию, прикован к креслу или постели (10–20 % по шкале Карновского) </w:t>
            </w:r>
          </w:p>
        </w:tc>
      </w:tr>
      <w:tr w:rsidR="00C3791F">
        <w:trPr>
          <w:trHeight w:val="586"/>
        </w:trPr>
        <w:tc>
          <w:tcPr>
            <w:tcW w:w="86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right="13" w:firstLine="0"/>
              <w:jc w:val="center"/>
            </w:pPr>
            <w:r>
              <w:t>5</w:t>
            </w:r>
          </w:p>
        </w:tc>
        <w:tc>
          <w:tcPr>
            <w:tcW w:w="8506" w:type="dxa"/>
            <w:tcBorders>
              <w:top w:val="single" w:sz="4" w:space="0" w:color="000000"/>
              <w:left w:val="single" w:sz="4" w:space="0" w:color="000000"/>
              <w:bottom w:val="single" w:sz="4" w:space="0" w:color="000000"/>
              <w:right w:val="single" w:sz="4" w:space="0" w:color="000000"/>
            </w:tcBorders>
            <w:vAlign w:val="center"/>
          </w:tcPr>
          <w:p w:rsidR="00C3791F" w:rsidRDefault="00AE1F83">
            <w:pPr>
              <w:spacing w:after="0" w:line="259" w:lineRule="auto"/>
              <w:ind w:left="0" w:firstLine="0"/>
              <w:jc w:val="left"/>
            </w:pPr>
            <w:r>
              <w:t>Смерть</w:t>
            </w:r>
          </w:p>
        </w:tc>
      </w:tr>
    </w:tbl>
    <w:p w:rsidR="00C3791F" w:rsidRDefault="00AE1F83">
      <w:pPr>
        <w:spacing w:line="259" w:lineRule="auto"/>
        <w:ind w:left="861" w:right="189"/>
      </w:pPr>
      <w:r>
        <w:rPr>
          <w:b/>
        </w:rPr>
        <w:t>Ключ (интерпретация):</w:t>
      </w:r>
      <w:r>
        <w:t xml:space="preserve"> приведен в самой шкале.</w:t>
      </w:r>
      <w:r>
        <w:br w:type="page"/>
      </w:r>
    </w:p>
    <w:p w:rsidR="00C3791F" w:rsidRDefault="00AE1F83">
      <w:pPr>
        <w:pStyle w:val="Heading1"/>
        <w:spacing w:after="328"/>
        <w:ind w:left="160" w:right="198"/>
      </w:pPr>
      <w:r>
        <w:t>Приложение Г2. Шкала Карновского</w:t>
      </w:r>
    </w:p>
    <w:p w:rsidR="00C3791F" w:rsidRDefault="00AE1F83">
      <w:pPr>
        <w:spacing w:after="108" w:line="265" w:lineRule="auto"/>
        <w:ind w:left="861"/>
      </w:pPr>
      <w:r>
        <w:rPr>
          <w:b/>
        </w:rPr>
        <w:t>Название на русском языке:</w:t>
      </w:r>
      <w:r>
        <w:t xml:space="preserve"> Шкала Карновского.</w:t>
      </w:r>
    </w:p>
    <w:p w:rsidR="00C3791F" w:rsidRDefault="00AE1F83">
      <w:pPr>
        <w:spacing w:after="108" w:line="265" w:lineRule="auto"/>
        <w:ind w:left="861"/>
      </w:pPr>
      <w:r>
        <w:rPr>
          <w:b/>
        </w:rPr>
        <w:t>Оригинальное название (если есть):</w:t>
      </w:r>
      <w:r>
        <w:t xml:space="preserve"> Karnofsky Performance Status.</w:t>
      </w:r>
    </w:p>
    <w:p w:rsidR="00C3791F" w:rsidRDefault="00AE1F83">
      <w:pPr>
        <w:spacing w:after="108" w:line="265" w:lineRule="auto"/>
        <w:ind w:left="861"/>
      </w:pPr>
      <w:r>
        <w:rPr>
          <w:b/>
        </w:rPr>
        <w:t xml:space="preserve">Источник (официальный сайт разработчиков, публикация с валидацией): </w:t>
      </w:r>
    </w:p>
    <w:p w:rsidR="00C3791F" w:rsidRDefault="00AE1F83">
      <w:pPr>
        <w:spacing w:after="120" w:line="259" w:lineRule="auto"/>
        <w:ind w:left="137" w:right="189"/>
      </w:pPr>
      <w:r>
        <w:t>Karnofsky D.A., B</w:t>
      </w:r>
      <w:r>
        <w:t xml:space="preserve">urchenal J.H. The clinical evaluation of chemotherapeutic agents in cancer. In: </w:t>
      </w:r>
    </w:p>
    <w:p w:rsidR="00C3791F" w:rsidRDefault="00AE1F83">
      <w:pPr>
        <w:spacing w:after="128" w:line="259" w:lineRule="auto"/>
        <w:ind w:left="137" w:right="189"/>
      </w:pPr>
      <w:r>
        <w:t xml:space="preserve">MacLeod C. (ed.). Evaluation of chemotherapeutic agents. </w:t>
      </w:r>
      <w:r>
        <w:rPr>
          <w:sz w:val="22"/>
        </w:rPr>
        <w:t xml:space="preserve">New York: Columbia University Press, </w:t>
      </w:r>
    </w:p>
    <w:p w:rsidR="00C3791F" w:rsidRDefault="00AE1F83">
      <w:pPr>
        <w:spacing w:after="117" w:line="259" w:lineRule="auto"/>
        <w:ind w:left="137"/>
      </w:pPr>
      <w:r>
        <w:rPr>
          <w:sz w:val="22"/>
        </w:rPr>
        <w:t>1949. Pp.191–205</w:t>
      </w:r>
      <w:r>
        <w:t xml:space="preserve"> [246].</w:t>
      </w:r>
    </w:p>
    <w:p w:rsidR="00C3791F" w:rsidRDefault="00AE1F83">
      <w:pPr>
        <w:spacing w:after="114" w:line="259" w:lineRule="auto"/>
        <w:ind w:left="861" w:right="189"/>
      </w:pPr>
      <w:r>
        <w:rPr>
          <w:b/>
        </w:rPr>
        <w:t>Тип:</w:t>
      </w:r>
      <w:r>
        <w:t xml:space="preserve"> шкала оценки.</w:t>
      </w:r>
    </w:p>
    <w:p w:rsidR="00C3791F" w:rsidRDefault="00AE1F83">
      <w:pPr>
        <w:ind w:left="127" w:right="189" w:firstLine="709"/>
      </w:pPr>
      <w:r>
        <w:rPr>
          <w:b/>
        </w:rPr>
        <w:t>Назначение:</w:t>
      </w:r>
      <w:r>
        <w:t xml:space="preserve"> описать уровень функциони</w:t>
      </w:r>
      <w:r>
        <w:t>рования пациента с точки зрения его способности заботиться о себе, повседневной активности и физических способностях (ходьба, работа и т. д.).</w:t>
      </w:r>
    </w:p>
    <w:p w:rsidR="00C3791F" w:rsidRDefault="00AE1F83">
      <w:pPr>
        <w:spacing w:line="265" w:lineRule="auto"/>
        <w:ind w:left="861"/>
      </w:pPr>
      <w:r>
        <w:rPr>
          <w:b/>
        </w:rPr>
        <w:t>Содержание (шаблон):</w:t>
      </w:r>
    </w:p>
    <w:tbl>
      <w:tblPr>
        <w:tblStyle w:val="TableGrid"/>
        <w:tblW w:w="9236" w:type="dxa"/>
        <w:tblInd w:w="253" w:type="dxa"/>
        <w:tblCellMar>
          <w:top w:w="14" w:type="dxa"/>
          <w:left w:w="109" w:type="dxa"/>
          <w:bottom w:w="0" w:type="dxa"/>
          <w:right w:w="115" w:type="dxa"/>
        </w:tblCellMar>
        <w:tblLook w:val="04A0" w:firstRow="1" w:lastRow="0" w:firstColumn="1" w:lastColumn="0" w:noHBand="0" w:noVBand="1"/>
      </w:tblPr>
      <w:tblGrid>
        <w:gridCol w:w="1224"/>
        <w:gridCol w:w="8012"/>
      </w:tblGrid>
      <w:tr w:rsidR="00C3791F">
        <w:trPr>
          <w:trHeight w:val="516"/>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rPr>
                <w:b/>
              </w:rPr>
              <w:t>Балл</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17" w:firstLine="0"/>
              <w:jc w:val="center"/>
            </w:pPr>
            <w:r>
              <w:rPr>
                <w:b/>
              </w:rPr>
              <w:t>Шкала Карновского</w:t>
            </w:r>
          </w:p>
        </w:tc>
      </w:tr>
      <w:tr w:rsidR="00C3791F">
        <w:trPr>
          <w:trHeight w:val="524"/>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100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Состояние нормальное, жалоб нет</w:t>
            </w:r>
          </w:p>
        </w:tc>
      </w:tr>
      <w:tr w:rsidR="00C3791F">
        <w:trPr>
          <w:trHeight w:val="828"/>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90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Способен к нормальной деятельности, незначительные симптомы или признаки заболевания</w:t>
            </w:r>
          </w:p>
        </w:tc>
      </w:tr>
      <w:tr w:rsidR="00C3791F">
        <w:trPr>
          <w:trHeight w:val="730"/>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80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Нормальная активность с усилием, незначительные симптомы или признаки заболевания</w:t>
            </w:r>
          </w:p>
        </w:tc>
      </w:tr>
      <w:tr w:rsidR="00C3791F">
        <w:trPr>
          <w:trHeight w:val="924"/>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70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Обсуживает себя самостоятельно, неспособен к нормальной деятельности или активной работе</w:t>
            </w:r>
          </w:p>
        </w:tc>
      </w:tr>
      <w:tr w:rsidR="00C3791F">
        <w:trPr>
          <w:trHeight w:val="656"/>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60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Нуждается периодически в помощи, но способен сам удовлетворять бóльшую часть своих потребностей</w:t>
            </w:r>
          </w:p>
        </w:tc>
      </w:tr>
      <w:tr w:rsidR="00C3791F">
        <w:trPr>
          <w:trHeight w:val="592"/>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50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Нуждается в значительной помощи и медицинском обслуживании</w:t>
            </w:r>
          </w:p>
        </w:tc>
      </w:tr>
      <w:tr w:rsidR="00C3791F">
        <w:trPr>
          <w:trHeight w:val="472"/>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40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Инвалид, нуждается в специальной помощи, в том числе медицинской</w:t>
            </w:r>
          </w:p>
        </w:tc>
      </w:tr>
      <w:tr w:rsidR="00C3791F">
        <w:trPr>
          <w:trHeight w:val="774"/>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30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Тяжелая инвалидность, показана госпитализация, хотя смерть непосредственно не угрожает</w:t>
            </w:r>
          </w:p>
        </w:tc>
      </w:tr>
      <w:tr w:rsidR="00C3791F">
        <w:trPr>
          <w:trHeight w:val="624"/>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20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Тяжелый больной. Необходимы госпитализация и активное лечение</w:t>
            </w:r>
          </w:p>
        </w:tc>
      </w:tr>
      <w:tr w:rsidR="00C3791F">
        <w:trPr>
          <w:trHeight w:val="536"/>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10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Умирающий</w:t>
            </w:r>
          </w:p>
        </w:tc>
      </w:tr>
      <w:tr w:rsidR="00C3791F">
        <w:trPr>
          <w:trHeight w:val="496"/>
        </w:trPr>
        <w:tc>
          <w:tcPr>
            <w:tcW w:w="122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0" w:firstLine="0"/>
              <w:jc w:val="center"/>
            </w:pPr>
            <w:r>
              <w:t>0</w:t>
            </w:r>
          </w:p>
        </w:tc>
        <w:tc>
          <w:tcPr>
            <w:tcW w:w="8012"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0"/>
              <w:jc w:val="left"/>
            </w:pPr>
            <w:r>
              <w:t>Смерть</w:t>
            </w:r>
          </w:p>
        </w:tc>
      </w:tr>
    </w:tbl>
    <w:p w:rsidR="00C3791F" w:rsidRDefault="00AE1F83">
      <w:pPr>
        <w:spacing w:line="259" w:lineRule="auto"/>
        <w:ind w:left="861" w:right="189"/>
      </w:pPr>
      <w:r>
        <w:rPr>
          <w:b/>
        </w:rPr>
        <w:t>Ключ (интерпретация):</w:t>
      </w:r>
      <w:r>
        <w:t xml:space="preserve"> приведен в самой шкале.</w:t>
      </w:r>
    </w:p>
    <w:p w:rsidR="00C3791F" w:rsidRDefault="00AE1F83">
      <w:pPr>
        <w:pStyle w:val="Heading1"/>
        <w:spacing w:after="70" w:line="249" w:lineRule="auto"/>
        <w:ind w:left="137" w:right="163"/>
        <w:jc w:val="left"/>
      </w:pPr>
      <w:r>
        <w:t>Приложение Г3. Визуально-аналоговая шкала оценки болевого синдрома</w:t>
      </w:r>
    </w:p>
    <w:p w:rsidR="00C3791F" w:rsidRDefault="00AE1F83">
      <w:pPr>
        <w:ind w:left="127" w:right="189" w:firstLine="709"/>
      </w:pPr>
      <w:r>
        <w:rPr>
          <w:b/>
        </w:rPr>
        <w:t>Название на русском языке:</w:t>
      </w:r>
      <w:r>
        <w:t xml:space="preserve"> Визуально-аналоговая шкала оценки болевого синдрома.</w:t>
      </w:r>
    </w:p>
    <w:p w:rsidR="00C3791F" w:rsidRDefault="00AE1F83">
      <w:pPr>
        <w:spacing w:after="114" w:line="259" w:lineRule="auto"/>
        <w:ind w:left="861" w:right="189"/>
      </w:pPr>
      <w:r>
        <w:rPr>
          <w:b/>
        </w:rPr>
        <w:t xml:space="preserve">Оригинальное название: </w:t>
      </w:r>
      <w:r>
        <w:t>Visual Analog Scale for Pain (VAS Pain).</w:t>
      </w:r>
    </w:p>
    <w:p w:rsidR="00C3791F" w:rsidRDefault="00AE1F83">
      <w:pPr>
        <w:spacing w:after="114" w:line="259" w:lineRule="auto"/>
        <w:ind w:left="0" w:right="193" w:firstLine="0"/>
        <w:jc w:val="right"/>
      </w:pPr>
      <w:r>
        <w:rPr>
          <w:b/>
        </w:rPr>
        <w:t xml:space="preserve">Источник (официальный сайт разработчиков, публикация с валидацией): </w:t>
      </w:r>
    </w:p>
    <w:p w:rsidR="00C3791F" w:rsidRDefault="00AE1F83">
      <w:pPr>
        <w:spacing w:after="114" w:line="259" w:lineRule="auto"/>
        <w:ind w:left="137" w:right="189"/>
      </w:pPr>
      <w:r>
        <w:t xml:space="preserve">Hawker G.A., Mian S., Kendzerska T., French M. Measures of adult pain: Visual Analog Scale for </w:t>
      </w:r>
    </w:p>
    <w:p w:rsidR="00C3791F" w:rsidRDefault="00AE1F83">
      <w:pPr>
        <w:ind w:left="137" w:right="189"/>
      </w:pPr>
      <w:r>
        <w:t>Pain (VAS Pain), Numeric Rating Scale for Pain (NRS Pain), McGill Pain Questionnaire (MPQ)</w:t>
      </w:r>
      <w:r>
        <w:t xml:space="preserve">, Short-Form McGill Pain Questionnaire (SF-MPQ), Chronic Pain Grade Scale (CPGS), Short </w:t>
      </w:r>
    </w:p>
    <w:p w:rsidR="00C3791F" w:rsidRDefault="00AE1F83">
      <w:pPr>
        <w:ind w:left="137" w:right="189"/>
      </w:pPr>
      <w:r>
        <w:t>Form-36 Bodily Pain Scale (SF-36 BPS), and Measure of Intermittent and Constant Osteoarthritis Pain (ICOAP). Arthritis Care Res (Hoboken) 2011;63(Suppl 11):S240–52 [24</w:t>
      </w:r>
      <w:r>
        <w:t>7].</w:t>
      </w:r>
    </w:p>
    <w:p w:rsidR="00C3791F" w:rsidRDefault="00AE1F83">
      <w:pPr>
        <w:spacing w:after="114" w:line="259" w:lineRule="auto"/>
        <w:ind w:left="861" w:right="189"/>
      </w:pPr>
      <w:r>
        <w:rPr>
          <w:b/>
        </w:rPr>
        <w:t>Тип:</w:t>
      </w:r>
      <w:r>
        <w:t xml:space="preserve"> шкала оценки.</w:t>
      </w:r>
    </w:p>
    <w:p w:rsidR="00C3791F" w:rsidRDefault="00AE1F83">
      <w:pPr>
        <w:ind w:left="127" w:right="189" w:firstLine="709"/>
      </w:pPr>
      <w:r>
        <w:rPr>
          <w:b/>
        </w:rPr>
        <w:t xml:space="preserve">Назначение: </w:t>
      </w:r>
      <w:r>
        <w:t>предназначена для количественной оценки болевого синдрома с учетом субъективных ощущений больного и подбора анальгезирующей терапии.</w:t>
      </w:r>
    </w:p>
    <w:p w:rsidR="00C3791F" w:rsidRDefault="00AE1F83">
      <w:pPr>
        <w:spacing w:after="108" w:line="265" w:lineRule="auto"/>
        <w:ind w:left="861"/>
      </w:pPr>
      <w:r>
        <w:rPr>
          <w:b/>
        </w:rPr>
        <w:t>Содержание (шаблон):</w:t>
      </w:r>
    </w:p>
    <w:p w:rsidR="00C3791F" w:rsidRDefault="00AE1F83">
      <w:pPr>
        <w:spacing w:line="357" w:lineRule="auto"/>
        <w:ind w:left="127" w:firstLine="709"/>
      </w:pPr>
      <w:r>
        <w:rPr>
          <w:b/>
        </w:rPr>
        <w:t>«Оцените по шкале выраженность боли, где 0 – отсутствие боли, а 10 – нестерпимая боль максимальной выраженности».</w:t>
      </w:r>
    </w:p>
    <w:p w:rsidR="00C3791F" w:rsidRDefault="00AE1F83">
      <w:pPr>
        <w:spacing w:after="246" w:line="259" w:lineRule="auto"/>
        <w:ind w:left="334" w:firstLine="0"/>
        <w:jc w:val="left"/>
      </w:pPr>
      <w:r>
        <w:rPr>
          <w:noProof/>
        </w:rPr>
        <w:drawing>
          <wp:inline distT="0" distB="0" distL="0" distR="0">
            <wp:extent cx="5694045" cy="1201420"/>
            <wp:effectExtent l="0" t="0" r="0" b="0"/>
            <wp:docPr id="13292" name="Picture 13292"/>
            <wp:cNvGraphicFramePr/>
            <a:graphic xmlns:a="http://schemas.openxmlformats.org/drawingml/2006/main">
              <a:graphicData uri="http://schemas.openxmlformats.org/drawingml/2006/picture">
                <pic:pic xmlns:pic="http://schemas.openxmlformats.org/drawingml/2006/picture">
                  <pic:nvPicPr>
                    <pic:cNvPr id="13292" name="Picture 13292"/>
                    <pic:cNvPicPr/>
                  </pic:nvPicPr>
                  <pic:blipFill>
                    <a:blip r:embed="rId363"/>
                    <a:stretch>
                      <a:fillRect/>
                    </a:stretch>
                  </pic:blipFill>
                  <pic:spPr>
                    <a:xfrm>
                      <a:off x="0" y="0"/>
                      <a:ext cx="5694045" cy="1201420"/>
                    </a:xfrm>
                    <a:prstGeom prst="rect">
                      <a:avLst/>
                    </a:prstGeom>
                  </pic:spPr>
                </pic:pic>
              </a:graphicData>
            </a:graphic>
          </wp:inline>
        </w:drawing>
      </w:r>
    </w:p>
    <w:p w:rsidR="00C3791F" w:rsidRDefault="00AE1F83">
      <w:pPr>
        <w:ind w:left="127" w:right="189" w:firstLine="709"/>
      </w:pPr>
      <w:r>
        <w:rPr>
          <w:b/>
        </w:rPr>
        <w:t>Инструкция:</w:t>
      </w:r>
      <w:r>
        <w:t xml:space="preserve"> больному на 10-сантиметровой линии предлагается отметить степень выраженности боли по шкале от 0 до 10.</w:t>
      </w:r>
    </w:p>
    <w:p w:rsidR="00C3791F" w:rsidRDefault="00AE1F83">
      <w:pPr>
        <w:ind w:left="127" w:right="189" w:firstLine="709"/>
      </w:pPr>
      <w:r>
        <w:rPr>
          <w:b/>
        </w:rPr>
        <w:t>Ключ:</w:t>
      </w:r>
      <w:r>
        <w:t xml:space="preserve"> 1–3 балла – слабая</w:t>
      </w:r>
      <w:r>
        <w:t xml:space="preserve"> боль; 4–7 баллов – умеренная боль; 8 и более баллов – сильная боль.</w:t>
      </w:r>
    </w:p>
    <w:p w:rsidR="00C3791F" w:rsidRDefault="00AE1F83">
      <w:pPr>
        <w:pStyle w:val="Heading1"/>
        <w:spacing w:line="357" w:lineRule="auto"/>
        <w:ind w:left="160" w:right="150"/>
      </w:pPr>
      <w:r>
        <w:t xml:space="preserve">Приложение Г4. Критерии оценки ответа солидных опухолей на лечение RECIST 1.1 </w:t>
      </w:r>
    </w:p>
    <w:p w:rsidR="00C3791F" w:rsidRDefault="00AE1F83">
      <w:pPr>
        <w:ind w:left="127" w:right="189" w:firstLine="709"/>
      </w:pPr>
      <w:r>
        <w:rPr>
          <w:b/>
        </w:rPr>
        <w:t>Название на русском языке:</w:t>
      </w:r>
      <w:r>
        <w:t xml:space="preserve"> Критерии оценки ответа солидных опухолей на лечение 1.1.</w:t>
      </w:r>
    </w:p>
    <w:p w:rsidR="00C3791F" w:rsidRDefault="00AE1F83">
      <w:pPr>
        <w:ind w:left="127" w:right="189" w:firstLine="709"/>
      </w:pPr>
      <w:r>
        <w:rPr>
          <w:b/>
        </w:rPr>
        <w:t>Оригинальное название (е</w:t>
      </w:r>
      <w:r>
        <w:rPr>
          <w:b/>
        </w:rPr>
        <w:t>сли есть):</w:t>
      </w:r>
      <w:r>
        <w:t xml:space="preserve"> Response Evaluation Criteria In Solid Tumors 1.1 (RECIST).</w:t>
      </w:r>
    </w:p>
    <w:p w:rsidR="00C3791F" w:rsidRDefault="00AE1F83">
      <w:pPr>
        <w:spacing w:after="108" w:line="265" w:lineRule="auto"/>
        <w:ind w:left="861"/>
      </w:pPr>
      <w:r>
        <w:rPr>
          <w:b/>
        </w:rPr>
        <w:t xml:space="preserve">Источник (официальный сайт разработчиков, публикация с валидацией): </w:t>
      </w:r>
    </w:p>
    <w:p w:rsidR="00C3791F" w:rsidRDefault="00AE1F83">
      <w:pPr>
        <w:spacing w:after="114" w:line="259" w:lineRule="auto"/>
        <w:ind w:left="137" w:right="189"/>
      </w:pPr>
      <w:r>
        <w:t xml:space="preserve">Eisenhauer E.A., </w:t>
      </w:r>
      <w:hyperlink r:id="rId364">
        <w:r>
          <w:t>Therasse P</w:t>
        </w:r>
      </w:hyperlink>
      <w:r>
        <w:t xml:space="preserve">., </w:t>
      </w:r>
      <w:hyperlink r:id="rId365">
        <w:r>
          <w:t>Bogaerts J</w:t>
        </w:r>
      </w:hyperlink>
      <w:r>
        <w:t xml:space="preserve">., </w:t>
      </w:r>
      <w:hyperlink r:id="rId366">
        <w:r>
          <w:t>Schwartz L.H</w:t>
        </w:r>
      </w:hyperlink>
      <w:r>
        <w:t xml:space="preserve">., </w:t>
      </w:r>
      <w:hyperlink r:id="rId367">
        <w:r>
          <w:t>Sargent D</w:t>
        </w:r>
      </w:hyperlink>
      <w:r>
        <w:t xml:space="preserve">., </w:t>
      </w:r>
      <w:hyperlink r:id="rId368">
        <w:r>
          <w:t>Ford R</w:t>
        </w:r>
      </w:hyperlink>
      <w:r>
        <w:t xml:space="preserve">., </w:t>
      </w:r>
      <w:hyperlink r:id="rId369">
        <w:r>
          <w:t>Dancey J</w:t>
        </w:r>
      </w:hyperlink>
      <w:r>
        <w:t xml:space="preserve">., </w:t>
      </w:r>
      <w:hyperlink r:id="rId370">
        <w:r>
          <w:t>Arbuck</w:t>
        </w:r>
      </w:hyperlink>
      <w:r>
        <w:t xml:space="preserve"> </w:t>
      </w:r>
    </w:p>
    <w:p w:rsidR="00C3791F" w:rsidRDefault="00AE1F83">
      <w:pPr>
        <w:spacing w:after="114" w:line="259" w:lineRule="auto"/>
        <w:ind w:left="137" w:right="189"/>
      </w:pPr>
      <w:hyperlink r:id="rId371">
        <w:r>
          <w:t>S</w:t>
        </w:r>
      </w:hyperlink>
      <w:r>
        <w:t xml:space="preserve">., </w:t>
      </w:r>
      <w:hyperlink r:id="rId372">
        <w:r>
          <w:t>Gwyther S</w:t>
        </w:r>
      </w:hyperlink>
      <w:r>
        <w:t xml:space="preserve">., </w:t>
      </w:r>
      <w:hyperlink r:id="rId373">
        <w:r>
          <w:t>Mooney M</w:t>
        </w:r>
      </w:hyperlink>
      <w:r>
        <w:t xml:space="preserve">., </w:t>
      </w:r>
      <w:hyperlink r:id="rId374">
        <w:r>
          <w:t>Rubinstein L</w:t>
        </w:r>
      </w:hyperlink>
      <w:r>
        <w:t xml:space="preserve">., </w:t>
      </w:r>
      <w:hyperlink r:id="rId375">
        <w:r>
          <w:t>Sh</w:t>
        </w:r>
        <w:r>
          <w:t>ankar L</w:t>
        </w:r>
      </w:hyperlink>
      <w:r>
        <w:t xml:space="preserve">., </w:t>
      </w:r>
      <w:hyperlink r:id="rId376">
        <w:r>
          <w:t>Dodd L</w:t>
        </w:r>
      </w:hyperlink>
      <w:r>
        <w:t xml:space="preserve">., </w:t>
      </w:r>
      <w:hyperlink r:id="rId377">
        <w:r>
          <w:t>Kap</w:t>
        </w:r>
        <w:r>
          <w:t>lan R</w:t>
        </w:r>
      </w:hyperlink>
      <w:r>
        <w:t xml:space="preserve">., </w:t>
      </w:r>
      <w:hyperlink r:id="rId378">
        <w:r>
          <w:t>Lacombe D</w:t>
        </w:r>
      </w:hyperlink>
      <w:r>
        <w:t xml:space="preserve">., </w:t>
      </w:r>
      <w:hyperlink r:id="rId379">
        <w:r>
          <w:t>Verweij</w:t>
        </w:r>
      </w:hyperlink>
      <w:r>
        <w:t xml:space="preserve"> </w:t>
      </w:r>
    </w:p>
    <w:p w:rsidR="00C3791F" w:rsidRDefault="00AE1F83">
      <w:pPr>
        <w:ind w:left="137" w:right="189"/>
      </w:pPr>
      <w:hyperlink r:id="rId380">
        <w:r>
          <w:t>J</w:t>
        </w:r>
      </w:hyperlink>
      <w:r>
        <w:t xml:space="preserve">. New response evaluation criteria in solid tumours: revised RECIST guideline (version 1.1). </w:t>
      </w:r>
      <w:hyperlink r:id="rId381">
        <w:r>
          <w:t>Eur</w:t>
        </w:r>
      </w:hyperlink>
      <w:r>
        <w:t xml:space="preserve"> </w:t>
      </w:r>
      <w:hyperlink r:id="rId382">
        <w:r>
          <w:t>J Cancer</w:t>
        </w:r>
      </w:hyperlink>
      <w:r>
        <w:t xml:space="preserve"> 2009;45(2):228–47. DOI: 10.1016/j.ejca.2008.10.026 [248].</w:t>
      </w:r>
    </w:p>
    <w:p w:rsidR="00C3791F" w:rsidRDefault="00AE1F83">
      <w:pPr>
        <w:spacing w:after="114" w:line="259" w:lineRule="auto"/>
        <w:ind w:left="861" w:right="189"/>
      </w:pPr>
      <w:r>
        <w:rPr>
          <w:b/>
        </w:rPr>
        <w:t>Тип:</w:t>
      </w:r>
      <w:r>
        <w:t xml:space="preserve"> шкала оценки.</w:t>
      </w:r>
    </w:p>
    <w:p w:rsidR="00C3791F" w:rsidRDefault="00AE1F83">
      <w:pPr>
        <w:spacing w:after="114" w:line="259" w:lineRule="auto"/>
        <w:ind w:left="861" w:right="189"/>
      </w:pPr>
      <w:r>
        <w:rPr>
          <w:b/>
        </w:rPr>
        <w:t>Назначение:</w:t>
      </w:r>
      <w:r>
        <w:t xml:space="preserve"> унификация оценки ответа солидных опухолей на лечение.</w:t>
      </w:r>
    </w:p>
    <w:p w:rsidR="00C3791F" w:rsidRDefault="00AE1F83">
      <w:pPr>
        <w:spacing w:line="265" w:lineRule="auto"/>
        <w:ind w:left="861"/>
      </w:pPr>
      <w:r>
        <w:rPr>
          <w:b/>
        </w:rPr>
        <w:t>Содержание (шаблон):</w:t>
      </w:r>
    </w:p>
    <w:tbl>
      <w:tblPr>
        <w:tblStyle w:val="TableGrid"/>
        <w:tblW w:w="9606" w:type="dxa"/>
        <w:tblInd w:w="253" w:type="dxa"/>
        <w:tblCellMar>
          <w:top w:w="14" w:type="dxa"/>
          <w:left w:w="110" w:type="dxa"/>
          <w:bottom w:w="0" w:type="dxa"/>
          <w:right w:w="45" w:type="dxa"/>
        </w:tblCellMar>
        <w:tblLook w:val="04A0" w:firstRow="1" w:lastRow="0" w:firstColumn="1" w:lastColumn="0" w:noHBand="0" w:noVBand="1"/>
      </w:tblPr>
      <w:tblGrid>
        <w:gridCol w:w="3190"/>
        <w:gridCol w:w="6416"/>
      </w:tblGrid>
      <w:tr w:rsidR="00C3791F">
        <w:trPr>
          <w:trHeight w:val="566"/>
        </w:trPr>
        <w:tc>
          <w:tcPr>
            <w:tcW w:w="319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890" w:firstLine="0"/>
              <w:jc w:val="left"/>
            </w:pPr>
            <w:r>
              <w:rPr>
                <w:b/>
              </w:rPr>
              <w:t>Ответ на лечение</w:t>
            </w:r>
          </w:p>
        </w:tc>
        <w:tc>
          <w:tcPr>
            <w:tcW w:w="641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48" w:firstLine="0"/>
              <w:jc w:val="center"/>
            </w:pPr>
            <w:r>
              <w:rPr>
                <w:b/>
              </w:rPr>
              <w:t>RECIST 1.1</w:t>
            </w:r>
          </w:p>
        </w:tc>
      </w:tr>
      <w:tr w:rsidR="00C3791F">
        <w:trPr>
          <w:trHeight w:val="814"/>
        </w:trPr>
        <w:tc>
          <w:tcPr>
            <w:tcW w:w="319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177" w:firstLine="0"/>
              <w:jc w:val="center"/>
            </w:pPr>
            <w:r>
              <w:t>Полный ответ</w:t>
            </w:r>
          </w:p>
        </w:tc>
        <w:tc>
          <w:tcPr>
            <w:tcW w:w="6416" w:type="dxa"/>
            <w:tcBorders>
              <w:top w:val="single" w:sz="4" w:space="0" w:color="000000"/>
              <w:left w:val="single" w:sz="4" w:space="0" w:color="000000"/>
              <w:bottom w:val="single" w:sz="4" w:space="0" w:color="000000"/>
              <w:right w:val="single" w:sz="4" w:space="0" w:color="000000"/>
            </w:tcBorders>
          </w:tcPr>
          <w:p w:rsidR="00C3791F" w:rsidRDefault="00AE1F83">
            <w:pPr>
              <w:spacing w:after="114" w:line="259" w:lineRule="auto"/>
              <w:ind w:left="0" w:right="68" w:firstLine="0"/>
              <w:jc w:val="right"/>
            </w:pPr>
            <w:r>
              <w:t xml:space="preserve">Отсутствие всех целевых образований или </w:t>
            </w:r>
          </w:p>
          <w:p w:rsidR="00C3791F" w:rsidRDefault="00AE1F83">
            <w:pPr>
              <w:spacing w:after="0" w:line="259" w:lineRule="auto"/>
              <w:ind w:left="0" w:firstLine="0"/>
              <w:jc w:val="left"/>
            </w:pPr>
            <w:r>
              <w:t>лимфоузлов ≥10 мм по короткой оси</w:t>
            </w:r>
          </w:p>
        </w:tc>
      </w:tr>
      <w:tr w:rsidR="00C3791F">
        <w:trPr>
          <w:trHeight w:val="816"/>
        </w:trPr>
        <w:tc>
          <w:tcPr>
            <w:tcW w:w="319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32" w:firstLine="0"/>
              <w:jc w:val="center"/>
            </w:pPr>
            <w:r>
              <w:t>Частичный ответ</w:t>
            </w:r>
          </w:p>
        </w:tc>
        <w:tc>
          <w:tcPr>
            <w:tcW w:w="641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709"/>
            </w:pPr>
            <w:r>
              <w:t>Уменьшение сумм наибольших диаметров целевых очагов на ≥30 %</w:t>
            </w:r>
          </w:p>
        </w:tc>
      </w:tr>
      <w:tr w:rsidR="00C3791F">
        <w:trPr>
          <w:trHeight w:val="1228"/>
        </w:trPr>
        <w:tc>
          <w:tcPr>
            <w:tcW w:w="319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09" w:firstLine="0"/>
              <w:jc w:val="left"/>
            </w:pPr>
            <w:r>
              <w:t>Прогрессирование</w:t>
            </w:r>
          </w:p>
        </w:tc>
        <w:tc>
          <w:tcPr>
            <w:tcW w:w="641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357" w:lineRule="auto"/>
              <w:ind w:left="0" w:firstLine="709"/>
            </w:pPr>
            <w:r>
              <w:t>Увеличение сумм наибольших диаметров целевых очагов на ≥20 % с абсолютным приростом ≥5 мм</w:t>
            </w:r>
          </w:p>
          <w:p w:rsidR="00C3791F" w:rsidRDefault="00AE1F83">
            <w:pPr>
              <w:spacing w:after="0" w:line="259" w:lineRule="auto"/>
              <w:ind w:left="709" w:firstLine="0"/>
              <w:jc w:val="left"/>
            </w:pPr>
            <w:r>
              <w:t>Появление новых очагов</w:t>
            </w:r>
          </w:p>
        </w:tc>
      </w:tr>
      <w:tr w:rsidR="00C3791F">
        <w:trPr>
          <w:trHeight w:val="616"/>
        </w:trPr>
        <w:tc>
          <w:tcPr>
            <w:tcW w:w="319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179" w:firstLine="0"/>
              <w:jc w:val="center"/>
            </w:pPr>
            <w:r>
              <w:t>Стабилизация</w:t>
            </w:r>
          </w:p>
        </w:tc>
        <w:tc>
          <w:tcPr>
            <w:tcW w:w="6416"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09" w:firstLine="0"/>
              <w:jc w:val="left"/>
            </w:pPr>
            <w:r>
              <w:t>Ничего из перечисленного</w:t>
            </w:r>
          </w:p>
        </w:tc>
      </w:tr>
    </w:tbl>
    <w:p w:rsidR="00C3791F" w:rsidRDefault="00AE1F83">
      <w:pPr>
        <w:spacing w:line="259" w:lineRule="auto"/>
        <w:ind w:left="861" w:right="189"/>
      </w:pPr>
      <w:r>
        <w:rPr>
          <w:b/>
        </w:rPr>
        <w:t xml:space="preserve">Ключ (интерпретация): </w:t>
      </w:r>
      <w:r>
        <w:t>приведен в самой шкале.</w:t>
      </w:r>
    </w:p>
    <w:p w:rsidR="00C3791F" w:rsidRDefault="00AE1F83">
      <w:pPr>
        <w:pStyle w:val="Heading1"/>
        <w:spacing w:line="357" w:lineRule="auto"/>
        <w:ind w:left="160" w:right="150"/>
      </w:pPr>
      <w:r>
        <w:t xml:space="preserve">Приложение Г5. Критерии оценки иммуноопосредованного ответа солидных опухолей iRECIST </w:t>
      </w:r>
    </w:p>
    <w:p w:rsidR="00C3791F" w:rsidRDefault="00AE1F83">
      <w:pPr>
        <w:ind w:left="127" w:right="189" w:firstLine="709"/>
      </w:pPr>
      <w:r>
        <w:rPr>
          <w:b/>
        </w:rPr>
        <w:t>Название на русском языке:</w:t>
      </w:r>
      <w:r>
        <w:t xml:space="preserve"> Критерии оценки иммуноопосредованного ответа солидных опухолей. </w:t>
      </w:r>
    </w:p>
    <w:p w:rsidR="00C3791F" w:rsidRDefault="00AE1F83">
      <w:pPr>
        <w:ind w:left="127" w:right="189" w:firstLine="709"/>
      </w:pPr>
      <w:r>
        <w:rPr>
          <w:b/>
        </w:rPr>
        <w:t>Оригинальное название (если есть):</w:t>
      </w:r>
      <w:r>
        <w:t xml:space="preserve"> Immune-Related Response Evaluation Criteri</w:t>
      </w:r>
      <w:r>
        <w:t>a In Solid Tumors (iRECIST).</w:t>
      </w:r>
    </w:p>
    <w:p w:rsidR="00C3791F" w:rsidRDefault="00AE1F83">
      <w:pPr>
        <w:ind w:left="127" w:right="189" w:firstLine="709"/>
      </w:pPr>
      <w:r>
        <w:rPr>
          <w:b/>
        </w:rPr>
        <w:t xml:space="preserve">Источник (официальный сайт разработчиков, публикация с валидацией): </w:t>
      </w:r>
      <w:hyperlink r:id="rId383">
        <w:r>
          <w:t>Seymour L</w:t>
        </w:r>
      </w:hyperlink>
      <w:r>
        <w:t xml:space="preserve">., </w:t>
      </w:r>
      <w:hyperlink r:id="rId384">
        <w:r>
          <w:t>Bogaerts J</w:t>
        </w:r>
      </w:hyperlink>
      <w:r>
        <w:t xml:space="preserve">., </w:t>
      </w:r>
      <w:hyperlink r:id="rId385">
        <w:r>
          <w:t>Perrone A</w:t>
        </w:r>
      </w:hyperlink>
      <w:r>
        <w:t>.</w:t>
      </w:r>
      <w:r>
        <w:rPr>
          <w:sz w:val="22"/>
          <w:vertAlign w:val="superscript"/>
        </w:rPr>
        <w:t xml:space="preserve"> </w:t>
      </w:r>
      <w:r>
        <w:t xml:space="preserve">et al. </w:t>
      </w:r>
      <w:hyperlink r:id="rId386">
        <w:r>
          <w:t>RECIST working group</w:t>
        </w:r>
      </w:hyperlink>
      <w:r>
        <w:t xml:space="preserve">. iRECIST: guidelines for response criteria for use in trials testing immunotherapeutics. </w:t>
      </w:r>
      <w:hyperlink r:id="rId387">
        <w:r>
          <w:t>Lancet Oncol</w:t>
        </w:r>
      </w:hyperlink>
      <w:r>
        <w:t xml:space="preserve"> 2017;18(3):e143–52. </w:t>
      </w:r>
    </w:p>
    <w:p w:rsidR="00C3791F" w:rsidRDefault="00AE1F83">
      <w:pPr>
        <w:spacing w:after="114" w:line="259" w:lineRule="auto"/>
        <w:ind w:left="137" w:right="189"/>
      </w:pPr>
      <w:r>
        <w:t>DOI: 10.1016/S1470-2045(17)30074-8. Epub 2017 Mar 2 [221].</w:t>
      </w:r>
    </w:p>
    <w:p w:rsidR="00C3791F" w:rsidRDefault="00AE1F83">
      <w:pPr>
        <w:spacing w:after="114" w:line="259" w:lineRule="auto"/>
        <w:ind w:left="861" w:right="189"/>
      </w:pPr>
      <w:r>
        <w:rPr>
          <w:b/>
        </w:rPr>
        <w:t>Тип:</w:t>
      </w:r>
      <w:r>
        <w:t xml:space="preserve"> шкала оценки.</w:t>
      </w:r>
    </w:p>
    <w:p w:rsidR="00C3791F" w:rsidRDefault="00AE1F83">
      <w:pPr>
        <w:spacing w:after="114" w:line="259" w:lineRule="auto"/>
        <w:ind w:left="861" w:right="189"/>
      </w:pPr>
      <w:r>
        <w:rPr>
          <w:b/>
        </w:rPr>
        <w:t>Назначение:</w:t>
      </w:r>
      <w:r>
        <w:t xml:space="preserve"> унификация оценки ответа солидных опухолей на иммунотерапию.</w:t>
      </w:r>
    </w:p>
    <w:p w:rsidR="00C3791F" w:rsidRDefault="00AE1F83">
      <w:pPr>
        <w:spacing w:line="265" w:lineRule="auto"/>
        <w:ind w:left="861"/>
      </w:pPr>
      <w:r>
        <w:rPr>
          <w:b/>
        </w:rPr>
        <w:t>Содержание (шаблон):</w:t>
      </w:r>
    </w:p>
    <w:tbl>
      <w:tblPr>
        <w:tblStyle w:val="TableGrid"/>
        <w:tblW w:w="9364" w:type="dxa"/>
        <w:tblInd w:w="253" w:type="dxa"/>
        <w:tblCellMar>
          <w:top w:w="14" w:type="dxa"/>
          <w:left w:w="109" w:type="dxa"/>
          <w:bottom w:w="0" w:type="dxa"/>
          <w:right w:w="46" w:type="dxa"/>
        </w:tblCellMar>
        <w:tblLook w:val="04A0" w:firstRow="1" w:lastRow="0" w:firstColumn="1" w:lastColumn="0" w:noHBand="0" w:noVBand="1"/>
      </w:tblPr>
      <w:tblGrid>
        <w:gridCol w:w="3164"/>
        <w:gridCol w:w="6200"/>
      </w:tblGrid>
      <w:tr w:rsidR="00C3791F">
        <w:trPr>
          <w:trHeight w:val="546"/>
        </w:trPr>
        <w:tc>
          <w:tcPr>
            <w:tcW w:w="31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878" w:firstLine="0"/>
              <w:jc w:val="left"/>
            </w:pPr>
            <w:r>
              <w:rPr>
                <w:b/>
              </w:rPr>
              <w:t>Ответ на лечение</w:t>
            </w:r>
          </w:p>
        </w:tc>
        <w:tc>
          <w:tcPr>
            <w:tcW w:w="62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649" w:firstLine="0"/>
              <w:jc w:val="center"/>
            </w:pPr>
            <w:r>
              <w:rPr>
                <w:b/>
              </w:rPr>
              <w:t>iRECIST</w:t>
            </w:r>
          </w:p>
        </w:tc>
      </w:tr>
      <w:tr w:rsidR="00C3791F">
        <w:trPr>
          <w:trHeight w:val="638"/>
        </w:trPr>
        <w:tc>
          <w:tcPr>
            <w:tcW w:w="31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149" w:firstLine="0"/>
              <w:jc w:val="center"/>
            </w:pPr>
            <w:r>
              <w:t>Полный ответ</w:t>
            </w:r>
          </w:p>
        </w:tc>
        <w:tc>
          <w:tcPr>
            <w:tcW w:w="62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709"/>
              <w:jc w:val="left"/>
            </w:pPr>
            <w:r>
              <w:t>Отсутствие всех целевых образований или лимфоузлов ≥10 мм по короткой оси</w:t>
            </w:r>
          </w:p>
        </w:tc>
      </w:tr>
      <w:tr w:rsidR="00C3791F">
        <w:trPr>
          <w:trHeight w:val="636"/>
        </w:trPr>
        <w:tc>
          <w:tcPr>
            <w:tcW w:w="31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160" w:firstLine="0"/>
              <w:jc w:val="center"/>
            </w:pPr>
            <w:r>
              <w:t>Частичный ответ</w:t>
            </w:r>
          </w:p>
        </w:tc>
        <w:tc>
          <w:tcPr>
            <w:tcW w:w="62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firstLine="709"/>
            </w:pPr>
            <w:r>
              <w:t>Уменьшение сумм наибольших диаметров целевых очагов на ≥30 %</w:t>
            </w:r>
          </w:p>
        </w:tc>
      </w:tr>
      <w:tr w:rsidR="00C3791F">
        <w:trPr>
          <w:trHeight w:val="2106"/>
        </w:trPr>
        <w:tc>
          <w:tcPr>
            <w:tcW w:w="31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10" w:firstLine="0"/>
              <w:jc w:val="left"/>
            </w:pPr>
            <w:r>
              <w:t>Прогрессирование</w:t>
            </w:r>
          </w:p>
        </w:tc>
        <w:tc>
          <w:tcPr>
            <w:tcW w:w="62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74" w:lineRule="auto"/>
              <w:ind w:left="0" w:firstLine="709"/>
            </w:pPr>
            <w:r>
              <w:t xml:space="preserve">Увеличение сумм наибольших диаметров целевых </w:t>
            </w:r>
            <w:r>
              <w:t>очагов на ≥20 % с абсолютным приростом ≥5 мм</w:t>
            </w:r>
          </w:p>
          <w:p w:rsidR="00C3791F" w:rsidRDefault="00AE1F83">
            <w:pPr>
              <w:spacing w:after="0" w:line="259" w:lineRule="auto"/>
              <w:ind w:left="0" w:right="65" w:firstLine="709"/>
            </w:pPr>
            <w:r>
              <w:t>Появление новых очагов не является признаком прогрессирования; диаметры новых очагов прибавляются к общей сумме таргетных очагов; окончательная оценка ответа опухоли требует подтверждения через 4 нед</w:t>
            </w:r>
          </w:p>
        </w:tc>
      </w:tr>
      <w:tr w:rsidR="00C3791F">
        <w:trPr>
          <w:trHeight w:val="538"/>
        </w:trPr>
        <w:tc>
          <w:tcPr>
            <w:tcW w:w="3164"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0" w:right="151" w:firstLine="0"/>
              <w:jc w:val="center"/>
            </w:pPr>
            <w:r>
              <w:t>Стабилизация</w:t>
            </w:r>
          </w:p>
        </w:tc>
        <w:tc>
          <w:tcPr>
            <w:tcW w:w="6200" w:type="dxa"/>
            <w:tcBorders>
              <w:top w:val="single" w:sz="4" w:space="0" w:color="000000"/>
              <w:left w:val="single" w:sz="4" w:space="0" w:color="000000"/>
              <w:bottom w:val="single" w:sz="4" w:space="0" w:color="000000"/>
              <w:right w:val="single" w:sz="4" w:space="0" w:color="000000"/>
            </w:tcBorders>
          </w:tcPr>
          <w:p w:rsidR="00C3791F" w:rsidRDefault="00AE1F83">
            <w:pPr>
              <w:spacing w:after="0" w:line="259" w:lineRule="auto"/>
              <w:ind w:left="709" w:firstLine="0"/>
              <w:jc w:val="left"/>
            </w:pPr>
            <w:r>
              <w:t>Ничего из перечисленного</w:t>
            </w:r>
          </w:p>
        </w:tc>
      </w:tr>
    </w:tbl>
    <w:p w:rsidR="00C3791F" w:rsidRDefault="00AE1F83">
      <w:pPr>
        <w:spacing w:line="259" w:lineRule="auto"/>
        <w:ind w:left="861" w:right="189"/>
      </w:pPr>
      <w:r>
        <w:rPr>
          <w:b/>
        </w:rPr>
        <w:t>Ключ (интерпретация):</w:t>
      </w:r>
      <w:r>
        <w:t xml:space="preserve"> приведен в самой шкале.</w:t>
      </w:r>
    </w:p>
    <w:p w:rsidR="00C3791F" w:rsidRDefault="00C3791F">
      <w:pPr>
        <w:sectPr w:rsidR="00C3791F">
          <w:footerReference w:type="even" r:id="rId388"/>
          <w:footerReference w:type="default" r:id="rId389"/>
          <w:footerReference w:type="first" r:id="rId390"/>
          <w:pgSz w:w="11906" w:h="16838"/>
          <w:pgMar w:top="1134" w:right="661" w:bottom="2176" w:left="1561" w:header="720" w:footer="720" w:gutter="0"/>
          <w:cols w:space="720"/>
          <w:titlePg/>
        </w:sectPr>
      </w:pPr>
    </w:p>
    <w:p w:rsidR="00C3791F" w:rsidRDefault="00C3791F">
      <w:pPr>
        <w:spacing w:after="0" w:line="259" w:lineRule="auto"/>
        <w:ind w:left="-1440" w:right="10460" w:firstLine="0"/>
        <w:jc w:val="left"/>
      </w:pPr>
    </w:p>
    <w:tbl>
      <w:tblPr>
        <w:tblStyle w:val="TableGrid"/>
        <w:tblW w:w="10700" w:type="dxa"/>
        <w:tblInd w:w="-840" w:type="dxa"/>
        <w:tblCellMar>
          <w:top w:w="0" w:type="dxa"/>
          <w:left w:w="100" w:type="dxa"/>
          <w:bottom w:w="0" w:type="dxa"/>
          <w:right w:w="115" w:type="dxa"/>
        </w:tblCellMar>
        <w:tblLook w:val="04A0" w:firstRow="1" w:lastRow="0" w:firstColumn="1" w:lastColumn="0" w:noHBand="0" w:noVBand="1"/>
      </w:tblPr>
      <w:tblGrid>
        <w:gridCol w:w="10700"/>
      </w:tblGrid>
      <w:tr w:rsidR="00C3791F">
        <w:trPr>
          <w:trHeight w:val="8400"/>
        </w:trPr>
        <w:tc>
          <w:tcPr>
            <w:tcW w:w="10700" w:type="dxa"/>
            <w:tcBorders>
              <w:top w:val="single" w:sz="4" w:space="0" w:color="6393CF"/>
              <w:left w:val="single" w:sz="4" w:space="0" w:color="6393CF"/>
              <w:bottom w:val="single" w:sz="4" w:space="0" w:color="6393CF"/>
              <w:right w:val="single" w:sz="4" w:space="0" w:color="6393CF"/>
            </w:tcBorders>
            <w:vAlign w:val="center"/>
          </w:tcPr>
          <w:p w:rsidR="00C3791F" w:rsidRDefault="00AE1F83">
            <w:pPr>
              <w:spacing w:after="116" w:line="240" w:lineRule="auto"/>
              <w:ind w:left="0" w:firstLine="0"/>
              <w:jc w:val="center"/>
            </w:pPr>
            <w:r>
              <w:rPr>
                <w:rFonts w:ascii="Verdana" w:eastAsia="Verdana" w:hAnsi="Verdana" w:cs="Verdana"/>
                <w:b/>
                <w:color w:val="6393CF"/>
              </w:rPr>
              <w:t>Документподписанипереданчерезсистемуразработкииведения стандартовмедицинскойпомощи</w:t>
            </w:r>
          </w:p>
          <w:p w:rsidR="00C3791F" w:rsidRDefault="00AE1F83">
            <w:pPr>
              <w:tabs>
                <w:tab w:val="center" w:pos="1382"/>
                <w:tab w:val="center" w:pos="5926"/>
                <w:tab w:val="center" w:pos="8498"/>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Владелец сертификата: организация,</w:t>
            </w:r>
            <w:r>
              <w:rPr>
                <w:rFonts w:ascii="Verdana" w:eastAsia="Verdana" w:hAnsi="Verdana" w:cs="Verdana"/>
                <w:color w:val="6393CF"/>
                <w:sz w:val="14"/>
              </w:rPr>
              <w:tab/>
              <w:t>Сертификат: серийный номер, период</w:t>
            </w:r>
            <w:r>
              <w:rPr>
                <w:rFonts w:ascii="Verdana" w:eastAsia="Verdana" w:hAnsi="Verdana" w:cs="Verdana"/>
                <w:color w:val="6393CF"/>
                <w:sz w:val="14"/>
              </w:rPr>
              <w:tab/>
              <w:t>Дата и время подписания</w:t>
            </w:r>
          </w:p>
          <w:p w:rsidR="00C3791F" w:rsidRDefault="00AE1F83">
            <w:pPr>
              <w:tabs>
                <w:tab w:val="center" w:pos="374"/>
                <w:tab w:val="center" w:pos="4850"/>
              </w:tabs>
              <w:spacing w:after="450" w:line="259" w:lineRule="auto"/>
              <w:ind w:left="0" w:firstLine="0"/>
              <w:jc w:val="left"/>
            </w:pPr>
            <w:r>
              <w:rPr>
                <w:rFonts w:ascii="Calibri" w:eastAsia="Calibri" w:hAnsi="Calibri" w:cs="Calibri"/>
                <w:sz w:val="22"/>
              </w:rPr>
              <w:tab/>
            </w:r>
            <w:r>
              <w:rPr>
                <w:rFonts w:ascii="Verdana" w:eastAsia="Verdana" w:hAnsi="Verdana" w:cs="Verdana"/>
                <w:color w:val="6393CF"/>
                <w:sz w:val="14"/>
              </w:rPr>
              <w:t>сотрудник</w:t>
            </w:r>
            <w:r>
              <w:rPr>
                <w:rFonts w:ascii="Verdana" w:eastAsia="Verdana" w:hAnsi="Verdana" w:cs="Verdana"/>
                <w:color w:val="6393CF"/>
                <w:sz w:val="14"/>
              </w:rPr>
              <w:tab/>
              <w:t>действия</w:t>
            </w:r>
          </w:p>
          <w:p w:rsidR="00C3791F" w:rsidRDefault="00AE1F83">
            <w:pPr>
              <w:tabs>
                <w:tab w:val="center" w:pos="2045"/>
                <w:tab w:val="center" w:pos="5973"/>
                <w:tab w:val="center" w:pos="8322"/>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OID.1.2.643.100.4=7724295792, СНИЛС=07920654380,</w:t>
            </w:r>
            <w:r>
              <w:rPr>
                <w:rFonts w:ascii="Verdana" w:eastAsia="Verdana" w:hAnsi="Verdana" w:cs="Verdana"/>
                <w:color w:val="6393CF"/>
                <w:sz w:val="14"/>
              </w:rPr>
              <w:tab/>
              <w:t>02c240fe005ab37c814994c2ae77a3b813</w:t>
            </w:r>
            <w:r>
              <w:rPr>
                <w:rFonts w:ascii="Verdana" w:eastAsia="Verdana" w:hAnsi="Verdana" w:cs="Verdana"/>
                <w:color w:val="6393CF"/>
                <w:sz w:val="14"/>
              </w:rPr>
              <w:tab/>
              <w:t>2025.12.17 13:47:36</w:t>
            </w:r>
          </w:p>
          <w:p w:rsidR="00C3791F" w:rsidRDefault="00AE1F83">
            <w:pPr>
              <w:tabs>
                <w:tab w:val="center" w:pos="2182"/>
                <w:tab w:val="center" w:pos="5543"/>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ОГРН=1067799011378, ИНН=772458357024, C=RU, S=77 г</w:t>
            </w:r>
            <w:r>
              <w:rPr>
                <w:rFonts w:ascii="Verdana" w:eastAsia="Verdana" w:hAnsi="Verdana" w:cs="Verdana"/>
                <w:color w:val="6393CF"/>
                <w:sz w:val="14"/>
              </w:rPr>
              <w:tab/>
              <w:t>С 2025.09.16 по 2026.12.16</w:t>
            </w:r>
          </w:p>
          <w:p w:rsidR="00C3791F" w:rsidRDefault="00AE1F83">
            <w:pPr>
              <w:spacing w:after="0" w:line="246" w:lineRule="auto"/>
              <w:ind w:left="0" w:right="5937" w:firstLine="0"/>
              <w:jc w:val="left"/>
            </w:pPr>
            <w:r>
              <w:rPr>
                <w:rFonts w:ascii="Verdana" w:eastAsia="Verdana" w:hAnsi="Verdana" w:cs="Verdana"/>
                <w:color w:val="6393CF"/>
                <w:sz w:val="14"/>
              </w:rPr>
              <w:t xml:space="preserve">Москва, L=г Москва, STREET="пр-кт Вернадского, Д.29, ЭТАЖ 15 ПОМЕЩ. 1Н", </w:t>
            </w:r>
            <w:r>
              <w:rPr>
                <w:rFonts w:ascii="Verdana" w:eastAsia="Verdana" w:hAnsi="Verdana" w:cs="Verdana"/>
                <w:color w:val="6393CF"/>
                <w:sz w:val="14"/>
              </w:rPr>
              <w:t>O="ООО ""РОССИЙСКОЕ ОБЩЕСТВО</w:t>
            </w:r>
          </w:p>
          <w:p w:rsidR="00C3791F" w:rsidRDefault="00AE1F83">
            <w:pPr>
              <w:spacing w:after="240" w:line="259" w:lineRule="auto"/>
              <w:ind w:left="0" w:firstLine="0"/>
              <w:jc w:val="left"/>
            </w:pPr>
            <w:r>
              <w:rPr>
                <w:rFonts w:ascii="Verdana" w:eastAsia="Verdana" w:hAnsi="Verdana" w:cs="Verdana"/>
                <w:color w:val="6393CF"/>
                <w:sz w:val="14"/>
              </w:rPr>
              <w:t>ОНКОУРОЛОГОВ""", CN="ООО ""РОССИЙСКОЕ ОБЩЕСТВО</w:t>
            </w:r>
          </w:p>
          <w:p w:rsidR="00C3791F" w:rsidRDefault="00AE1F83">
            <w:pPr>
              <w:tabs>
                <w:tab w:val="center" w:pos="2045"/>
                <w:tab w:val="center" w:pos="5973"/>
                <w:tab w:val="center" w:pos="8322"/>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OID.1.2.643.100.4=7724295792, СНИЛС=07920654380,</w:t>
            </w:r>
            <w:r>
              <w:rPr>
                <w:rFonts w:ascii="Verdana" w:eastAsia="Verdana" w:hAnsi="Verdana" w:cs="Verdana"/>
                <w:color w:val="6393CF"/>
                <w:sz w:val="14"/>
              </w:rPr>
              <w:tab/>
              <w:t>02c240fe005ab37c814994c2ae77a3b813</w:t>
            </w:r>
            <w:r>
              <w:rPr>
                <w:rFonts w:ascii="Verdana" w:eastAsia="Verdana" w:hAnsi="Verdana" w:cs="Verdana"/>
                <w:color w:val="6393CF"/>
                <w:sz w:val="14"/>
              </w:rPr>
              <w:tab/>
              <w:t>2025.12.17 13:47:34</w:t>
            </w:r>
          </w:p>
          <w:p w:rsidR="00C3791F" w:rsidRDefault="00AE1F83">
            <w:pPr>
              <w:tabs>
                <w:tab w:val="center" w:pos="2182"/>
                <w:tab w:val="center" w:pos="5543"/>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ОГРН=1067799011378, ИНН=772458357024, C=RU, S=77 г</w:t>
            </w:r>
            <w:r>
              <w:rPr>
                <w:rFonts w:ascii="Verdana" w:eastAsia="Verdana" w:hAnsi="Verdana" w:cs="Verdana"/>
                <w:color w:val="6393CF"/>
                <w:sz w:val="14"/>
              </w:rPr>
              <w:tab/>
              <w:t xml:space="preserve">С 2025.09.16 по </w:t>
            </w:r>
            <w:r>
              <w:rPr>
                <w:rFonts w:ascii="Verdana" w:eastAsia="Verdana" w:hAnsi="Verdana" w:cs="Verdana"/>
                <w:color w:val="6393CF"/>
                <w:sz w:val="14"/>
              </w:rPr>
              <w:t>2026.12.16</w:t>
            </w:r>
          </w:p>
          <w:p w:rsidR="00C3791F" w:rsidRDefault="00AE1F83">
            <w:pPr>
              <w:spacing w:after="0" w:line="246" w:lineRule="auto"/>
              <w:ind w:left="0" w:right="5937" w:firstLine="0"/>
              <w:jc w:val="left"/>
            </w:pPr>
            <w:r>
              <w:rPr>
                <w:rFonts w:ascii="Verdana" w:eastAsia="Verdana" w:hAnsi="Verdana" w:cs="Verdana"/>
                <w:color w:val="6393CF"/>
                <w:sz w:val="14"/>
              </w:rPr>
              <w:t>Москва, L=г Москва, STREET="пр-кт Вернадского, Д.29, ЭТАЖ 15 ПОМЕЩ. 1Н", O="ООО ""РОССИЙСКОЕ ОБЩЕСТВО</w:t>
            </w:r>
          </w:p>
          <w:p w:rsidR="00C3791F" w:rsidRDefault="00AE1F83">
            <w:pPr>
              <w:spacing w:after="240" w:line="259" w:lineRule="auto"/>
              <w:ind w:left="0" w:firstLine="0"/>
              <w:jc w:val="left"/>
            </w:pPr>
            <w:r>
              <w:rPr>
                <w:rFonts w:ascii="Verdana" w:eastAsia="Verdana" w:hAnsi="Verdana" w:cs="Verdana"/>
                <w:color w:val="6393CF"/>
                <w:sz w:val="14"/>
              </w:rPr>
              <w:t>ОНКОУРОЛОГОВ""", CN="ООО ""РОССИЙСКОЕ ОБЩЕСТВО</w:t>
            </w:r>
          </w:p>
          <w:p w:rsidR="00C3791F" w:rsidRDefault="00AE1F83">
            <w:pPr>
              <w:tabs>
                <w:tab w:val="center" w:pos="1625"/>
                <w:tab w:val="center" w:pos="5864"/>
                <w:tab w:val="center" w:pos="8322"/>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ИНН=500907755303, СНИЛС=02682711856,</w:t>
            </w:r>
            <w:r>
              <w:rPr>
                <w:rFonts w:ascii="Verdana" w:eastAsia="Verdana" w:hAnsi="Verdana" w:cs="Verdana"/>
                <w:color w:val="6393CF"/>
                <w:sz w:val="14"/>
              </w:rPr>
              <w:tab/>
              <w:t>2fcc135a94bd9f9044b0e78d019adec4</w:t>
            </w:r>
            <w:r>
              <w:rPr>
                <w:rFonts w:ascii="Verdana" w:eastAsia="Verdana" w:hAnsi="Verdana" w:cs="Verdana"/>
                <w:color w:val="6393CF"/>
                <w:sz w:val="14"/>
              </w:rPr>
              <w:tab/>
              <w:t>2025.12.17 13:21:22</w:t>
            </w:r>
          </w:p>
          <w:p w:rsidR="00C3791F" w:rsidRDefault="00AE1F83">
            <w:pPr>
              <w:tabs>
                <w:tab w:val="center" w:pos="1573"/>
                <w:tab w:val="center" w:pos="5543"/>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E=ga</w:t>
            </w:r>
            <w:r>
              <w:rPr>
                <w:rFonts w:ascii="Verdana" w:eastAsia="Verdana" w:hAnsi="Verdana" w:cs="Verdana"/>
                <w:color w:val="6393CF"/>
                <w:sz w:val="14"/>
              </w:rPr>
              <w:t>zimiev_m_a@staff.sechenov.ru, C=RU,</w:t>
            </w:r>
            <w:r>
              <w:rPr>
                <w:rFonts w:ascii="Verdana" w:eastAsia="Verdana" w:hAnsi="Verdana" w:cs="Verdana"/>
                <w:color w:val="6393CF"/>
                <w:sz w:val="14"/>
              </w:rPr>
              <w:tab/>
              <w:t>С 2025.12.02 по 2026.12.02</w:t>
            </w:r>
          </w:p>
          <w:p w:rsidR="00C3791F" w:rsidRDefault="00AE1F83">
            <w:pPr>
              <w:spacing w:after="0" w:line="259" w:lineRule="auto"/>
              <w:ind w:left="0" w:firstLine="0"/>
              <w:jc w:val="left"/>
            </w:pPr>
            <w:r>
              <w:rPr>
                <w:rFonts w:ascii="Verdana" w:eastAsia="Verdana" w:hAnsi="Verdana" w:cs="Verdana"/>
                <w:color w:val="6393CF"/>
                <w:sz w:val="14"/>
              </w:rPr>
              <w:t>G=Магомед-салах Алхазурович, SN=Газимиев,</w:t>
            </w:r>
          </w:p>
          <w:p w:rsidR="00C3791F" w:rsidRDefault="00AE1F83">
            <w:pPr>
              <w:spacing w:after="410" w:line="259" w:lineRule="auto"/>
              <w:ind w:left="0" w:firstLine="0"/>
              <w:jc w:val="left"/>
            </w:pPr>
            <w:r>
              <w:rPr>
                <w:rFonts w:ascii="Verdana" w:eastAsia="Verdana" w:hAnsi="Verdana" w:cs="Verdana"/>
                <w:color w:val="6393CF"/>
                <w:sz w:val="14"/>
              </w:rPr>
              <w:t>CN=Газимиев Магомед-салах Алхазурович</w:t>
            </w:r>
          </w:p>
          <w:p w:rsidR="00C3791F" w:rsidRDefault="00AE1F83">
            <w:pPr>
              <w:tabs>
                <w:tab w:val="center" w:pos="1625"/>
                <w:tab w:val="center" w:pos="5864"/>
                <w:tab w:val="center" w:pos="8322"/>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ИНН=500907755303, СНИЛС=02682711856,</w:t>
            </w:r>
            <w:r>
              <w:rPr>
                <w:rFonts w:ascii="Verdana" w:eastAsia="Verdana" w:hAnsi="Verdana" w:cs="Verdana"/>
                <w:color w:val="6393CF"/>
                <w:sz w:val="14"/>
              </w:rPr>
              <w:tab/>
              <w:t>2fcc135a94bd9f9044b0e78d019adec4</w:t>
            </w:r>
            <w:r>
              <w:rPr>
                <w:rFonts w:ascii="Verdana" w:eastAsia="Verdana" w:hAnsi="Verdana" w:cs="Verdana"/>
                <w:color w:val="6393CF"/>
                <w:sz w:val="14"/>
              </w:rPr>
              <w:tab/>
              <w:t>2025.12.17 13:21:15</w:t>
            </w:r>
          </w:p>
          <w:p w:rsidR="00C3791F" w:rsidRDefault="00AE1F83">
            <w:pPr>
              <w:tabs>
                <w:tab w:val="center" w:pos="1573"/>
                <w:tab w:val="center" w:pos="5543"/>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E=gazimiev_m_a@staff.sechenov.ru, C=RU,</w:t>
            </w:r>
            <w:r>
              <w:rPr>
                <w:rFonts w:ascii="Verdana" w:eastAsia="Verdana" w:hAnsi="Verdana" w:cs="Verdana"/>
                <w:color w:val="6393CF"/>
                <w:sz w:val="14"/>
              </w:rPr>
              <w:tab/>
              <w:t>С 2025.12.02 по 2026.12.02</w:t>
            </w:r>
          </w:p>
          <w:p w:rsidR="00C3791F" w:rsidRDefault="00AE1F83">
            <w:pPr>
              <w:spacing w:after="0" w:line="259" w:lineRule="auto"/>
              <w:ind w:left="0" w:firstLine="0"/>
              <w:jc w:val="left"/>
            </w:pPr>
            <w:r>
              <w:rPr>
                <w:rFonts w:ascii="Verdana" w:eastAsia="Verdana" w:hAnsi="Verdana" w:cs="Verdana"/>
                <w:color w:val="6393CF"/>
                <w:sz w:val="14"/>
              </w:rPr>
              <w:t>G=Магомед-салах Алхазурович, SN=Газимиев,</w:t>
            </w:r>
          </w:p>
          <w:p w:rsidR="00C3791F" w:rsidRDefault="00AE1F83">
            <w:pPr>
              <w:spacing w:after="410" w:line="259" w:lineRule="auto"/>
              <w:ind w:left="0" w:firstLine="0"/>
              <w:jc w:val="left"/>
            </w:pPr>
            <w:r>
              <w:rPr>
                <w:rFonts w:ascii="Verdana" w:eastAsia="Verdana" w:hAnsi="Verdana" w:cs="Verdana"/>
                <w:color w:val="6393CF"/>
                <w:sz w:val="14"/>
              </w:rPr>
              <w:t>CN=Газимиев Магомед-салах Алхазурович</w:t>
            </w:r>
          </w:p>
          <w:p w:rsidR="00C3791F" w:rsidRDefault="00AE1F83">
            <w:pPr>
              <w:tabs>
                <w:tab w:val="center" w:pos="2045"/>
                <w:tab w:val="center" w:pos="6802"/>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OID.1.2.643.100.4=7704278213, СНИЛС=03499811996,</w:t>
            </w:r>
            <w:r>
              <w:rPr>
                <w:rFonts w:ascii="Verdana" w:eastAsia="Verdana" w:hAnsi="Verdana" w:cs="Verdana"/>
                <w:color w:val="6393CF"/>
                <w:sz w:val="14"/>
              </w:rPr>
              <w:tab/>
              <w:t>02c91a7900a6b29caa4dd90901444ed801 2025.12.15 16:10:59</w:t>
            </w:r>
          </w:p>
          <w:p w:rsidR="00C3791F" w:rsidRDefault="00AE1F83">
            <w:pPr>
              <w:tabs>
                <w:tab w:val="center" w:pos="1649"/>
                <w:tab w:val="center" w:pos="5543"/>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ОГР</w:t>
            </w:r>
            <w:r>
              <w:rPr>
                <w:rFonts w:ascii="Verdana" w:eastAsia="Verdana" w:hAnsi="Verdana" w:cs="Verdana"/>
                <w:color w:val="6393CF"/>
                <w:sz w:val="14"/>
              </w:rPr>
              <w:t>Н=1117799001462, ИНН=701802145259,</w:t>
            </w:r>
            <w:r>
              <w:rPr>
                <w:rFonts w:ascii="Verdana" w:eastAsia="Verdana" w:hAnsi="Verdana" w:cs="Verdana"/>
                <w:color w:val="6393CF"/>
                <w:sz w:val="14"/>
              </w:rPr>
              <w:tab/>
              <w:t>С 2025.03.20 по 2026.06.20</w:t>
            </w:r>
          </w:p>
          <w:p w:rsidR="00C3791F" w:rsidRDefault="00AE1F83">
            <w:pPr>
              <w:spacing w:after="249" w:line="246" w:lineRule="auto"/>
              <w:ind w:left="0" w:right="5740" w:firstLine="0"/>
              <w:jc w:val="left"/>
            </w:pPr>
            <w:r>
              <w:rPr>
                <w:rFonts w:ascii="Verdana" w:eastAsia="Verdana" w:hAnsi="Verdana" w:cs="Verdana"/>
                <w:color w:val="6393CF"/>
                <w:sz w:val="14"/>
              </w:rPr>
              <w:t>E=svasileva@russco.org, C=RU, S=77 город федерального значения Москва, L=ГОРОД МОСКВА, STREET="ТРУБНАЯ УЛ,ДОМ 25,КОРПУС 1", O="ОБЩЕРОССИЙСКАЯ</w:t>
            </w:r>
          </w:p>
          <w:p w:rsidR="00C3791F" w:rsidRDefault="00AE1F83">
            <w:pPr>
              <w:tabs>
                <w:tab w:val="center" w:pos="2045"/>
                <w:tab w:val="center" w:pos="6802"/>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OID.1.2.643.100.4=7714190568, СНИЛС=02153054900,</w:t>
            </w:r>
            <w:r>
              <w:rPr>
                <w:rFonts w:ascii="Verdana" w:eastAsia="Verdana" w:hAnsi="Verdana" w:cs="Verdana"/>
                <w:color w:val="6393CF"/>
                <w:sz w:val="14"/>
              </w:rPr>
              <w:tab/>
              <w:t>02eb1df80005b3dea342d958e3ba97d6ad 2025.12.15 10:24:04</w:t>
            </w:r>
          </w:p>
          <w:p w:rsidR="00C3791F" w:rsidRDefault="00AE1F83">
            <w:pPr>
              <w:tabs>
                <w:tab w:val="center" w:pos="1649"/>
                <w:tab w:val="center" w:pos="5543"/>
              </w:tabs>
              <w:spacing w:after="0" w:line="259" w:lineRule="auto"/>
              <w:ind w:left="0" w:firstLine="0"/>
              <w:jc w:val="left"/>
            </w:pPr>
            <w:r>
              <w:rPr>
                <w:rFonts w:ascii="Calibri" w:eastAsia="Calibri" w:hAnsi="Calibri" w:cs="Calibri"/>
                <w:sz w:val="22"/>
              </w:rPr>
              <w:tab/>
            </w:r>
            <w:r>
              <w:rPr>
                <w:rFonts w:ascii="Verdana" w:eastAsia="Verdana" w:hAnsi="Verdana" w:cs="Verdana"/>
                <w:color w:val="6393CF"/>
                <w:sz w:val="14"/>
              </w:rPr>
              <w:t>ОГРН=1057700011082, ИНН=773133300683,</w:t>
            </w:r>
            <w:r>
              <w:rPr>
                <w:rFonts w:ascii="Verdana" w:eastAsia="Verdana" w:hAnsi="Verdana" w:cs="Verdana"/>
                <w:color w:val="6393CF"/>
                <w:sz w:val="14"/>
              </w:rPr>
              <w:tab/>
              <w:t>С 2025.06.23 по 2026.09.23</w:t>
            </w:r>
          </w:p>
          <w:p w:rsidR="00C3791F" w:rsidRDefault="00AE1F83">
            <w:pPr>
              <w:spacing w:after="0" w:line="259" w:lineRule="auto"/>
              <w:ind w:left="0" w:right="5464" w:firstLine="0"/>
              <w:jc w:val="left"/>
            </w:pPr>
            <w:r>
              <w:rPr>
                <w:rFonts w:ascii="Verdana" w:eastAsia="Verdana" w:hAnsi="Verdana" w:cs="Verdana"/>
                <w:color w:val="6393CF"/>
                <w:sz w:val="14"/>
              </w:rPr>
              <w:t>E=l.papuk@oncology-association.ru, C=RU, S=77 город федерального значения Москва, L=ГО</w:t>
            </w:r>
            <w:r>
              <w:rPr>
                <w:rFonts w:ascii="Verdana" w:eastAsia="Verdana" w:hAnsi="Verdana" w:cs="Verdana"/>
                <w:color w:val="6393CF"/>
                <w:sz w:val="14"/>
              </w:rPr>
              <w:t>РОД МОСКВА, STREET="ПРИЧАЛЬНЫЙ ПРОЕЗД,ДОМ 8,КОРПУС</w:t>
            </w:r>
          </w:p>
        </w:tc>
      </w:tr>
    </w:tbl>
    <w:p w:rsidR="00000000" w:rsidRDefault="00AE1F83"/>
    <w:sectPr w:rsidR="00000000">
      <w:footerReference w:type="even" r:id="rId391"/>
      <w:footerReference w:type="default" r:id="rId392"/>
      <w:footerReference w:type="first" r:id="rId393"/>
      <w:pgSz w:w="11900" w:h="16840"/>
      <w:pgMar w:top="700" w:right="1440" w:bottom="1440" w:left="1440" w:header="720" w:footer="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E1F83">
      <w:pPr>
        <w:spacing w:after="0" w:line="240" w:lineRule="auto"/>
      </w:pPr>
      <w:r>
        <w:separator/>
      </w:r>
    </w:p>
  </w:endnote>
  <w:endnote w:type="continuationSeparator" w:id="0">
    <w:p w:rsidR="00000000" w:rsidRDefault="00AE1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91F" w:rsidRDefault="00AE1F83">
    <w:pPr>
      <w:spacing w:after="0" w:line="259" w:lineRule="auto"/>
      <w:ind w:left="663" w:firstLine="0"/>
      <w:jc w:val="center"/>
    </w:pPr>
    <w:r>
      <w:fldChar w:fldCharType="begin"/>
    </w:r>
    <w:r>
      <w:instrText xml:space="preserve"> PAGE   \* MERGEFORMAT </w:instrText>
    </w:r>
    <w:r>
      <w:fldChar w:fldCharType="separate"/>
    </w:r>
    <w:r>
      <w:rPr>
        <w:rFonts w:ascii="Calibri" w:eastAsia="Calibri" w:hAnsi="Calibri" w:cs="Calibri"/>
        <w:sz w:val="20"/>
      </w:rPr>
      <w:t>2</w:t>
    </w:r>
    <w:r>
      <w:rPr>
        <w:rFonts w:ascii="Calibri" w:eastAsia="Calibri" w:hAnsi="Calibri" w:cs="Calibr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91F" w:rsidRDefault="00AE1F83">
    <w:pPr>
      <w:spacing w:after="0" w:line="259" w:lineRule="auto"/>
      <w:ind w:left="663" w:firstLine="0"/>
      <w:jc w:val="center"/>
    </w:pPr>
    <w:r>
      <w:fldChar w:fldCharType="begin"/>
    </w:r>
    <w:r>
      <w:instrText xml:space="preserve"> PAGE   \* MERGEFORMAT </w:instrText>
    </w:r>
    <w:r>
      <w:fldChar w:fldCharType="separate"/>
    </w:r>
    <w:r>
      <w:rPr>
        <w:rFonts w:ascii="Calibri" w:eastAsia="Calibri" w:hAnsi="Calibri" w:cs="Calibri"/>
        <w:sz w:val="20"/>
      </w:rPr>
      <w:t>2</w:t>
    </w:r>
    <w:r>
      <w:rPr>
        <w:rFonts w:ascii="Calibri" w:eastAsia="Calibri" w:hAnsi="Calibri" w:cs="Calibr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91F" w:rsidRDefault="00C3791F">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91F" w:rsidRDefault="00C3791F">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91F" w:rsidRDefault="00C3791F">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91F" w:rsidRDefault="00C3791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E1F83">
      <w:pPr>
        <w:spacing w:after="0" w:line="240" w:lineRule="auto"/>
      </w:pPr>
      <w:r>
        <w:separator/>
      </w:r>
    </w:p>
  </w:footnote>
  <w:footnote w:type="continuationSeparator" w:id="0">
    <w:p w:rsidR="00000000" w:rsidRDefault="00AE1F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A12"/>
    <w:multiLevelType w:val="hybridMultilevel"/>
    <w:tmpl w:val="E3D2935A"/>
    <w:lvl w:ilvl="0" w:tplc="8A1E0344">
      <w:start w:val="1"/>
      <w:numFmt w:val="bullet"/>
      <w:lvlText w:val="•"/>
      <w:lvlJc w:val="left"/>
      <w:pPr>
        <w:ind w:left="1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2AD724">
      <w:start w:val="1"/>
      <w:numFmt w:val="bullet"/>
      <w:lvlText w:val="o"/>
      <w:lvlJc w:val="left"/>
      <w:pPr>
        <w:ind w:left="21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086E048">
      <w:start w:val="1"/>
      <w:numFmt w:val="bullet"/>
      <w:lvlText w:val="▪"/>
      <w:lvlJc w:val="left"/>
      <w:pPr>
        <w:ind w:left="28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162A690">
      <w:start w:val="1"/>
      <w:numFmt w:val="bullet"/>
      <w:lvlText w:val="•"/>
      <w:lvlJc w:val="left"/>
      <w:pPr>
        <w:ind w:left="35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390967E">
      <w:start w:val="1"/>
      <w:numFmt w:val="bullet"/>
      <w:lvlText w:val="o"/>
      <w:lvlJc w:val="left"/>
      <w:pPr>
        <w:ind w:left="43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F832C8">
      <w:start w:val="1"/>
      <w:numFmt w:val="bullet"/>
      <w:lvlText w:val="▪"/>
      <w:lvlJc w:val="left"/>
      <w:pPr>
        <w:ind w:left="50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C24810A">
      <w:start w:val="1"/>
      <w:numFmt w:val="bullet"/>
      <w:lvlText w:val="•"/>
      <w:lvlJc w:val="left"/>
      <w:pPr>
        <w:ind w:left="5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E2459E">
      <w:start w:val="1"/>
      <w:numFmt w:val="bullet"/>
      <w:lvlText w:val="o"/>
      <w:lvlJc w:val="left"/>
      <w:pPr>
        <w:ind w:left="64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E874D8">
      <w:start w:val="1"/>
      <w:numFmt w:val="bullet"/>
      <w:lvlText w:val="▪"/>
      <w:lvlJc w:val="left"/>
      <w:pPr>
        <w:ind w:left="7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AA1DEF"/>
    <w:multiLevelType w:val="hybridMultilevel"/>
    <w:tmpl w:val="0F1E68FC"/>
    <w:lvl w:ilvl="0" w:tplc="2BEC55CA">
      <w:start w:val="1"/>
      <w:numFmt w:val="bullet"/>
      <w:lvlText w:val="•"/>
      <w:lvlJc w:val="left"/>
      <w:pPr>
        <w:ind w:left="1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A85426">
      <w:start w:val="1"/>
      <w:numFmt w:val="bullet"/>
      <w:lvlText w:val="o"/>
      <w:lvlJc w:val="left"/>
      <w:pPr>
        <w:ind w:left="21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EA69FBC">
      <w:start w:val="1"/>
      <w:numFmt w:val="bullet"/>
      <w:lvlText w:val="▪"/>
      <w:lvlJc w:val="left"/>
      <w:pPr>
        <w:ind w:left="28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D26D020">
      <w:start w:val="1"/>
      <w:numFmt w:val="bullet"/>
      <w:lvlText w:val="•"/>
      <w:lvlJc w:val="left"/>
      <w:pPr>
        <w:ind w:left="35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409FA8">
      <w:start w:val="1"/>
      <w:numFmt w:val="bullet"/>
      <w:lvlText w:val="o"/>
      <w:lvlJc w:val="left"/>
      <w:pPr>
        <w:ind w:left="43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B8E0BBA">
      <w:start w:val="1"/>
      <w:numFmt w:val="bullet"/>
      <w:lvlText w:val="▪"/>
      <w:lvlJc w:val="left"/>
      <w:pPr>
        <w:ind w:left="50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3EABEC">
      <w:start w:val="1"/>
      <w:numFmt w:val="bullet"/>
      <w:lvlText w:val="•"/>
      <w:lvlJc w:val="left"/>
      <w:pPr>
        <w:ind w:left="5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D4DBBE">
      <w:start w:val="1"/>
      <w:numFmt w:val="bullet"/>
      <w:lvlText w:val="o"/>
      <w:lvlJc w:val="left"/>
      <w:pPr>
        <w:ind w:left="64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82AC86A">
      <w:start w:val="1"/>
      <w:numFmt w:val="bullet"/>
      <w:lvlText w:val="▪"/>
      <w:lvlJc w:val="left"/>
      <w:pPr>
        <w:ind w:left="7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FC29DF"/>
    <w:multiLevelType w:val="hybridMultilevel"/>
    <w:tmpl w:val="14FA152E"/>
    <w:lvl w:ilvl="0" w:tplc="08E471F2">
      <w:start w:val="1"/>
      <w:numFmt w:val="bullet"/>
      <w:lvlText w:val="•"/>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865E22">
      <w:start w:val="1"/>
      <w:numFmt w:val="bullet"/>
      <w:lvlText w:val="●"/>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2BAD9BE">
      <w:start w:val="1"/>
      <w:numFmt w:val="bullet"/>
      <w:lvlText w:val="▪"/>
      <w:lvlJc w:val="left"/>
      <w:pPr>
        <w:ind w:left="17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BA2746">
      <w:start w:val="1"/>
      <w:numFmt w:val="bullet"/>
      <w:lvlText w:val="•"/>
      <w:lvlJc w:val="left"/>
      <w:pPr>
        <w:ind w:left="2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066B62">
      <w:start w:val="1"/>
      <w:numFmt w:val="bullet"/>
      <w:lvlText w:val="o"/>
      <w:lvlJc w:val="left"/>
      <w:pPr>
        <w:ind w:left="3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C722CC8">
      <w:start w:val="1"/>
      <w:numFmt w:val="bullet"/>
      <w:lvlText w:val="▪"/>
      <w:lvlJc w:val="left"/>
      <w:pPr>
        <w:ind w:left="3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876D186">
      <w:start w:val="1"/>
      <w:numFmt w:val="bullet"/>
      <w:lvlText w:val="•"/>
      <w:lvlJc w:val="left"/>
      <w:pPr>
        <w:ind w:left="4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4B43C62">
      <w:start w:val="1"/>
      <w:numFmt w:val="bullet"/>
      <w:lvlText w:val="o"/>
      <w:lvlJc w:val="left"/>
      <w:pPr>
        <w:ind w:left="5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D40033A">
      <w:start w:val="1"/>
      <w:numFmt w:val="bullet"/>
      <w:lvlText w:val="▪"/>
      <w:lvlJc w:val="left"/>
      <w:pPr>
        <w:ind w:left="6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FF3E5D"/>
    <w:multiLevelType w:val="hybridMultilevel"/>
    <w:tmpl w:val="5EE884C2"/>
    <w:lvl w:ilvl="0" w:tplc="A654728A">
      <w:start w:val="1"/>
      <w:numFmt w:val="bullet"/>
      <w:lvlText w:val="•"/>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F6B324">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0CD8A8">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9AC28C">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324BE2">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4E1790">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940DC6">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C65592">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F059D2">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70E5694"/>
    <w:multiLevelType w:val="hybridMultilevel"/>
    <w:tmpl w:val="85466264"/>
    <w:lvl w:ilvl="0" w:tplc="2B1A10E2">
      <w:start w:val="1"/>
      <w:numFmt w:val="bullet"/>
      <w:lvlText w:val="•"/>
      <w:lvlJc w:val="left"/>
      <w:pPr>
        <w:ind w:left="8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888656">
      <w:start w:val="1"/>
      <w:numFmt w:val="bullet"/>
      <w:lvlText w:val="–"/>
      <w:lvlJc w:val="left"/>
      <w:pPr>
        <w:ind w:left="1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D2F544">
      <w:start w:val="1"/>
      <w:numFmt w:val="bullet"/>
      <w:lvlText w:val="▪"/>
      <w:lvlJc w:val="left"/>
      <w:pPr>
        <w:ind w:left="2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D4D022">
      <w:start w:val="1"/>
      <w:numFmt w:val="bullet"/>
      <w:lvlText w:val="•"/>
      <w:lvlJc w:val="left"/>
      <w:pPr>
        <w:ind w:left="3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1E5876">
      <w:start w:val="1"/>
      <w:numFmt w:val="bullet"/>
      <w:lvlText w:val="o"/>
      <w:lvlJc w:val="left"/>
      <w:pPr>
        <w:ind w:left="3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E05066">
      <w:start w:val="1"/>
      <w:numFmt w:val="bullet"/>
      <w:lvlText w:val="▪"/>
      <w:lvlJc w:val="left"/>
      <w:pPr>
        <w:ind w:left="4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0A4F54">
      <w:start w:val="1"/>
      <w:numFmt w:val="bullet"/>
      <w:lvlText w:val="•"/>
      <w:lvlJc w:val="left"/>
      <w:pPr>
        <w:ind w:left="5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BCA408">
      <w:start w:val="1"/>
      <w:numFmt w:val="bullet"/>
      <w:lvlText w:val="o"/>
      <w:lvlJc w:val="left"/>
      <w:pPr>
        <w:ind w:left="6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E0D750">
      <w:start w:val="1"/>
      <w:numFmt w:val="bullet"/>
      <w:lvlText w:val="▪"/>
      <w:lvlJc w:val="left"/>
      <w:pPr>
        <w:ind w:left="6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847449F"/>
    <w:multiLevelType w:val="hybridMultilevel"/>
    <w:tmpl w:val="7924C53C"/>
    <w:lvl w:ilvl="0" w:tplc="2B06D4B0">
      <w:start w:val="1"/>
      <w:numFmt w:val="lowerLetter"/>
      <w:lvlText w:val="%1."/>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E02BB2">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BCD7F2">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8066D0">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F28F52">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78DF74">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F2AE04">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0AFF92">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9CF7C8">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874E45"/>
    <w:multiLevelType w:val="hybridMultilevel"/>
    <w:tmpl w:val="043CD0B0"/>
    <w:lvl w:ilvl="0" w:tplc="7BB66F6C">
      <w:start w:val="1"/>
      <w:numFmt w:val="bullet"/>
      <w:lvlText w:val="•"/>
      <w:lvlJc w:val="left"/>
      <w:pPr>
        <w:ind w:left="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7C43B8">
      <w:start w:val="1"/>
      <w:numFmt w:val="bullet"/>
      <w:lvlText w:val="o"/>
      <w:lvlJc w:val="left"/>
      <w:pPr>
        <w:ind w:left="9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F228FDC">
      <w:start w:val="1"/>
      <w:numFmt w:val="bullet"/>
      <w:lvlText w:val="▪"/>
      <w:lvlJc w:val="left"/>
      <w:pPr>
        <w:ind w:left="168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4C6E7ADC">
      <w:start w:val="1"/>
      <w:numFmt w:val="bullet"/>
      <w:lvlText w:val="•"/>
      <w:lvlJc w:val="left"/>
      <w:pPr>
        <w:ind w:left="240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AD292A8">
      <w:start w:val="1"/>
      <w:numFmt w:val="bullet"/>
      <w:lvlText w:val="o"/>
      <w:lvlJc w:val="left"/>
      <w:pPr>
        <w:ind w:left="312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6EA03BE">
      <w:start w:val="1"/>
      <w:numFmt w:val="bullet"/>
      <w:lvlText w:val="▪"/>
      <w:lvlJc w:val="left"/>
      <w:pPr>
        <w:ind w:left="384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29A11AA">
      <w:start w:val="1"/>
      <w:numFmt w:val="bullet"/>
      <w:lvlText w:val="•"/>
      <w:lvlJc w:val="left"/>
      <w:pPr>
        <w:ind w:left="456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0C9E50BC">
      <w:start w:val="1"/>
      <w:numFmt w:val="bullet"/>
      <w:lvlText w:val="o"/>
      <w:lvlJc w:val="left"/>
      <w:pPr>
        <w:ind w:left="52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B2E473C0">
      <w:start w:val="1"/>
      <w:numFmt w:val="bullet"/>
      <w:lvlText w:val="▪"/>
      <w:lvlJc w:val="left"/>
      <w:pPr>
        <w:ind w:left="600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8E972D1"/>
    <w:multiLevelType w:val="hybridMultilevel"/>
    <w:tmpl w:val="15887BDA"/>
    <w:lvl w:ilvl="0" w:tplc="F808DD08">
      <w:start w:val="1"/>
      <w:numFmt w:val="bullet"/>
      <w:lvlText w:val="–"/>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D8E28D2">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76C7C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946B69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0CFC64">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AD259B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D42F10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F40568">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59AFEF0">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9036FCE"/>
    <w:multiLevelType w:val="hybridMultilevel"/>
    <w:tmpl w:val="EBC8074C"/>
    <w:lvl w:ilvl="0" w:tplc="580632F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DC6CE4A">
      <w:start w:val="1"/>
      <w:numFmt w:val="bullet"/>
      <w:lvlText w:val="o"/>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F2EB528">
      <w:start w:val="1"/>
      <w:numFmt w:val="bullet"/>
      <w:lvlRestart w:val="0"/>
      <w:lvlText w:val="–"/>
      <w:lvlJc w:val="left"/>
      <w:pPr>
        <w:ind w:left="1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256C7DE">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C83A34">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DB058A6">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2920CB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1015A4">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AB87704">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ABD1505"/>
    <w:multiLevelType w:val="hybridMultilevel"/>
    <w:tmpl w:val="1EEA4840"/>
    <w:lvl w:ilvl="0" w:tplc="42E4954A">
      <w:start w:val="1"/>
      <w:numFmt w:val="decimal"/>
      <w:lvlText w:val="%1)"/>
      <w:lvlJc w:val="left"/>
      <w:pPr>
        <w:ind w:left="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062F9C">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5AF4F0">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DEE928">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A8D368">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847742">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B4170E">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4A2544">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66DC1C">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C704788"/>
    <w:multiLevelType w:val="hybridMultilevel"/>
    <w:tmpl w:val="C2328C20"/>
    <w:lvl w:ilvl="0" w:tplc="42D8E35E">
      <w:start w:val="1"/>
      <w:numFmt w:val="decimal"/>
      <w:lvlText w:val="%1)"/>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501976">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2E9DB4">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1AE00A">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7E038C">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1A879E">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5E0D8E">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90376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C27620">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21B4D99"/>
    <w:multiLevelType w:val="multilevel"/>
    <w:tmpl w:val="37AC33E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1">
      <w:start w:val="2"/>
      <w:numFmt w:val="decimal"/>
      <w:lvlText w:val="%1.%2"/>
      <w:lvlJc w:val="left"/>
      <w:pPr>
        <w:ind w:left="361"/>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2">
      <w:start w:val="2"/>
      <w:numFmt w:val="decimal"/>
      <w:lvlText w:val="%1.%2.%3."/>
      <w:lvlJc w:val="left"/>
      <w:pPr>
        <w:ind w:left="727"/>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108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180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252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324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396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468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abstractNum>
  <w:abstractNum w:abstractNumId="12" w15:restartNumberingAfterBreak="0">
    <w:nsid w:val="122F524A"/>
    <w:multiLevelType w:val="hybridMultilevel"/>
    <w:tmpl w:val="74EC0DBA"/>
    <w:lvl w:ilvl="0" w:tplc="025A91D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4032D4">
      <w:start w:val="1"/>
      <w:numFmt w:val="bullet"/>
      <w:lvlText w:val="o"/>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7BC8B0C">
      <w:start w:val="1"/>
      <w:numFmt w:val="bullet"/>
      <w:lvlRestart w:val="0"/>
      <w:lvlText w:val="–"/>
      <w:lvlJc w:val="left"/>
      <w:pPr>
        <w:ind w:left="1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772CA1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1A3EFC">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AE3782">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A0A7D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B6305E">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B4415CA">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8D52B3"/>
    <w:multiLevelType w:val="hybridMultilevel"/>
    <w:tmpl w:val="D66A3A10"/>
    <w:lvl w:ilvl="0" w:tplc="C6AE980A">
      <w:start w:val="1"/>
      <w:numFmt w:val="bullet"/>
      <w:lvlText w:val="•"/>
      <w:lvlJc w:val="left"/>
      <w:pPr>
        <w:ind w:left="1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225F6">
      <w:start w:val="1"/>
      <w:numFmt w:val="bullet"/>
      <w:lvlText w:val="o"/>
      <w:lvlJc w:val="left"/>
      <w:pPr>
        <w:ind w:left="21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DA9194">
      <w:start w:val="1"/>
      <w:numFmt w:val="bullet"/>
      <w:lvlText w:val="▪"/>
      <w:lvlJc w:val="left"/>
      <w:pPr>
        <w:ind w:left="28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856DA56">
      <w:start w:val="1"/>
      <w:numFmt w:val="bullet"/>
      <w:lvlText w:val="•"/>
      <w:lvlJc w:val="left"/>
      <w:pPr>
        <w:ind w:left="35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3809CC">
      <w:start w:val="1"/>
      <w:numFmt w:val="bullet"/>
      <w:lvlText w:val="o"/>
      <w:lvlJc w:val="left"/>
      <w:pPr>
        <w:ind w:left="43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6C9302">
      <w:start w:val="1"/>
      <w:numFmt w:val="bullet"/>
      <w:lvlText w:val="▪"/>
      <w:lvlJc w:val="left"/>
      <w:pPr>
        <w:ind w:left="50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BFA6964">
      <w:start w:val="1"/>
      <w:numFmt w:val="bullet"/>
      <w:lvlText w:val="•"/>
      <w:lvlJc w:val="left"/>
      <w:pPr>
        <w:ind w:left="5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884E32">
      <w:start w:val="1"/>
      <w:numFmt w:val="bullet"/>
      <w:lvlText w:val="o"/>
      <w:lvlJc w:val="left"/>
      <w:pPr>
        <w:ind w:left="64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E88EF00">
      <w:start w:val="1"/>
      <w:numFmt w:val="bullet"/>
      <w:lvlText w:val="▪"/>
      <w:lvlJc w:val="left"/>
      <w:pPr>
        <w:ind w:left="7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5DE2464"/>
    <w:multiLevelType w:val="hybridMultilevel"/>
    <w:tmpl w:val="70001FB2"/>
    <w:lvl w:ilvl="0" w:tplc="68FE5656">
      <w:start w:val="1"/>
      <w:numFmt w:val="decimal"/>
      <w:lvlText w:val="%1."/>
      <w:lvlJc w:val="left"/>
      <w:pPr>
        <w:ind w:left="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0C59B0">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8CEDD4">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7A585C">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76036E">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6A188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14211C">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A8E120">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1E5070">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88011E1"/>
    <w:multiLevelType w:val="hybridMultilevel"/>
    <w:tmpl w:val="357ADB6A"/>
    <w:lvl w:ilvl="0" w:tplc="FB548A8E">
      <w:start w:val="1"/>
      <w:numFmt w:val="bullet"/>
      <w:lvlText w:val="•"/>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829D3A">
      <w:start w:val="1"/>
      <w:numFmt w:val="bullet"/>
      <w:lvlText w:val="o"/>
      <w:lvlJc w:val="left"/>
      <w:pPr>
        <w:ind w:left="2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E2521E">
      <w:start w:val="1"/>
      <w:numFmt w:val="bullet"/>
      <w:lvlText w:val="▪"/>
      <w:lvlJc w:val="left"/>
      <w:pPr>
        <w:ind w:left="2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CAFBF6">
      <w:start w:val="1"/>
      <w:numFmt w:val="bullet"/>
      <w:lvlText w:val="•"/>
      <w:lvlJc w:val="left"/>
      <w:pPr>
        <w:ind w:left="3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92B74E">
      <w:start w:val="1"/>
      <w:numFmt w:val="bullet"/>
      <w:lvlText w:val="o"/>
      <w:lvlJc w:val="left"/>
      <w:pPr>
        <w:ind w:left="4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D024F4">
      <w:start w:val="1"/>
      <w:numFmt w:val="bullet"/>
      <w:lvlText w:val="▪"/>
      <w:lvlJc w:val="left"/>
      <w:pPr>
        <w:ind w:left="5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C2AD52">
      <w:start w:val="1"/>
      <w:numFmt w:val="bullet"/>
      <w:lvlText w:val="•"/>
      <w:lvlJc w:val="left"/>
      <w:pPr>
        <w:ind w:left="5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4449E2">
      <w:start w:val="1"/>
      <w:numFmt w:val="bullet"/>
      <w:lvlText w:val="o"/>
      <w:lvlJc w:val="left"/>
      <w:pPr>
        <w:ind w:left="6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981E78">
      <w:start w:val="1"/>
      <w:numFmt w:val="bullet"/>
      <w:lvlText w:val="▪"/>
      <w:lvlJc w:val="left"/>
      <w:pPr>
        <w:ind w:left="7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8BE603F"/>
    <w:multiLevelType w:val="hybridMultilevel"/>
    <w:tmpl w:val="36388AF6"/>
    <w:lvl w:ilvl="0" w:tplc="9FE207A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E03BD2">
      <w:start w:val="1"/>
      <w:numFmt w:val="bullet"/>
      <w:lvlText w:val="o"/>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5A0D578">
      <w:start w:val="1"/>
      <w:numFmt w:val="bullet"/>
      <w:lvlRestart w:val="0"/>
      <w:lvlText w:val="–"/>
      <w:lvlJc w:val="left"/>
      <w:pPr>
        <w:ind w:left="1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E943D0E">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36F5AA">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80EDE0E">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60597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032EDE8">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0FE76AC">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917495A"/>
    <w:multiLevelType w:val="hybridMultilevel"/>
    <w:tmpl w:val="9716CD06"/>
    <w:lvl w:ilvl="0" w:tplc="DBEEE782">
      <w:start w:val="1"/>
      <w:numFmt w:val="lowerLetter"/>
      <w:lvlText w:val="%1."/>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BA61CC">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18D3EA">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F2EF9C">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A0FCD0">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CD4E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C62D6A">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64DC44">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2EC5F0">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9F45894"/>
    <w:multiLevelType w:val="hybridMultilevel"/>
    <w:tmpl w:val="032C1412"/>
    <w:lvl w:ilvl="0" w:tplc="45C4F5D6">
      <w:start w:val="1"/>
      <w:numFmt w:val="decimal"/>
      <w:lvlText w:val="%1)"/>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EEFE24">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B0AE7A">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589898">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0E2A68">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1A1584">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DA1B60">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187BF2">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C68422">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DE05341"/>
    <w:multiLevelType w:val="hybridMultilevel"/>
    <w:tmpl w:val="7832817A"/>
    <w:lvl w:ilvl="0" w:tplc="8E9C7634">
      <w:start w:val="2"/>
      <w:numFmt w:val="decimal"/>
      <w:lvlText w:val="%1."/>
      <w:lvlJc w:val="left"/>
      <w:pPr>
        <w:ind w:left="1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8099DC">
      <w:start w:val="1"/>
      <w:numFmt w:val="lowerLetter"/>
      <w:lvlText w:val="%2"/>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BE4C02">
      <w:start w:val="1"/>
      <w:numFmt w:val="lowerRoman"/>
      <w:lvlText w:val="%3"/>
      <w:lvlJc w:val="left"/>
      <w:pPr>
        <w:ind w:left="2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D08B72">
      <w:start w:val="1"/>
      <w:numFmt w:val="decimal"/>
      <w:lvlText w:val="%4"/>
      <w:lvlJc w:val="left"/>
      <w:pPr>
        <w:ind w:left="3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424312">
      <w:start w:val="1"/>
      <w:numFmt w:val="lowerLetter"/>
      <w:lvlText w:val="%5"/>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10A9D4">
      <w:start w:val="1"/>
      <w:numFmt w:val="lowerRoman"/>
      <w:lvlText w:val="%6"/>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4C8870">
      <w:start w:val="1"/>
      <w:numFmt w:val="decimal"/>
      <w:lvlText w:val="%7"/>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7C1B9E">
      <w:start w:val="1"/>
      <w:numFmt w:val="lowerLetter"/>
      <w:lvlText w:val="%8"/>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427954">
      <w:start w:val="1"/>
      <w:numFmt w:val="lowerRoman"/>
      <w:lvlText w:val="%9"/>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E3A4570"/>
    <w:multiLevelType w:val="hybridMultilevel"/>
    <w:tmpl w:val="3668A9F8"/>
    <w:lvl w:ilvl="0" w:tplc="0BCCE894">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189C96EE">
      <w:start w:val="1"/>
      <w:numFmt w:val="bullet"/>
      <w:lvlRestart w:val="0"/>
      <w:lvlText w:val="o"/>
      <w:lvlJc w:val="left"/>
      <w:pPr>
        <w:ind w:left="7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A3A254C">
      <w:start w:val="1"/>
      <w:numFmt w:val="bullet"/>
      <w:lvlText w:val="▪"/>
      <w:lvlJc w:val="left"/>
      <w:pPr>
        <w:ind w:left="142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898D6D6">
      <w:start w:val="1"/>
      <w:numFmt w:val="bullet"/>
      <w:lvlText w:val="•"/>
      <w:lvlJc w:val="left"/>
      <w:pPr>
        <w:ind w:left="214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D502C22">
      <w:start w:val="1"/>
      <w:numFmt w:val="bullet"/>
      <w:lvlText w:val="o"/>
      <w:lvlJc w:val="left"/>
      <w:pPr>
        <w:ind w:left="286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A584A96">
      <w:start w:val="1"/>
      <w:numFmt w:val="bullet"/>
      <w:lvlText w:val="▪"/>
      <w:lvlJc w:val="left"/>
      <w:pPr>
        <w:ind w:left="358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99E99B0">
      <w:start w:val="1"/>
      <w:numFmt w:val="bullet"/>
      <w:lvlText w:val="•"/>
      <w:lvlJc w:val="left"/>
      <w:pPr>
        <w:ind w:left="430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636EE556">
      <w:start w:val="1"/>
      <w:numFmt w:val="bullet"/>
      <w:lvlText w:val="o"/>
      <w:lvlJc w:val="left"/>
      <w:pPr>
        <w:ind w:left="502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2644BF8">
      <w:start w:val="1"/>
      <w:numFmt w:val="bullet"/>
      <w:lvlText w:val="▪"/>
      <w:lvlJc w:val="left"/>
      <w:pPr>
        <w:ind w:left="574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FAC43FD"/>
    <w:multiLevelType w:val="hybridMultilevel"/>
    <w:tmpl w:val="0CEE82B8"/>
    <w:lvl w:ilvl="0" w:tplc="3AEA95C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0726790">
      <w:start w:val="1"/>
      <w:numFmt w:val="bullet"/>
      <w:lvlRestart w:val="0"/>
      <w:lvlText w:val="–"/>
      <w:lvlJc w:val="left"/>
      <w:pPr>
        <w:ind w:left="22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8125B98">
      <w:start w:val="1"/>
      <w:numFmt w:val="bullet"/>
      <w:lvlText w:val="▪"/>
      <w:lvlJc w:val="left"/>
      <w:pPr>
        <w:ind w:left="28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2BA1C88">
      <w:start w:val="1"/>
      <w:numFmt w:val="bullet"/>
      <w:lvlText w:val="•"/>
      <w:lvlJc w:val="left"/>
      <w:pPr>
        <w:ind w:left="3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2B8AE14">
      <w:start w:val="1"/>
      <w:numFmt w:val="bullet"/>
      <w:lvlText w:val="o"/>
      <w:lvlJc w:val="left"/>
      <w:pPr>
        <w:ind w:left="42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7369736">
      <w:start w:val="1"/>
      <w:numFmt w:val="bullet"/>
      <w:lvlText w:val="▪"/>
      <w:lvlJc w:val="left"/>
      <w:pPr>
        <w:ind w:left="50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66A51B6">
      <w:start w:val="1"/>
      <w:numFmt w:val="bullet"/>
      <w:lvlText w:val="•"/>
      <w:lvlJc w:val="left"/>
      <w:pPr>
        <w:ind w:left="5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E83862">
      <w:start w:val="1"/>
      <w:numFmt w:val="bullet"/>
      <w:lvlText w:val="o"/>
      <w:lvlJc w:val="left"/>
      <w:pPr>
        <w:ind w:left="6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222F8DE">
      <w:start w:val="1"/>
      <w:numFmt w:val="bullet"/>
      <w:lvlText w:val="▪"/>
      <w:lvlJc w:val="left"/>
      <w:pPr>
        <w:ind w:left="7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4DB1BEE"/>
    <w:multiLevelType w:val="hybridMultilevel"/>
    <w:tmpl w:val="70F2510A"/>
    <w:lvl w:ilvl="0" w:tplc="46F44DC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30535A">
      <w:start w:val="1"/>
      <w:numFmt w:val="bullet"/>
      <w:lvlText w:val="o"/>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F70954E">
      <w:start w:val="1"/>
      <w:numFmt w:val="bullet"/>
      <w:lvlRestart w:val="0"/>
      <w:lvlText w:val="–"/>
      <w:lvlJc w:val="left"/>
      <w:pPr>
        <w:ind w:left="1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CB7FA">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480458">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348D59C">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1268C3A">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4CC580C">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A58D34C">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A437CC3"/>
    <w:multiLevelType w:val="hybridMultilevel"/>
    <w:tmpl w:val="2E62B4F8"/>
    <w:lvl w:ilvl="0" w:tplc="2DFCA81E">
      <w:start w:val="1"/>
      <w:numFmt w:val="decimal"/>
      <w:lvlText w:val="%1)"/>
      <w:lvlJc w:val="left"/>
      <w:pPr>
        <w:ind w:left="2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882518">
      <w:start w:val="1"/>
      <w:numFmt w:val="lowerLetter"/>
      <w:lvlText w:val="%2"/>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1A46BE">
      <w:start w:val="1"/>
      <w:numFmt w:val="lowerRoman"/>
      <w:lvlText w:val="%3"/>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2773A">
      <w:start w:val="1"/>
      <w:numFmt w:val="decimal"/>
      <w:lvlText w:val="%4"/>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A88366">
      <w:start w:val="1"/>
      <w:numFmt w:val="lowerLetter"/>
      <w:lvlText w:val="%5"/>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A6158">
      <w:start w:val="1"/>
      <w:numFmt w:val="lowerRoman"/>
      <w:lvlText w:val="%6"/>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D0A1A8">
      <w:start w:val="1"/>
      <w:numFmt w:val="decimal"/>
      <w:lvlText w:val="%7"/>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823052">
      <w:start w:val="1"/>
      <w:numFmt w:val="lowerLetter"/>
      <w:lvlText w:val="%8"/>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429FDC">
      <w:start w:val="1"/>
      <w:numFmt w:val="lowerRoman"/>
      <w:lvlText w:val="%9"/>
      <w:lvlJc w:val="left"/>
      <w:pPr>
        <w:ind w:left="7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C963A5F"/>
    <w:multiLevelType w:val="hybridMultilevel"/>
    <w:tmpl w:val="387C6E4C"/>
    <w:lvl w:ilvl="0" w:tplc="EE608C5A">
      <w:start w:val="1"/>
      <w:numFmt w:val="bullet"/>
      <w:lvlText w:val="●"/>
      <w:lvlJc w:val="left"/>
      <w:pPr>
        <w:ind w:left="15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DFA5A58">
      <w:start w:val="1"/>
      <w:numFmt w:val="bullet"/>
      <w:lvlText w:val="o"/>
      <w:lvlJc w:val="left"/>
      <w:pPr>
        <w:ind w:left="2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9E88F0">
      <w:start w:val="1"/>
      <w:numFmt w:val="bullet"/>
      <w:lvlText w:val="▪"/>
      <w:lvlJc w:val="left"/>
      <w:pPr>
        <w:ind w:left="28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F301F78">
      <w:start w:val="1"/>
      <w:numFmt w:val="bullet"/>
      <w:lvlText w:val="•"/>
      <w:lvlJc w:val="left"/>
      <w:pPr>
        <w:ind w:left="35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AE3100">
      <w:start w:val="1"/>
      <w:numFmt w:val="bullet"/>
      <w:lvlText w:val="o"/>
      <w:lvlJc w:val="left"/>
      <w:pPr>
        <w:ind w:left="43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322FFE0">
      <w:start w:val="1"/>
      <w:numFmt w:val="bullet"/>
      <w:lvlText w:val="▪"/>
      <w:lvlJc w:val="left"/>
      <w:pPr>
        <w:ind w:left="50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316B7CC">
      <w:start w:val="1"/>
      <w:numFmt w:val="bullet"/>
      <w:lvlText w:val="•"/>
      <w:lvlJc w:val="left"/>
      <w:pPr>
        <w:ind w:left="57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2E04FA8">
      <w:start w:val="1"/>
      <w:numFmt w:val="bullet"/>
      <w:lvlText w:val="o"/>
      <w:lvlJc w:val="left"/>
      <w:pPr>
        <w:ind w:left="64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3E8AA44">
      <w:start w:val="1"/>
      <w:numFmt w:val="bullet"/>
      <w:lvlText w:val="▪"/>
      <w:lvlJc w:val="left"/>
      <w:pPr>
        <w:ind w:left="71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E4B28BE"/>
    <w:multiLevelType w:val="hybridMultilevel"/>
    <w:tmpl w:val="86DC271E"/>
    <w:lvl w:ilvl="0" w:tplc="1B201510">
      <w:start w:val="1"/>
      <w:numFmt w:val="bullet"/>
      <w:lvlText w:val="●"/>
      <w:lvlJc w:val="left"/>
      <w:pPr>
        <w:ind w:left="8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5EAFBDA">
      <w:start w:val="2"/>
      <w:numFmt w:val="decimal"/>
      <w:lvlRestart w:val="0"/>
      <w:lvlText w:val="%2)"/>
      <w:lvlJc w:val="left"/>
      <w:pPr>
        <w:ind w:left="12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6DC7878">
      <w:start w:val="1"/>
      <w:numFmt w:val="lowerRoman"/>
      <w:lvlText w:val="%3"/>
      <w:lvlJc w:val="left"/>
      <w:pPr>
        <w:ind w:left="14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79C55DE">
      <w:start w:val="1"/>
      <w:numFmt w:val="decimal"/>
      <w:lvlText w:val="%4"/>
      <w:lvlJc w:val="left"/>
      <w:pPr>
        <w:ind w:left="21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62CECFC">
      <w:start w:val="1"/>
      <w:numFmt w:val="lowerLetter"/>
      <w:lvlText w:val="%5"/>
      <w:lvlJc w:val="left"/>
      <w:pPr>
        <w:ind w:left="28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8E2F442">
      <w:start w:val="1"/>
      <w:numFmt w:val="lowerRoman"/>
      <w:lvlText w:val="%6"/>
      <w:lvlJc w:val="left"/>
      <w:pPr>
        <w:ind w:left="35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D9402DA">
      <w:start w:val="1"/>
      <w:numFmt w:val="decimal"/>
      <w:lvlText w:val="%7"/>
      <w:lvlJc w:val="left"/>
      <w:pPr>
        <w:ind w:left="43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8E25DE6">
      <w:start w:val="1"/>
      <w:numFmt w:val="lowerLetter"/>
      <w:lvlText w:val="%8"/>
      <w:lvlJc w:val="left"/>
      <w:pPr>
        <w:ind w:left="50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082D7EA">
      <w:start w:val="1"/>
      <w:numFmt w:val="lowerRoman"/>
      <w:lvlText w:val="%9"/>
      <w:lvlJc w:val="left"/>
      <w:pPr>
        <w:ind w:left="57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1705F08"/>
    <w:multiLevelType w:val="hybridMultilevel"/>
    <w:tmpl w:val="FB4E71FC"/>
    <w:lvl w:ilvl="0" w:tplc="622211E0">
      <w:start w:val="1"/>
      <w:numFmt w:val="bullet"/>
      <w:lvlText w:val="•"/>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437B0">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32A8CC">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84A672">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E817EE">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2C6012">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C8364A">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E87270">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300178">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5DE516B"/>
    <w:multiLevelType w:val="hybridMultilevel"/>
    <w:tmpl w:val="8BAE0AEE"/>
    <w:lvl w:ilvl="0" w:tplc="C9F43A94">
      <w:start w:val="1"/>
      <w:numFmt w:val="bullet"/>
      <w:lvlText w:val="●"/>
      <w:lvlJc w:val="left"/>
      <w:pPr>
        <w:ind w:left="15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3D6FC20">
      <w:start w:val="1"/>
      <w:numFmt w:val="bullet"/>
      <w:lvlText w:val="o"/>
      <w:lvlJc w:val="left"/>
      <w:pPr>
        <w:ind w:left="17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A204F80">
      <w:start w:val="1"/>
      <w:numFmt w:val="bullet"/>
      <w:lvlText w:val="▪"/>
      <w:lvlJc w:val="left"/>
      <w:pPr>
        <w:ind w:left="25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29A2E4A">
      <w:start w:val="1"/>
      <w:numFmt w:val="bullet"/>
      <w:lvlText w:val="•"/>
      <w:lvlJc w:val="left"/>
      <w:pPr>
        <w:ind w:left="3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0CE8CDA">
      <w:start w:val="1"/>
      <w:numFmt w:val="bullet"/>
      <w:lvlText w:val="o"/>
      <w:lvlJc w:val="left"/>
      <w:pPr>
        <w:ind w:left="3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AFAD748">
      <w:start w:val="1"/>
      <w:numFmt w:val="bullet"/>
      <w:lvlText w:val="▪"/>
      <w:lvlJc w:val="left"/>
      <w:pPr>
        <w:ind w:left="4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FB29AD6">
      <w:start w:val="1"/>
      <w:numFmt w:val="bullet"/>
      <w:lvlText w:val="•"/>
      <w:lvlJc w:val="left"/>
      <w:pPr>
        <w:ind w:left="5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5ECF672">
      <w:start w:val="1"/>
      <w:numFmt w:val="bullet"/>
      <w:lvlText w:val="o"/>
      <w:lvlJc w:val="left"/>
      <w:pPr>
        <w:ind w:left="6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42095A0">
      <w:start w:val="1"/>
      <w:numFmt w:val="bullet"/>
      <w:lvlText w:val="▪"/>
      <w:lvlJc w:val="left"/>
      <w:pPr>
        <w:ind w:left="6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35FE077C"/>
    <w:multiLevelType w:val="hybridMultilevel"/>
    <w:tmpl w:val="A3BE1F1C"/>
    <w:lvl w:ilvl="0" w:tplc="CA34C36E">
      <w:start w:val="1"/>
      <w:numFmt w:val="bullet"/>
      <w:lvlText w:val="•"/>
      <w:lvlJc w:val="left"/>
      <w:pPr>
        <w:ind w:left="1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80FAC">
      <w:start w:val="1"/>
      <w:numFmt w:val="bullet"/>
      <w:lvlText w:val="o"/>
      <w:lvlJc w:val="left"/>
      <w:pPr>
        <w:ind w:left="21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B61BDA">
      <w:start w:val="1"/>
      <w:numFmt w:val="bullet"/>
      <w:lvlText w:val="▪"/>
      <w:lvlJc w:val="left"/>
      <w:pPr>
        <w:ind w:left="28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B8E46C">
      <w:start w:val="1"/>
      <w:numFmt w:val="bullet"/>
      <w:lvlText w:val="•"/>
      <w:lvlJc w:val="left"/>
      <w:pPr>
        <w:ind w:left="35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AAE93C">
      <w:start w:val="1"/>
      <w:numFmt w:val="bullet"/>
      <w:lvlText w:val="o"/>
      <w:lvlJc w:val="left"/>
      <w:pPr>
        <w:ind w:left="43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582EB46">
      <w:start w:val="1"/>
      <w:numFmt w:val="bullet"/>
      <w:lvlText w:val="▪"/>
      <w:lvlJc w:val="left"/>
      <w:pPr>
        <w:ind w:left="50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194E562">
      <w:start w:val="1"/>
      <w:numFmt w:val="bullet"/>
      <w:lvlText w:val="•"/>
      <w:lvlJc w:val="left"/>
      <w:pPr>
        <w:ind w:left="5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48872A">
      <w:start w:val="1"/>
      <w:numFmt w:val="bullet"/>
      <w:lvlText w:val="o"/>
      <w:lvlJc w:val="left"/>
      <w:pPr>
        <w:ind w:left="6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14D62C">
      <w:start w:val="1"/>
      <w:numFmt w:val="bullet"/>
      <w:lvlText w:val="▪"/>
      <w:lvlJc w:val="left"/>
      <w:pPr>
        <w:ind w:left="7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64F3BF0"/>
    <w:multiLevelType w:val="hybridMultilevel"/>
    <w:tmpl w:val="46B02060"/>
    <w:lvl w:ilvl="0" w:tplc="6D8C0322">
      <w:start w:val="1"/>
      <w:numFmt w:val="bullet"/>
      <w:lvlText w:val="●"/>
      <w:lvlJc w:val="left"/>
      <w:pPr>
        <w:ind w:left="15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70A2156">
      <w:start w:val="1"/>
      <w:numFmt w:val="bullet"/>
      <w:lvlText w:val="o"/>
      <w:lvlJc w:val="left"/>
      <w:pPr>
        <w:ind w:left="2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41490D8">
      <w:start w:val="1"/>
      <w:numFmt w:val="bullet"/>
      <w:lvlText w:val="▪"/>
      <w:lvlJc w:val="left"/>
      <w:pPr>
        <w:ind w:left="28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106E1B2">
      <w:start w:val="1"/>
      <w:numFmt w:val="bullet"/>
      <w:lvlText w:val="•"/>
      <w:lvlJc w:val="left"/>
      <w:pPr>
        <w:ind w:left="35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C4EEF0">
      <w:start w:val="1"/>
      <w:numFmt w:val="bullet"/>
      <w:lvlText w:val="o"/>
      <w:lvlJc w:val="left"/>
      <w:pPr>
        <w:ind w:left="43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F9C2930">
      <w:start w:val="1"/>
      <w:numFmt w:val="bullet"/>
      <w:lvlText w:val="▪"/>
      <w:lvlJc w:val="left"/>
      <w:pPr>
        <w:ind w:left="50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B006EEC">
      <w:start w:val="1"/>
      <w:numFmt w:val="bullet"/>
      <w:lvlText w:val="•"/>
      <w:lvlJc w:val="left"/>
      <w:pPr>
        <w:ind w:left="57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EA21550">
      <w:start w:val="1"/>
      <w:numFmt w:val="bullet"/>
      <w:lvlText w:val="o"/>
      <w:lvlJc w:val="left"/>
      <w:pPr>
        <w:ind w:left="64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E083EE4">
      <w:start w:val="1"/>
      <w:numFmt w:val="bullet"/>
      <w:lvlText w:val="▪"/>
      <w:lvlJc w:val="left"/>
      <w:pPr>
        <w:ind w:left="71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7E1717E"/>
    <w:multiLevelType w:val="multilevel"/>
    <w:tmpl w:val="7CCC0FB0"/>
    <w:lvl w:ilvl="0">
      <w:start w:val="1"/>
      <w:numFmt w:val="decimal"/>
      <w:lvlText w:val="%1."/>
      <w:lvlJc w:val="left"/>
      <w:pPr>
        <w:ind w:left="36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start w:val="1"/>
      <w:numFmt w:val="decimal"/>
      <w:lvlText w:val="%1.%2."/>
      <w:lvlJc w:val="left"/>
      <w:pPr>
        <w:ind w:left="547"/>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2">
      <w:start w:val="1"/>
      <w:numFmt w:val="decimal"/>
      <w:lvlText w:val="%1.%2.%3."/>
      <w:lvlJc w:val="left"/>
      <w:pPr>
        <w:ind w:left="727"/>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3">
      <w:start w:val="1"/>
      <w:numFmt w:val="decimal"/>
      <w:lvlText w:val="%1.%2.%3.%4."/>
      <w:lvlJc w:val="left"/>
      <w:pPr>
        <w:ind w:left="907"/>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108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180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252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324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3962"/>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abstractNum>
  <w:abstractNum w:abstractNumId="31" w15:restartNumberingAfterBreak="0">
    <w:nsid w:val="382E7101"/>
    <w:multiLevelType w:val="hybridMultilevel"/>
    <w:tmpl w:val="2B561096"/>
    <w:lvl w:ilvl="0" w:tplc="CD1C5638">
      <w:start w:val="1"/>
      <w:numFmt w:val="decimal"/>
      <w:lvlText w:val="%1)"/>
      <w:lvlJc w:val="left"/>
      <w:pPr>
        <w:ind w:left="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022C28">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EA627E">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1E5008">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9219B2">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6AA2EE">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D86C5E">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A6DEC4">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06C55C">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A2027F2"/>
    <w:multiLevelType w:val="hybridMultilevel"/>
    <w:tmpl w:val="36AA6F64"/>
    <w:lvl w:ilvl="0" w:tplc="D8887AA4">
      <w:start w:val="1"/>
      <w:numFmt w:val="bullet"/>
      <w:lvlText w:val="•"/>
      <w:lvlJc w:val="left"/>
      <w:pPr>
        <w:ind w:left="1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286A88">
      <w:start w:val="1"/>
      <w:numFmt w:val="bullet"/>
      <w:lvlText w:val="o"/>
      <w:lvlJc w:val="left"/>
      <w:pPr>
        <w:ind w:left="21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43262EC">
      <w:start w:val="1"/>
      <w:numFmt w:val="bullet"/>
      <w:lvlText w:val="▪"/>
      <w:lvlJc w:val="left"/>
      <w:pPr>
        <w:ind w:left="28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32FA24">
      <w:start w:val="1"/>
      <w:numFmt w:val="bullet"/>
      <w:lvlText w:val="•"/>
      <w:lvlJc w:val="left"/>
      <w:pPr>
        <w:ind w:left="35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3DEB260">
      <w:start w:val="1"/>
      <w:numFmt w:val="bullet"/>
      <w:lvlText w:val="o"/>
      <w:lvlJc w:val="left"/>
      <w:pPr>
        <w:ind w:left="43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9881FCE">
      <w:start w:val="1"/>
      <w:numFmt w:val="bullet"/>
      <w:lvlText w:val="▪"/>
      <w:lvlJc w:val="left"/>
      <w:pPr>
        <w:ind w:left="50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A81462">
      <w:start w:val="1"/>
      <w:numFmt w:val="bullet"/>
      <w:lvlText w:val="•"/>
      <w:lvlJc w:val="left"/>
      <w:pPr>
        <w:ind w:left="5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6EDD52">
      <w:start w:val="1"/>
      <w:numFmt w:val="bullet"/>
      <w:lvlText w:val="o"/>
      <w:lvlJc w:val="left"/>
      <w:pPr>
        <w:ind w:left="64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1F04876">
      <w:start w:val="1"/>
      <w:numFmt w:val="bullet"/>
      <w:lvlText w:val="▪"/>
      <w:lvlJc w:val="left"/>
      <w:pPr>
        <w:ind w:left="7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3E0340C"/>
    <w:multiLevelType w:val="hybridMultilevel"/>
    <w:tmpl w:val="E314072C"/>
    <w:lvl w:ilvl="0" w:tplc="7FD0D140">
      <w:start w:val="1"/>
      <w:numFmt w:val="bullet"/>
      <w:lvlText w:val="•"/>
      <w:lvlJc w:val="left"/>
      <w:pPr>
        <w:ind w:left="1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229692">
      <w:start w:val="1"/>
      <w:numFmt w:val="bullet"/>
      <w:lvlText w:val="o"/>
      <w:lvlJc w:val="left"/>
      <w:pPr>
        <w:ind w:left="18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4CCB62">
      <w:start w:val="1"/>
      <w:numFmt w:val="bullet"/>
      <w:lvlText w:val="▪"/>
      <w:lvlJc w:val="left"/>
      <w:pPr>
        <w:ind w:left="25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1C1300">
      <w:start w:val="1"/>
      <w:numFmt w:val="bullet"/>
      <w:lvlText w:val="•"/>
      <w:lvlJc w:val="left"/>
      <w:pPr>
        <w:ind w:left="32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04BB4A">
      <w:start w:val="1"/>
      <w:numFmt w:val="bullet"/>
      <w:lvlText w:val="o"/>
      <w:lvlJc w:val="left"/>
      <w:pPr>
        <w:ind w:left="39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32AD8B2">
      <w:start w:val="1"/>
      <w:numFmt w:val="bullet"/>
      <w:lvlText w:val="▪"/>
      <w:lvlJc w:val="left"/>
      <w:pPr>
        <w:ind w:left="46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26AB9CA">
      <w:start w:val="1"/>
      <w:numFmt w:val="bullet"/>
      <w:lvlText w:val="•"/>
      <w:lvlJc w:val="left"/>
      <w:pPr>
        <w:ind w:left="54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9A5CA2">
      <w:start w:val="1"/>
      <w:numFmt w:val="bullet"/>
      <w:lvlText w:val="o"/>
      <w:lvlJc w:val="left"/>
      <w:pPr>
        <w:ind w:left="61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6221FEA">
      <w:start w:val="1"/>
      <w:numFmt w:val="bullet"/>
      <w:lvlText w:val="▪"/>
      <w:lvlJc w:val="left"/>
      <w:pPr>
        <w:ind w:left="68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48D2883"/>
    <w:multiLevelType w:val="hybridMultilevel"/>
    <w:tmpl w:val="B2168F14"/>
    <w:lvl w:ilvl="0" w:tplc="6C7431E0">
      <w:start w:val="1"/>
      <w:numFmt w:val="decimal"/>
      <w:lvlText w:val="%1)"/>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264296">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7E3F12">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A64E9C">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C415BC">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5E1282">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9C823C">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FA2C4A">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F23C40">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5A22BFE"/>
    <w:multiLevelType w:val="hybridMultilevel"/>
    <w:tmpl w:val="BAB2C806"/>
    <w:lvl w:ilvl="0" w:tplc="38B6FF4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D684BBE">
      <w:start w:val="1"/>
      <w:numFmt w:val="bullet"/>
      <w:lvlText w:val="o"/>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7E2F648">
      <w:start w:val="1"/>
      <w:numFmt w:val="bullet"/>
      <w:lvlRestart w:val="0"/>
      <w:lvlText w:val="–"/>
      <w:lvlJc w:val="left"/>
      <w:pPr>
        <w:ind w:left="1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5269E4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764B86">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5E58D2">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B9E8C8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446E08">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0F47AFA">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92A18C4"/>
    <w:multiLevelType w:val="hybridMultilevel"/>
    <w:tmpl w:val="9EB873AA"/>
    <w:lvl w:ilvl="0" w:tplc="DAA6A95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88D9D0">
      <w:start w:val="1"/>
      <w:numFmt w:val="bullet"/>
      <w:lvlText w:val="o"/>
      <w:lvlJc w:val="left"/>
      <w:pPr>
        <w:ind w:left="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C66660">
      <w:start w:val="1"/>
      <w:numFmt w:val="bullet"/>
      <w:lvlText w:val="▪"/>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0C23BE">
      <w:start w:val="1"/>
      <w:numFmt w:val="bullet"/>
      <w:lvlRestart w:val="0"/>
      <w:lvlText w:val="–"/>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FA236C">
      <w:start w:val="1"/>
      <w:numFmt w:val="bullet"/>
      <w:lvlText w:val="o"/>
      <w:lvlJc w:val="left"/>
      <w:pPr>
        <w:ind w:left="2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4C0704">
      <w:start w:val="1"/>
      <w:numFmt w:val="bullet"/>
      <w:lvlText w:val="▪"/>
      <w:lvlJc w:val="left"/>
      <w:pPr>
        <w:ind w:left="3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9A3ACE">
      <w:start w:val="1"/>
      <w:numFmt w:val="bullet"/>
      <w:lvlText w:val="•"/>
      <w:lvlJc w:val="left"/>
      <w:pPr>
        <w:ind w:left="4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843C84">
      <w:start w:val="1"/>
      <w:numFmt w:val="bullet"/>
      <w:lvlText w:val="o"/>
      <w:lvlJc w:val="left"/>
      <w:pPr>
        <w:ind w:left="4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2E0028">
      <w:start w:val="1"/>
      <w:numFmt w:val="bullet"/>
      <w:lvlText w:val="▪"/>
      <w:lvlJc w:val="left"/>
      <w:pPr>
        <w:ind w:left="5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CDB262D"/>
    <w:multiLevelType w:val="hybridMultilevel"/>
    <w:tmpl w:val="7C86B8A2"/>
    <w:lvl w:ilvl="0" w:tplc="CAC8F9EA">
      <w:start w:val="1"/>
      <w:numFmt w:val="decimal"/>
      <w:lvlText w:val="%1)"/>
      <w:lvlJc w:val="left"/>
      <w:pPr>
        <w:ind w:left="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B4B8C0">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0C68E4">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7AF2D4">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E65B80">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9AEE1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4A280E">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D21E02">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D6414C">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EA5545E"/>
    <w:multiLevelType w:val="hybridMultilevel"/>
    <w:tmpl w:val="BC4EA7A6"/>
    <w:lvl w:ilvl="0" w:tplc="FC2E14BE">
      <w:start w:val="1"/>
      <w:numFmt w:val="decimal"/>
      <w:lvlText w:val="%1."/>
      <w:lvlJc w:val="left"/>
      <w:pPr>
        <w:ind w:left="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24D97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3C94E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B2D86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FEAA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0E274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6E2AE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3C8F9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2C1E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07B3F2E"/>
    <w:multiLevelType w:val="hybridMultilevel"/>
    <w:tmpl w:val="30A8F4A2"/>
    <w:lvl w:ilvl="0" w:tplc="7062ECA0">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62214D6">
      <w:start w:val="1"/>
      <w:numFmt w:val="bullet"/>
      <w:lvlRestart w:val="0"/>
      <w:lvlText w:val="o"/>
      <w:lvlJc w:val="left"/>
      <w:pPr>
        <w:ind w:left="4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BA08714">
      <w:start w:val="1"/>
      <w:numFmt w:val="bullet"/>
      <w:lvlText w:val="▪"/>
      <w:lvlJc w:val="left"/>
      <w:pPr>
        <w:ind w:left="150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73E968A">
      <w:start w:val="1"/>
      <w:numFmt w:val="bullet"/>
      <w:lvlText w:val="•"/>
      <w:lvlJc w:val="left"/>
      <w:pPr>
        <w:ind w:left="222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6346B30">
      <w:start w:val="1"/>
      <w:numFmt w:val="bullet"/>
      <w:lvlText w:val="o"/>
      <w:lvlJc w:val="left"/>
      <w:pPr>
        <w:ind w:left="294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EE6E2C2">
      <w:start w:val="1"/>
      <w:numFmt w:val="bullet"/>
      <w:lvlText w:val="▪"/>
      <w:lvlJc w:val="left"/>
      <w:pPr>
        <w:ind w:left="366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5286058">
      <w:start w:val="1"/>
      <w:numFmt w:val="bullet"/>
      <w:lvlText w:val="•"/>
      <w:lvlJc w:val="left"/>
      <w:pPr>
        <w:ind w:left="43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1986B44">
      <w:start w:val="1"/>
      <w:numFmt w:val="bullet"/>
      <w:lvlText w:val="o"/>
      <w:lvlJc w:val="left"/>
      <w:pPr>
        <w:ind w:left="510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6F0200CC">
      <w:start w:val="1"/>
      <w:numFmt w:val="bullet"/>
      <w:lvlText w:val="▪"/>
      <w:lvlJc w:val="left"/>
      <w:pPr>
        <w:ind w:left="582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41F6CA7"/>
    <w:multiLevelType w:val="hybridMultilevel"/>
    <w:tmpl w:val="29225CFE"/>
    <w:lvl w:ilvl="0" w:tplc="1A2EBF7C">
      <w:start w:val="1"/>
      <w:numFmt w:val="bullet"/>
      <w:lvlText w:val="o"/>
      <w:lvlJc w:val="left"/>
      <w:pPr>
        <w:ind w:left="7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91BC4E12">
      <w:start w:val="1"/>
      <w:numFmt w:val="bullet"/>
      <w:lvlText w:val="•"/>
      <w:lvlJc w:val="left"/>
      <w:pPr>
        <w:ind w:left="1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361836">
      <w:start w:val="1"/>
      <w:numFmt w:val="bullet"/>
      <w:lvlText w:val="▪"/>
      <w:lvlJc w:val="left"/>
      <w:pPr>
        <w:ind w:left="15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C62C5C">
      <w:start w:val="1"/>
      <w:numFmt w:val="bullet"/>
      <w:lvlText w:val="•"/>
      <w:lvlJc w:val="left"/>
      <w:pPr>
        <w:ind w:left="22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06640C">
      <w:start w:val="1"/>
      <w:numFmt w:val="bullet"/>
      <w:lvlText w:val="o"/>
      <w:lvlJc w:val="left"/>
      <w:pPr>
        <w:ind w:left="30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BA21DA">
      <w:start w:val="1"/>
      <w:numFmt w:val="bullet"/>
      <w:lvlText w:val="▪"/>
      <w:lvlJc w:val="left"/>
      <w:pPr>
        <w:ind w:left="37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4ECC83E">
      <w:start w:val="1"/>
      <w:numFmt w:val="bullet"/>
      <w:lvlText w:val="•"/>
      <w:lvlJc w:val="left"/>
      <w:pPr>
        <w:ind w:left="44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D40884">
      <w:start w:val="1"/>
      <w:numFmt w:val="bullet"/>
      <w:lvlText w:val="o"/>
      <w:lvlJc w:val="left"/>
      <w:pPr>
        <w:ind w:left="51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46A4A48">
      <w:start w:val="1"/>
      <w:numFmt w:val="bullet"/>
      <w:lvlText w:val="▪"/>
      <w:lvlJc w:val="left"/>
      <w:pPr>
        <w:ind w:left="58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5BE156E"/>
    <w:multiLevelType w:val="hybridMultilevel"/>
    <w:tmpl w:val="B8C041C0"/>
    <w:lvl w:ilvl="0" w:tplc="DA127648">
      <w:start w:val="1"/>
      <w:numFmt w:val="decimal"/>
      <w:lvlText w:val="%1)"/>
      <w:lvlJc w:val="left"/>
      <w:pPr>
        <w:ind w:left="2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60C28C">
      <w:start w:val="1"/>
      <w:numFmt w:val="lowerLetter"/>
      <w:lvlText w:val="%2"/>
      <w:lvlJc w:val="left"/>
      <w:pPr>
        <w:ind w:left="2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A4BF5A">
      <w:start w:val="1"/>
      <w:numFmt w:val="lowerRoman"/>
      <w:lvlText w:val="%3"/>
      <w:lvlJc w:val="left"/>
      <w:pPr>
        <w:ind w:left="3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C46E5C">
      <w:start w:val="1"/>
      <w:numFmt w:val="decimal"/>
      <w:lvlText w:val="%4"/>
      <w:lvlJc w:val="left"/>
      <w:pPr>
        <w:ind w:left="4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58D19A">
      <w:start w:val="1"/>
      <w:numFmt w:val="lowerLetter"/>
      <w:lvlText w:val="%5"/>
      <w:lvlJc w:val="left"/>
      <w:pPr>
        <w:ind w:left="4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C851FE">
      <w:start w:val="1"/>
      <w:numFmt w:val="lowerRoman"/>
      <w:lvlText w:val="%6"/>
      <w:lvlJc w:val="left"/>
      <w:pPr>
        <w:ind w:left="5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20215A">
      <w:start w:val="1"/>
      <w:numFmt w:val="decimal"/>
      <w:lvlText w:val="%7"/>
      <w:lvlJc w:val="left"/>
      <w:pPr>
        <w:ind w:left="6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CAE5EA">
      <w:start w:val="1"/>
      <w:numFmt w:val="lowerLetter"/>
      <w:lvlText w:val="%8"/>
      <w:lvlJc w:val="left"/>
      <w:pPr>
        <w:ind w:left="6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CC28B4">
      <w:start w:val="1"/>
      <w:numFmt w:val="lowerRoman"/>
      <w:lvlText w:val="%9"/>
      <w:lvlJc w:val="left"/>
      <w:pPr>
        <w:ind w:left="7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71B7097"/>
    <w:multiLevelType w:val="hybridMultilevel"/>
    <w:tmpl w:val="60BECE74"/>
    <w:lvl w:ilvl="0" w:tplc="C7E2DFF2">
      <w:start w:val="1"/>
      <w:numFmt w:val="decimal"/>
      <w:lvlText w:val="%1."/>
      <w:lvlJc w:val="left"/>
      <w:pPr>
        <w:ind w:left="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8C496A">
      <w:start w:val="1"/>
      <w:numFmt w:val="lowerLetter"/>
      <w:lvlText w:val="%2"/>
      <w:lvlJc w:val="left"/>
      <w:pPr>
        <w:ind w:left="1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0AAE82">
      <w:start w:val="1"/>
      <w:numFmt w:val="lowerRoman"/>
      <w:lvlText w:val="%3"/>
      <w:lvlJc w:val="left"/>
      <w:pPr>
        <w:ind w:left="1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CF954">
      <w:start w:val="1"/>
      <w:numFmt w:val="decimal"/>
      <w:lvlText w:val="%4"/>
      <w:lvlJc w:val="left"/>
      <w:pPr>
        <w:ind w:left="2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AEE40A">
      <w:start w:val="1"/>
      <w:numFmt w:val="lowerLetter"/>
      <w:lvlText w:val="%5"/>
      <w:lvlJc w:val="left"/>
      <w:pPr>
        <w:ind w:left="34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CE12F0">
      <w:start w:val="1"/>
      <w:numFmt w:val="lowerRoman"/>
      <w:lvlText w:val="%6"/>
      <w:lvlJc w:val="left"/>
      <w:pPr>
        <w:ind w:left="4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9029FA">
      <w:start w:val="1"/>
      <w:numFmt w:val="decimal"/>
      <w:lvlText w:val="%7"/>
      <w:lvlJc w:val="left"/>
      <w:pPr>
        <w:ind w:left="48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9E9C9A">
      <w:start w:val="1"/>
      <w:numFmt w:val="lowerLetter"/>
      <w:lvlText w:val="%8"/>
      <w:lvlJc w:val="left"/>
      <w:pPr>
        <w:ind w:left="55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C03444">
      <w:start w:val="1"/>
      <w:numFmt w:val="lowerRoman"/>
      <w:lvlText w:val="%9"/>
      <w:lvlJc w:val="left"/>
      <w:pPr>
        <w:ind w:left="6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726092F"/>
    <w:multiLevelType w:val="hybridMultilevel"/>
    <w:tmpl w:val="E688969A"/>
    <w:lvl w:ilvl="0" w:tplc="38C68C0A">
      <w:start w:val="1"/>
      <w:numFmt w:val="bullet"/>
      <w:lvlText w:val="•"/>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B84ADC">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84DF08">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A8EBE6">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C0A27A">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E86B26">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5E284E">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A22DA4">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CC6C52">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B3434DE"/>
    <w:multiLevelType w:val="hybridMultilevel"/>
    <w:tmpl w:val="CE2C0C38"/>
    <w:lvl w:ilvl="0" w:tplc="1196EDC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608E4C">
      <w:start w:val="1"/>
      <w:numFmt w:val="bullet"/>
      <w:lvlRestart w:val="0"/>
      <w:lvlText w:val="•"/>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9A7588">
      <w:start w:val="1"/>
      <w:numFmt w:val="bullet"/>
      <w:lvlText w:val="▪"/>
      <w:lvlJc w:val="left"/>
      <w:pPr>
        <w:ind w:left="2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42CDAC">
      <w:start w:val="1"/>
      <w:numFmt w:val="bullet"/>
      <w:lvlText w:val="•"/>
      <w:lvlJc w:val="left"/>
      <w:pPr>
        <w:ind w:left="3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240A54">
      <w:start w:val="1"/>
      <w:numFmt w:val="bullet"/>
      <w:lvlText w:val="o"/>
      <w:lvlJc w:val="left"/>
      <w:pPr>
        <w:ind w:left="4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FC3666">
      <w:start w:val="1"/>
      <w:numFmt w:val="bullet"/>
      <w:lvlText w:val="▪"/>
      <w:lvlJc w:val="left"/>
      <w:pPr>
        <w:ind w:left="4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08CA74">
      <w:start w:val="1"/>
      <w:numFmt w:val="bullet"/>
      <w:lvlText w:val="•"/>
      <w:lvlJc w:val="left"/>
      <w:pPr>
        <w:ind w:left="5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9C29A0">
      <w:start w:val="1"/>
      <w:numFmt w:val="bullet"/>
      <w:lvlText w:val="o"/>
      <w:lvlJc w:val="left"/>
      <w:pPr>
        <w:ind w:left="6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41866">
      <w:start w:val="1"/>
      <w:numFmt w:val="bullet"/>
      <w:lvlText w:val="▪"/>
      <w:lvlJc w:val="left"/>
      <w:pPr>
        <w:ind w:left="70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BF92257"/>
    <w:multiLevelType w:val="hybridMultilevel"/>
    <w:tmpl w:val="234EBCCE"/>
    <w:lvl w:ilvl="0" w:tplc="B88A1426">
      <w:start w:val="1"/>
      <w:numFmt w:val="decimal"/>
      <w:lvlText w:val="%1)"/>
      <w:lvlJc w:val="left"/>
      <w:pPr>
        <w:ind w:left="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127FF0">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B6145A">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7C4AD8">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206B34">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C8F214">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08BF46">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487D0">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B67C00">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D0561CE"/>
    <w:multiLevelType w:val="hybridMultilevel"/>
    <w:tmpl w:val="BDF29A1E"/>
    <w:lvl w:ilvl="0" w:tplc="F536E2C2">
      <w:start w:val="1"/>
      <w:numFmt w:val="decimal"/>
      <w:lvlText w:val="%1."/>
      <w:lvlJc w:val="left"/>
      <w:pPr>
        <w:ind w:left="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A41E0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B2FB8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9ED4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54F81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70D25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2A4E1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1404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D02C5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D0B2D84"/>
    <w:multiLevelType w:val="hybridMultilevel"/>
    <w:tmpl w:val="C8CA70D2"/>
    <w:lvl w:ilvl="0" w:tplc="A7C4A6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1B4B4E8">
      <w:start w:val="1"/>
      <w:numFmt w:val="bullet"/>
      <w:lvlText w:val="o"/>
      <w:lvlJc w:val="left"/>
      <w:pPr>
        <w:ind w:left="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F7E972C">
      <w:start w:val="1"/>
      <w:numFmt w:val="bullet"/>
      <w:lvlRestart w:val="0"/>
      <w:lvlText w:val="•"/>
      <w:lvlJc w:val="left"/>
      <w:pPr>
        <w:ind w:left="10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EE5080">
      <w:start w:val="1"/>
      <w:numFmt w:val="bullet"/>
      <w:lvlText w:val="•"/>
      <w:lvlJc w:val="left"/>
      <w:pPr>
        <w:ind w:left="1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C5ABB0A">
      <w:start w:val="1"/>
      <w:numFmt w:val="bullet"/>
      <w:lvlText w:val="o"/>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5209AD6">
      <w:start w:val="1"/>
      <w:numFmt w:val="bullet"/>
      <w:lvlText w:val="▪"/>
      <w:lvlJc w:val="left"/>
      <w:pPr>
        <w:ind w:left="32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95828A2">
      <w:start w:val="1"/>
      <w:numFmt w:val="bullet"/>
      <w:lvlText w:val="•"/>
      <w:lvlJc w:val="left"/>
      <w:pPr>
        <w:ind w:left="3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4E252">
      <w:start w:val="1"/>
      <w:numFmt w:val="bullet"/>
      <w:lvlText w:val="o"/>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E463C2">
      <w:start w:val="1"/>
      <w:numFmt w:val="bullet"/>
      <w:lvlText w:val="▪"/>
      <w:lvlJc w:val="left"/>
      <w:pPr>
        <w:ind w:left="53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ED276B9"/>
    <w:multiLevelType w:val="hybridMultilevel"/>
    <w:tmpl w:val="EEF84F9E"/>
    <w:lvl w:ilvl="0" w:tplc="F9A86EBE">
      <w:start w:val="1"/>
      <w:numFmt w:val="bullet"/>
      <w:lvlText w:val="•"/>
      <w:lvlJc w:val="left"/>
      <w:pPr>
        <w:ind w:left="1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EE8170">
      <w:start w:val="1"/>
      <w:numFmt w:val="bullet"/>
      <w:lvlText w:val="o"/>
      <w:lvlJc w:val="left"/>
      <w:pPr>
        <w:ind w:left="20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C66692">
      <w:start w:val="1"/>
      <w:numFmt w:val="bullet"/>
      <w:lvlText w:val="▪"/>
      <w:lvlJc w:val="left"/>
      <w:pPr>
        <w:ind w:left="2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D017E4">
      <w:start w:val="1"/>
      <w:numFmt w:val="bullet"/>
      <w:lvlText w:val="•"/>
      <w:lvlJc w:val="left"/>
      <w:pPr>
        <w:ind w:left="3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76D084">
      <w:start w:val="1"/>
      <w:numFmt w:val="bullet"/>
      <w:lvlText w:val="o"/>
      <w:lvlJc w:val="left"/>
      <w:pPr>
        <w:ind w:left="42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8328064">
      <w:start w:val="1"/>
      <w:numFmt w:val="bullet"/>
      <w:lvlText w:val="▪"/>
      <w:lvlJc w:val="left"/>
      <w:pPr>
        <w:ind w:left="4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546E4E">
      <w:start w:val="1"/>
      <w:numFmt w:val="bullet"/>
      <w:lvlText w:val="•"/>
      <w:lvlJc w:val="left"/>
      <w:pPr>
        <w:ind w:left="56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5E1CA2">
      <w:start w:val="1"/>
      <w:numFmt w:val="bullet"/>
      <w:lvlText w:val="o"/>
      <w:lvlJc w:val="left"/>
      <w:pPr>
        <w:ind w:left="63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CE4B38">
      <w:start w:val="1"/>
      <w:numFmt w:val="bullet"/>
      <w:lvlText w:val="▪"/>
      <w:lvlJc w:val="left"/>
      <w:pPr>
        <w:ind w:left="70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5096110"/>
    <w:multiLevelType w:val="hybridMultilevel"/>
    <w:tmpl w:val="EEB89772"/>
    <w:lvl w:ilvl="0" w:tplc="6590E480">
      <w:start w:val="1"/>
      <w:numFmt w:val="decimal"/>
      <w:lvlText w:val="%1."/>
      <w:lvlJc w:val="left"/>
      <w:pPr>
        <w:ind w:left="127"/>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95EE7694">
      <w:start w:val="1"/>
      <w:numFmt w:val="lowerLetter"/>
      <w:lvlText w:val="%2"/>
      <w:lvlJc w:val="left"/>
      <w:pPr>
        <w:ind w:left="17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7AB051A8">
      <w:start w:val="1"/>
      <w:numFmt w:val="lowerRoman"/>
      <w:lvlText w:val="%3"/>
      <w:lvlJc w:val="left"/>
      <w:pPr>
        <w:ind w:left="25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05AE3B1E">
      <w:start w:val="1"/>
      <w:numFmt w:val="decimal"/>
      <w:lvlText w:val="%4"/>
      <w:lvlJc w:val="left"/>
      <w:pPr>
        <w:ind w:left="322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39528F52">
      <w:start w:val="1"/>
      <w:numFmt w:val="lowerLetter"/>
      <w:lvlText w:val="%5"/>
      <w:lvlJc w:val="left"/>
      <w:pPr>
        <w:ind w:left="394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E9F624E8">
      <w:start w:val="1"/>
      <w:numFmt w:val="lowerRoman"/>
      <w:lvlText w:val="%6"/>
      <w:lvlJc w:val="left"/>
      <w:pPr>
        <w:ind w:left="466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23C6E14E">
      <w:start w:val="1"/>
      <w:numFmt w:val="decimal"/>
      <w:lvlText w:val="%7"/>
      <w:lvlJc w:val="left"/>
      <w:pPr>
        <w:ind w:left="53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26C244B0">
      <w:start w:val="1"/>
      <w:numFmt w:val="lowerLetter"/>
      <w:lvlText w:val="%8"/>
      <w:lvlJc w:val="left"/>
      <w:pPr>
        <w:ind w:left="61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75D00D26">
      <w:start w:val="1"/>
      <w:numFmt w:val="lowerRoman"/>
      <w:lvlText w:val="%9"/>
      <w:lvlJc w:val="left"/>
      <w:pPr>
        <w:ind w:left="682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58D1DF7"/>
    <w:multiLevelType w:val="hybridMultilevel"/>
    <w:tmpl w:val="6A3E444C"/>
    <w:lvl w:ilvl="0" w:tplc="69708EFE">
      <w:start w:val="1"/>
      <w:numFmt w:val="bullet"/>
      <w:lvlText w:val="•"/>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F25A44">
      <w:start w:val="1"/>
      <w:numFmt w:val="bullet"/>
      <w:lvlText w:val=""/>
      <w:lvlJc w:val="left"/>
      <w:pPr>
        <w:ind w:left="17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DB2B4BC">
      <w:start w:val="1"/>
      <w:numFmt w:val="bullet"/>
      <w:lvlText w:val="▪"/>
      <w:lvlJc w:val="left"/>
      <w:pPr>
        <w:ind w:left="22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30A69B0">
      <w:start w:val="1"/>
      <w:numFmt w:val="bullet"/>
      <w:lvlText w:val="•"/>
      <w:lvlJc w:val="left"/>
      <w:pPr>
        <w:ind w:left="30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7428C24">
      <w:start w:val="1"/>
      <w:numFmt w:val="bullet"/>
      <w:lvlText w:val="o"/>
      <w:lvlJc w:val="left"/>
      <w:pPr>
        <w:ind w:left="3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2CA980E">
      <w:start w:val="1"/>
      <w:numFmt w:val="bullet"/>
      <w:lvlText w:val="▪"/>
      <w:lvlJc w:val="left"/>
      <w:pPr>
        <w:ind w:left="4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C36FF42">
      <w:start w:val="1"/>
      <w:numFmt w:val="bullet"/>
      <w:lvlText w:val="•"/>
      <w:lvlJc w:val="left"/>
      <w:pPr>
        <w:ind w:left="5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334B4C6">
      <w:start w:val="1"/>
      <w:numFmt w:val="bullet"/>
      <w:lvlText w:val="o"/>
      <w:lvlJc w:val="left"/>
      <w:pPr>
        <w:ind w:left="5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D5C405E">
      <w:start w:val="1"/>
      <w:numFmt w:val="bullet"/>
      <w:lvlText w:val="▪"/>
      <w:lvlJc w:val="left"/>
      <w:pPr>
        <w:ind w:left="6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58F65E4"/>
    <w:multiLevelType w:val="hybridMultilevel"/>
    <w:tmpl w:val="315AB442"/>
    <w:lvl w:ilvl="0" w:tplc="D416E58E">
      <w:start w:val="1"/>
      <w:numFmt w:val="bullet"/>
      <w:lvlText w:val="•"/>
      <w:lvlJc w:val="left"/>
      <w:pPr>
        <w:ind w:left="1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A00896">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DCA5D2">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D23906">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DED02C">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DE809CA">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D0FBC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AC89CE">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90E2D1C">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69D6EFD"/>
    <w:multiLevelType w:val="multilevel"/>
    <w:tmpl w:val="3CCCC934"/>
    <w:lvl w:ilvl="0">
      <w:start w:val="1"/>
      <w:numFmt w:val="decimal"/>
      <w:lvlText w:val="%1)"/>
      <w:lvlJc w:val="left"/>
      <w:pPr>
        <w:ind w:left="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21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8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5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43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50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7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8C87F4F"/>
    <w:multiLevelType w:val="hybridMultilevel"/>
    <w:tmpl w:val="7F64B682"/>
    <w:lvl w:ilvl="0" w:tplc="52A01C1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680618">
      <w:start w:val="1"/>
      <w:numFmt w:val="bullet"/>
      <w:lvlText w:val="o"/>
      <w:lvlJc w:val="left"/>
      <w:pPr>
        <w:ind w:left="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0428E40">
      <w:start w:val="1"/>
      <w:numFmt w:val="bullet"/>
      <w:lvlRestart w:val="0"/>
      <w:lvlText w:val="•"/>
      <w:lvlJc w:val="left"/>
      <w:pPr>
        <w:ind w:left="10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9EB6A4">
      <w:start w:val="1"/>
      <w:numFmt w:val="bullet"/>
      <w:lvlText w:val="•"/>
      <w:lvlJc w:val="left"/>
      <w:pPr>
        <w:ind w:left="1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204976">
      <w:start w:val="1"/>
      <w:numFmt w:val="bullet"/>
      <w:lvlText w:val="o"/>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7C0302">
      <w:start w:val="1"/>
      <w:numFmt w:val="bullet"/>
      <w:lvlText w:val="▪"/>
      <w:lvlJc w:val="left"/>
      <w:pPr>
        <w:ind w:left="32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CA87AC">
      <w:start w:val="1"/>
      <w:numFmt w:val="bullet"/>
      <w:lvlText w:val="•"/>
      <w:lvlJc w:val="left"/>
      <w:pPr>
        <w:ind w:left="39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9622EE">
      <w:start w:val="1"/>
      <w:numFmt w:val="bullet"/>
      <w:lvlText w:val="o"/>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59C7926">
      <w:start w:val="1"/>
      <w:numFmt w:val="bullet"/>
      <w:lvlText w:val="▪"/>
      <w:lvlJc w:val="left"/>
      <w:pPr>
        <w:ind w:left="53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D66305D"/>
    <w:multiLevelType w:val="hybridMultilevel"/>
    <w:tmpl w:val="3A3A242A"/>
    <w:lvl w:ilvl="0" w:tplc="BE881CCE">
      <w:start w:val="1"/>
      <w:numFmt w:val="bullet"/>
      <w:lvlText w:val="●"/>
      <w:lvlJc w:val="left"/>
      <w:pPr>
        <w:ind w:left="15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DF21D7A">
      <w:start w:val="1"/>
      <w:numFmt w:val="bullet"/>
      <w:lvlText w:val="o"/>
      <w:lvlJc w:val="left"/>
      <w:pPr>
        <w:ind w:left="2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A6EC298">
      <w:start w:val="1"/>
      <w:numFmt w:val="bullet"/>
      <w:lvlText w:val="▪"/>
      <w:lvlJc w:val="left"/>
      <w:pPr>
        <w:ind w:left="28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D268A86">
      <w:start w:val="1"/>
      <w:numFmt w:val="bullet"/>
      <w:lvlText w:val="•"/>
      <w:lvlJc w:val="left"/>
      <w:pPr>
        <w:ind w:left="35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7681024">
      <w:start w:val="1"/>
      <w:numFmt w:val="bullet"/>
      <w:lvlText w:val="o"/>
      <w:lvlJc w:val="left"/>
      <w:pPr>
        <w:ind w:left="4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BA4A18A">
      <w:start w:val="1"/>
      <w:numFmt w:val="bullet"/>
      <w:lvlText w:val="▪"/>
      <w:lvlJc w:val="left"/>
      <w:pPr>
        <w:ind w:left="5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C6C471A">
      <w:start w:val="1"/>
      <w:numFmt w:val="bullet"/>
      <w:lvlText w:val="•"/>
      <w:lvlJc w:val="left"/>
      <w:pPr>
        <w:ind w:left="5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110EEF6">
      <w:start w:val="1"/>
      <w:numFmt w:val="bullet"/>
      <w:lvlText w:val="o"/>
      <w:lvlJc w:val="left"/>
      <w:pPr>
        <w:ind w:left="6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73A3350">
      <w:start w:val="1"/>
      <w:numFmt w:val="bullet"/>
      <w:lvlText w:val="▪"/>
      <w:lvlJc w:val="left"/>
      <w:pPr>
        <w:ind w:left="7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4552C64"/>
    <w:multiLevelType w:val="hybridMultilevel"/>
    <w:tmpl w:val="4E7EC5D6"/>
    <w:lvl w:ilvl="0" w:tplc="369459EE">
      <w:start w:val="6"/>
      <w:numFmt w:val="decimal"/>
      <w:lvlText w:val="%1)"/>
      <w:lvlJc w:val="left"/>
      <w:pPr>
        <w:ind w:left="2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D68C12">
      <w:start w:val="1"/>
      <w:numFmt w:val="lowerLetter"/>
      <w:lvlText w:val="%2"/>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6CDB68">
      <w:start w:val="1"/>
      <w:numFmt w:val="lowerRoman"/>
      <w:lvlText w:val="%3"/>
      <w:lvlJc w:val="left"/>
      <w:pPr>
        <w:ind w:left="2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4A63D6">
      <w:start w:val="1"/>
      <w:numFmt w:val="decimal"/>
      <w:lvlText w:val="%4"/>
      <w:lvlJc w:val="left"/>
      <w:pPr>
        <w:ind w:left="3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857EE">
      <w:start w:val="1"/>
      <w:numFmt w:val="lowerLetter"/>
      <w:lvlText w:val="%5"/>
      <w:lvlJc w:val="left"/>
      <w:pPr>
        <w:ind w:left="4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94DCBA">
      <w:start w:val="1"/>
      <w:numFmt w:val="lowerRoman"/>
      <w:lvlText w:val="%6"/>
      <w:lvlJc w:val="left"/>
      <w:pPr>
        <w:ind w:left="5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CA872">
      <w:start w:val="1"/>
      <w:numFmt w:val="decimal"/>
      <w:lvlText w:val="%7"/>
      <w:lvlJc w:val="left"/>
      <w:pPr>
        <w:ind w:left="5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A4C7F6">
      <w:start w:val="1"/>
      <w:numFmt w:val="lowerLetter"/>
      <w:lvlText w:val="%8"/>
      <w:lvlJc w:val="left"/>
      <w:pPr>
        <w:ind w:left="6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6C1330">
      <w:start w:val="1"/>
      <w:numFmt w:val="lowerRoman"/>
      <w:lvlText w:val="%9"/>
      <w:lvlJc w:val="left"/>
      <w:pPr>
        <w:ind w:left="7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6143206"/>
    <w:multiLevelType w:val="hybridMultilevel"/>
    <w:tmpl w:val="94285FEC"/>
    <w:lvl w:ilvl="0" w:tplc="585E9AE6">
      <w:start w:val="1"/>
      <w:numFmt w:val="bullet"/>
      <w:lvlText w:val="o"/>
      <w:lvlJc w:val="left"/>
      <w:pPr>
        <w:ind w:left="4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13E0B6DE">
      <w:start w:val="1"/>
      <w:numFmt w:val="bullet"/>
      <w:lvlText w:val="o"/>
      <w:lvlJc w:val="left"/>
      <w:pPr>
        <w:ind w:left="131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3A4DF74">
      <w:start w:val="1"/>
      <w:numFmt w:val="bullet"/>
      <w:lvlText w:val="▪"/>
      <w:lvlJc w:val="left"/>
      <w:pPr>
        <w:ind w:left="203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38C495C">
      <w:start w:val="1"/>
      <w:numFmt w:val="bullet"/>
      <w:lvlText w:val="•"/>
      <w:lvlJc w:val="left"/>
      <w:pPr>
        <w:ind w:left="275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6626558">
      <w:start w:val="1"/>
      <w:numFmt w:val="bullet"/>
      <w:lvlText w:val="o"/>
      <w:lvlJc w:val="left"/>
      <w:pPr>
        <w:ind w:left="347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2F6CD64">
      <w:start w:val="1"/>
      <w:numFmt w:val="bullet"/>
      <w:lvlText w:val="▪"/>
      <w:lvlJc w:val="left"/>
      <w:pPr>
        <w:ind w:left="41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079431D8">
      <w:start w:val="1"/>
      <w:numFmt w:val="bullet"/>
      <w:lvlText w:val="•"/>
      <w:lvlJc w:val="left"/>
      <w:pPr>
        <w:ind w:left="491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DAEDA66">
      <w:start w:val="1"/>
      <w:numFmt w:val="bullet"/>
      <w:lvlText w:val="o"/>
      <w:lvlJc w:val="left"/>
      <w:pPr>
        <w:ind w:left="563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3F2415A">
      <w:start w:val="1"/>
      <w:numFmt w:val="bullet"/>
      <w:lvlText w:val="▪"/>
      <w:lvlJc w:val="left"/>
      <w:pPr>
        <w:ind w:left="635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68E6821"/>
    <w:multiLevelType w:val="multilevel"/>
    <w:tmpl w:val="F3D8331C"/>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1">
      <w:start w:val="1"/>
      <w:numFmt w:val="decimal"/>
      <w:lvlText w:val="%1.%2"/>
      <w:lvlJc w:val="left"/>
      <w:pPr>
        <w:ind w:left="36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2">
      <w:start w:val="1"/>
      <w:numFmt w:val="decimal"/>
      <w:lvlRestart w:val="0"/>
      <w:lvlText w:val="%1.%2.%3."/>
      <w:lvlJc w:val="left"/>
      <w:pPr>
        <w:ind w:left="727"/>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abstractNum>
  <w:abstractNum w:abstractNumId="58" w15:restartNumberingAfterBreak="0">
    <w:nsid w:val="76A913BB"/>
    <w:multiLevelType w:val="hybridMultilevel"/>
    <w:tmpl w:val="52A2A116"/>
    <w:lvl w:ilvl="0" w:tplc="4574FD66">
      <w:start w:val="1"/>
      <w:numFmt w:val="bullet"/>
      <w:lvlText w:val="•"/>
      <w:lvlJc w:val="left"/>
      <w:pPr>
        <w:ind w:left="1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00A4C0">
      <w:start w:val="1"/>
      <w:numFmt w:val="bullet"/>
      <w:lvlText w:val="o"/>
      <w:lvlJc w:val="left"/>
      <w:pPr>
        <w:ind w:left="21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578808C">
      <w:start w:val="1"/>
      <w:numFmt w:val="bullet"/>
      <w:lvlText w:val="▪"/>
      <w:lvlJc w:val="left"/>
      <w:pPr>
        <w:ind w:left="28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7D6BFA2">
      <w:start w:val="1"/>
      <w:numFmt w:val="bullet"/>
      <w:lvlText w:val="•"/>
      <w:lvlJc w:val="left"/>
      <w:pPr>
        <w:ind w:left="35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7362D4E">
      <w:start w:val="1"/>
      <w:numFmt w:val="bullet"/>
      <w:lvlText w:val="o"/>
      <w:lvlJc w:val="left"/>
      <w:pPr>
        <w:ind w:left="43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1497EE">
      <w:start w:val="1"/>
      <w:numFmt w:val="bullet"/>
      <w:lvlText w:val="▪"/>
      <w:lvlJc w:val="left"/>
      <w:pPr>
        <w:ind w:left="50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EFE4B9C">
      <w:start w:val="1"/>
      <w:numFmt w:val="bullet"/>
      <w:lvlText w:val="•"/>
      <w:lvlJc w:val="left"/>
      <w:pPr>
        <w:ind w:left="5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4891EA">
      <w:start w:val="1"/>
      <w:numFmt w:val="bullet"/>
      <w:lvlText w:val="o"/>
      <w:lvlJc w:val="left"/>
      <w:pPr>
        <w:ind w:left="6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284FE6">
      <w:start w:val="1"/>
      <w:numFmt w:val="bullet"/>
      <w:lvlText w:val="▪"/>
      <w:lvlJc w:val="left"/>
      <w:pPr>
        <w:ind w:left="7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8EC3D66"/>
    <w:multiLevelType w:val="hybridMultilevel"/>
    <w:tmpl w:val="7AA236A2"/>
    <w:lvl w:ilvl="0" w:tplc="6B38B2DA">
      <w:start w:val="1"/>
      <w:numFmt w:val="bullet"/>
      <w:lvlText w:val="-"/>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02D268">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9C59CE">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5A1A4C">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D6C446">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54D9AA">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76339C">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FC7632">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249D54">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9742098"/>
    <w:multiLevelType w:val="hybridMultilevel"/>
    <w:tmpl w:val="59B638B0"/>
    <w:lvl w:ilvl="0" w:tplc="265E719A">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B4C2E81C">
      <w:start w:val="1"/>
      <w:numFmt w:val="bullet"/>
      <w:lvlRestart w:val="0"/>
      <w:lvlText w:val="o"/>
      <w:lvlJc w:val="left"/>
      <w:pPr>
        <w:ind w:left="4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370CEE2">
      <w:start w:val="1"/>
      <w:numFmt w:val="bullet"/>
      <w:lvlText w:val="▪"/>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6F2ECA94">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16A5490">
      <w:start w:val="1"/>
      <w:numFmt w:val="bullet"/>
      <w:lvlText w:val="o"/>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B05A0AB8">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3B41C1E">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4B45164">
      <w:start w:val="1"/>
      <w:numFmt w:val="bullet"/>
      <w:lvlText w:val="o"/>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1EE4D6C">
      <w:start w:val="1"/>
      <w:numFmt w:val="bullet"/>
      <w:lvlText w:val="▪"/>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A282FD4"/>
    <w:multiLevelType w:val="hybridMultilevel"/>
    <w:tmpl w:val="2FB81318"/>
    <w:lvl w:ilvl="0" w:tplc="ED3A81DA">
      <w:start w:val="1"/>
      <w:numFmt w:val="decimal"/>
      <w:lvlText w:val="%1."/>
      <w:lvlJc w:val="left"/>
      <w:pPr>
        <w:ind w:left="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58AC6E">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D4BA7E">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86978A">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D2953E">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045046">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868A2E">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148674">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E05ED6">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B193945"/>
    <w:multiLevelType w:val="hybridMultilevel"/>
    <w:tmpl w:val="81A034DE"/>
    <w:lvl w:ilvl="0" w:tplc="B4F6F212">
      <w:start w:val="1"/>
      <w:numFmt w:val="bullet"/>
      <w:lvlText w:val="–"/>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44CD92">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16738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D5E9DD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BAEAD4">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5899A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146AEA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FC084E">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5DA35F0">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CCF7255"/>
    <w:multiLevelType w:val="hybridMultilevel"/>
    <w:tmpl w:val="E6063620"/>
    <w:lvl w:ilvl="0" w:tplc="B98243B0">
      <w:start w:val="1"/>
      <w:numFmt w:val="bullet"/>
      <w:lvlText w:val="●"/>
      <w:lvlJc w:val="left"/>
      <w:pPr>
        <w:ind w:left="8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4E6DB86">
      <w:start w:val="1"/>
      <w:numFmt w:val="bullet"/>
      <w:lvlText w:val="o"/>
      <w:lvlJc w:val="left"/>
      <w:pPr>
        <w:ind w:left="14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FEE549A">
      <w:start w:val="1"/>
      <w:numFmt w:val="bullet"/>
      <w:lvlText w:val="▪"/>
      <w:lvlJc w:val="left"/>
      <w:pPr>
        <w:ind w:left="19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1A01442">
      <w:start w:val="1"/>
      <w:numFmt w:val="bullet"/>
      <w:lvlText w:val="•"/>
      <w:lvlJc w:val="left"/>
      <w:pPr>
        <w:ind w:left="27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C266234">
      <w:start w:val="1"/>
      <w:numFmt w:val="bullet"/>
      <w:lvlText w:val="o"/>
      <w:lvlJc w:val="left"/>
      <w:pPr>
        <w:ind w:left="34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ECFC104E">
      <w:start w:val="1"/>
      <w:numFmt w:val="bullet"/>
      <w:lvlText w:val="▪"/>
      <w:lvlJc w:val="left"/>
      <w:pPr>
        <w:ind w:left="41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366AD52">
      <w:start w:val="1"/>
      <w:numFmt w:val="bullet"/>
      <w:lvlText w:val="•"/>
      <w:lvlJc w:val="left"/>
      <w:pPr>
        <w:ind w:left="48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A061558">
      <w:start w:val="1"/>
      <w:numFmt w:val="bullet"/>
      <w:lvlText w:val="o"/>
      <w:lvlJc w:val="left"/>
      <w:pPr>
        <w:ind w:left="55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26BE8D42">
      <w:start w:val="1"/>
      <w:numFmt w:val="bullet"/>
      <w:lvlText w:val="▪"/>
      <w:lvlJc w:val="left"/>
      <w:pPr>
        <w:ind w:left="63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30"/>
  </w:num>
  <w:num w:numId="2">
    <w:abstractNumId w:val="11"/>
  </w:num>
  <w:num w:numId="3">
    <w:abstractNumId w:val="57"/>
  </w:num>
  <w:num w:numId="4">
    <w:abstractNumId w:val="2"/>
  </w:num>
  <w:num w:numId="5">
    <w:abstractNumId w:val="8"/>
  </w:num>
  <w:num w:numId="6">
    <w:abstractNumId w:val="22"/>
  </w:num>
  <w:num w:numId="7">
    <w:abstractNumId w:val="35"/>
  </w:num>
  <w:num w:numId="8">
    <w:abstractNumId w:val="12"/>
  </w:num>
  <w:num w:numId="9">
    <w:abstractNumId w:val="16"/>
  </w:num>
  <w:num w:numId="10">
    <w:abstractNumId w:val="3"/>
  </w:num>
  <w:num w:numId="11">
    <w:abstractNumId w:val="26"/>
  </w:num>
  <w:num w:numId="12">
    <w:abstractNumId w:val="43"/>
  </w:num>
  <w:num w:numId="13">
    <w:abstractNumId w:val="59"/>
  </w:num>
  <w:num w:numId="14">
    <w:abstractNumId w:val="10"/>
  </w:num>
  <w:num w:numId="15">
    <w:abstractNumId w:val="18"/>
  </w:num>
  <w:num w:numId="16">
    <w:abstractNumId w:val="34"/>
  </w:num>
  <w:num w:numId="17">
    <w:abstractNumId w:val="52"/>
  </w:num>
  <w:num w:numId="18">
    <w:abstractNumId w:val="33"/>
  </w:num>
  <w:num w:numId="19">
    <w:abstractNumId w:val="51"/>
  </w:num>
  <w:num w:numId="20">
    <w:abstractNumId w:val="58"/>
  </w:num>
  <w:num w:numId="21">
    <w:abstractNumId w:val="48"/>
  </w:num>
  <w:num w:numId="22">
    <w:abstractNumId w:val="7"/>
  </w:num>
  <w:num w:numId="23">
    <w:abstractNumId w:val="62"/>
  </w:num>
  <w:num w:numId="24">
    <w:abstractNumId w:val="50"/>
  </w:num>
  <w:num w:numId="25">
    <w:abstractNumId w:val="49"/>
  </w:num>
  <w:num w:numId="26">
    <w:abstractNumId w:val="44"/>
  </w:num>
  <w:num w:numId="27">
    <w:abstractNumId w:val="32"/>
  </w:num>
  <w:num w:numId="28">
    <w:abstractNumId w:val="29"/>
  </w:num>
  <w:num w:numId="29">
    <w:abstractNumId w:val="13"/>
  </w:num>
  <w:num w:numId="30">
    <w:abstractNumId w:val="28"/>
  </w:num>
  <w:num w:numId="31">
    <w:abstractNumId w:val="5"/>
  </w:num>
  <w:num w:numId="32">
    <w:abstractNumId w:val="19"/>
  </w:num>
  <w:num w:numId="33">
    <w:abstractNumId w:val="17"/>
  </w:num>
  <w:num w:numId="34">
    <w:abstractNumId w:val="0"/>
  </w:num>
  <w:num w:numId="35">
    <w:abstractNumId w:val="6"/>
  </w:num>
  <w:num w:numId="36">
    <w:abstractNumId w:val="56"/>
  </w:num>
  <w:num w:numId="37">
    <w:abstractNumId w:val="40"/>
  </w:num>
  <w:num w:numId="38">
    <w:abstractNumId w:val="20"/>
  </w:num>
  <w:num w:numId="39">
    <w:abstractNumId w:val="60"/>
  </w:num>
  <w:num w:numId="40">
    <w:abstractNumId w:val="47"/>
  </w:num>
  <w:num w:numId="41">
    <w:abstractNumId w:val="39"/>
  </w:num>
  <w:num w:numId="42">
    <w:abstractNumId w:val="53"/>
  </w:num>
  <w:num w:numId="43">
    <w:abstractNumId w:val="1"/>
  </w:num>
  <w:num w:numId="44">
    <w:abstractNumId w:val="4"/>
  </w:num>
  <w:num w:numId="45">
    <w:abstractNumId w:val="36"/>
  </w:num>
  <w:num w:numId="46">
    <w:abstractNumId w:val="21"/>
  </w:num>
  <w:num w:numId="47">
    <w:abstractNumId w:val="63"/>
  </w:num>
  <w:num w:numId="48">
    <w:abstractNumId w:val="45"/>
  </w:num>
  <w:num w:numId="49">
    <w:abstractNumId w:val="37"/>
  </w:num>
  <w:num w:numId="50">
    <w:abstractNumId w:val="31"/>
  </w:num>
  <w:num w:numId="51">
    <w:abstractNumId w:val="9"/>
  </w:num>
  <w:num w:numId="52">
    <w:abstractNumId w:val="54"/>
  </w:num>
  <w:num w:numId="53">
    <w:abstractNumId w:val="61"/>
  </w:num>
  <w:num w:numId="54">
    <w:abstractNumId w:val="42"/>
  </w:num>
  <w:num w:numId="55">
    <w:abstractNumId w:val="38"/>
  </w:num>
  <w:num w:numId="56">
    <w:abstractNumId w:val="46"/>
  </w:num>
  <w:num w:numId="57">
    <w:abstractNumId w:val="23"/>
  </w:num>
  <w:num w:numId="58">
    <w:abstractNumId w:val="15"/>
  </w:num>
  <w:num w:numId="59">
    <w:abstractNumId w:val="14"/>
  </w:num>
  <w:num w:numId="60">
    <w:abstractNumId w:val="27"/>
  </w:num>
  <w:num w:numId="61">
    <w:abstractNumId w:val="41"/>
  </w:num>
  <w:num w:numId="62">
    <w:abstractNumId w:val="55"/>
  </w:num>
  <w:num w:numId="63">
    <w:abstractNumId w:val="24"/>
  </w:num>
  <w:num w:numId="64">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91F"/>
    <w:rsid w:val="00AE1F83"/>
    <w:rsid w:val="00C37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B752B265-6B14-4BD3-87E6-A0336DF91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364" w:lineRule="auto"/>
      <w:ind w:left="152"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02" w:line="265" w:lineRule="auto"/>
      <w:ind w:left="10" w:right="48"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202" w:line="249" w:lineRule="auto"/>
      <w:ind w:left="10" w:right="48" w:hanging="10"/>
      <w:outlineLvl w:val="1"/>
    </w:pPr>
    <w:rPr>
      <w:rFonts w:ascii="Times New Roman" w:eastAsia="Times New Roman" w:hAnsi="Times New Roman" w:cs="Times New Roman"/>
      <w:b/>
      <w:color w:val="000000"/>
      <w:sz w:val="28"/>
    </w:rPr>
  </w:style>
  <w:style w:type="paragraph" w:styleId="Heading3">
    <w:name w:val="heading 3"/>
    <w:next w:val="Normal"/>
    <w:link w:val="Heading3Char"/>
    <w:uiPriority w:val="9"/>
    <w:unhideWhenUsed/>
    <w:qFormat/>
    <w:pPr>
      <w:keepNext/>
      <w:keepLines/>
      <w:spacing w:after="234"/>
      <w:ind w:left="152" w:hanging="10"/>
      <w:jc w:val="center"/>
      <w:outlineLvl w:val="2"/>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8"/>
    </w:rPr>
  </w:style>
  <w:style w:type="character" w:customStyle="1" w:styleId="Heading3Char">
    <w:name w:val="Heading 3 Char"/>
    <w:link w:val="Heading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www.ncbi.nlm.nih.gov/pubmed/?term=Aitchison%20M%5BAuthor%5D&amp;cauthor=true&amp;cauthor_uid=15533476" TargetMode="External"/><Relationship Id="rId299" Type="http://schemas.openxmlformats.org/officeDocument/2006/relationships/hyperlink" Target="https://ascopubs.org/doi/abs/10.1200/JCO.2021.39.6_suppl.309" TargetMode="External"/><Relationship Id="rId21" Type="http://schemas.openxmlformats.org/officeDocument/2006/relationships/hyperlink" Target="https://rosoncoweb.ru/standarts/?chapter=immunerelated_adverse_events" TargetMode="External"/><Relationship Id="rId63" Type="http://schemas.openxmlformats.org/officeDocument/2006/relationships/hyperlink" Target="https://www.ncbi.nlm.nih.gov/pubmed/?term=Uzzo%20RG%5BAuthor%5D&amp;cauthor=true&amp;cauthor_uid=11435813" TargetMode="External"/><Relationship Id="rId159" Type="http://schemas.openxmlformats.org/officeDocument/2006/relationships/hyperlink" Target="https://www.ncbi.nlm.nih.gov/pubmed/?term=Leveridge%20MJ%5BAuthor%5D&amp;cauthor=true&amp;cauthor_uid=21704449" TargetMode="External"/><Relationship Id="rId324" Type="http://schemas.openxmlformats.org/officeDocument/2006/relationships/hyperlink" Target="https://www.ncbi.nlm.nih.gov/pubmed/?term=O'Regan%20C%5BAuthor%5D&amp;cauthor=true&amp;cauthor_uid=19173737" TargetMode="External"/><Relationship Id="rId366" Type="http://schemas.openxmlformats.org/officeDocument/2006/relationships/hyperlink" Target="https://www.ncbi.nlm.nih.gov/pubmed/?term=Schwartz%20LH%5BAuthor%5D&amp;cauthor=true&amp;cauthor_uid=19097774" TargetMode="External"/><Relationship Id="rId170" Type="http://schemas.openxmlformats.org/officeDocument/2006/relationships/hyperlink" Target="https://www.ncbi.nlm.nih.gov/pubmed/?term=Tahbaz%20R%5BAuthor%5D&amp;cauthor=true&amp;cauthor_uid=27939075" TargetMode="External"/><Relationship Id="rId226" Type="http://schemas.openxmlformats.org/officeDocument/2006/relationships/hyperlink" Target="https://www.ncbi.nlm.nih.gov/pubmed/?term=Leibovich%20BC%5BAuthor%5D&amp;cauthor=true&amp;cauthor_uid=20626391" TargetMode="External"/><Relationship Id="rId268" Type="http://schemas.openxmlformats.org/officeDocument/2006/relationships/hyperlink" Target="https://www.ncbi.nlm.nih.gov/pubmed/?term=Faridi%20W%5BAuthor%5D&amp;cauthor=true&amp;cauthor_uid=31303430" TargetMode="External"/><Relationship Id="rId32" Type="http://schemas.openxmlformats.org/officeDocument/2006/relationships/hyperlink" Target="https://www.ncbi.nlm.nih.gov/pubmed/?term=Hu%20X%5BAuthor%5D&amp;cauthor=true&amp;cauthor_uid=31308752" TargetMode="External"/><Relationship Id="rId74" Type="http://schemas.openxmlformats.org/officeDocument/2006/relationships/hyperlink" Target="https://www.ncbi.nlm.nih.gov/pubmed/?term=Henriksson%20C%5BAuthor%5D&amp;cauthor=true&amp;cauthor_uid=1292074" TargetMode="External"/><Relationship Id="rId128" Type="http://schemas.openxmlformats.org/officeDocument/2006/relationships/hyperlink" Target="https://www.ncbi.nlm.nih.gov/pubmed/?term=Maxwell%20NJ%5BAuthor%5D&amp;cauthor=true&amp;cauthor_uid=17495058" TargetMode="External"/><Relationship Id="rId335" Type="http://schemas.openxmlformats.org/officeDocument/2006/relationships/hyperlink" Target="https://www.ncbi.nlm.nih.gov/pubmed/?term=Kuo%20JT%5BAuthor%5D&amp;cauthor=true&amp;cauthor_uid=27377922" TargetMode="External"/><Relationship Id="rId377" Type="http://schemas.openxmlformats.org/officeDocument/2006/relationships/hyperlink" Target="https://www.ncbi.nlm.nih.gov/pubmed/?term=Kaplan%20R%5BAuthor%5D&amp;cauthor=true&amp;cauthor_uid=19097774" TargetMode="External"/><Relationship Id="rId5" Type="http://schemas.openxmlformats.org/officeDocument/2006/relationships/footnotes" Target="footnotes.xml"/><Relationship Id="rId181" Type="http://schemas.openxmlformats.org/officeDocument/2006/relationships/hyperlink" Target="https://www.ncbi.nlm.nih.gov/pubmed/?term=Yu%20C%5BAuthor%5D&amp;cauthor=true&amp;cauthor_uid=26891054" TargetMode="External"/><Relationship Id="rId237" Type="http://schemas.openxmlformats.org/officeDocument/2006/relationships/hyperlink" Target="https://www.ncbi.nlm.nih.gov/pubmed/?term=Vavassori%20I%5BAuthor%5D&amp;cauthor=true&amp;cauthor_uid=27138461" TargetMode="External"/><Relationship Id="rId279" Type="http://schemas.openxmlformats.org/officeDocument/2006/relationships/hyperlink" Target="https://meetinglibrary.asco.org/record/195569/abstract" TargetMode="External"/><Relationship Id="rId43" Type="http://schemas.openxmlformats.org/officeDocument/2006/relationships/hyperlink" Target="https://www.ncbi.nlm.nih.gov/pubmed/?term=Mali%20RD%5BAuthor%5D&amp;cauthor=true&amp;cauthor_uid=30063398" TargetMode="External"/><Relationship Id="rId139" Type="http://schemas.openxmlformats.org/officeDocument/2006/relationships/hyperlink" Target="https://www.ncbi.nlm.nih.gov/pubmed/?term=Mena%20E%5BAuthor%5D&amp;cauthor=true&amp;cauthor_uid=30747736" TargetMode="External"/><Relationship Id="rId290" Type="http://schemas.openxmlformats.org/officeDocument/2006/relationships/hyperlink" Target="https://ascopubs.org/doi/abs/10.1200/JCO.2021.39.6_suppl.270" TargetMode="External"/><Relationship Id="rId304" Type="http://schemas.openxmlformats.org/officeDocument/2006/relationships/hyperlink" Target="https://www.ncbi.nlm.nih.gov/pubmed/?term=KEYNOTE-426%20Investigators%5BCorporate%20Author%5D" TargetMode="External"/><Relationship Id="rId346" Type="http://schemas.openxmlformats.org/officeDocument/2006/relationships/hyperlink" Target="https://www.ncbi.nlm.nih.gov/pubmed/?term=Bogaerts%20J%5BAuthor%5D&amp;cauthor=true&amp;cauthor_uid=28271869" TargetMode="External"/><Relationship Id="rId388" Type="http://schemas.openxmlformats.org/officeDocument/2006/relationships/footer" Target="footer1.xml"/><Relationship Id="rId85" Type="http://schemas.openxmlformats.org/officeDocument/2006/relationships/hyperlink" Target="https://www.ncbi.nlm.nih.gov/pubmed/?term=Stembrowicz-Nowakowska%20Z%5BAuthor%5D&amp;cauthor=true&amp;cauthor_uid=26315869" TargetMode="External"/><Relationship Id="rId150" Type="http://schemas.openxmlformats.org/officeDocument/2006/relationships/hyperlink" Target="https://www.ncbi.nlm.nih.gov/pubmed/27140072" TargetMode="External"/><Relationship Id="rId192" Type="http://schemas.openxmlformats.org/officeDocument/2006/relationships/hyperlink" Target="https://www.ncbi.nlm.nih.gov/pubmed/?term=Carlo%20MI%5BAuthor%5D&amp;cauthor=true&amp;cauthor_uid=31326218" TargetMode="External"/><Relationship Id="rId206" Type="http://schemas.openxmlformats.org/officeDocument/2006/relationships/hyperlink" Target="https://www.ncbi.nlm.nih.gov/pubmed/?term=Finelli%20A%5BAuthor%5D&amp;cauthor=true&amp;cauthor_uid=27423824" TargetMode="External"/><Relationship Id="rId248" Type="http://schemas.openxmlformats.org/officeDocument/2006/relationships/hyperlink" Target="https://www.ncbi.nlm.nih.gov/pubmed/?term=Bex%20A%5BAuthor%5D&amp;cauthor=true&amp;cauthor_uid=30543350" TargetMode="External"/><Relationship Id="rId12" Type="http://schemas.openxmlformats.org/officeDocument/2006/relationships/hyperlink" Target="https://rosoncoweb.ru/standarts/?chapter=febrile_neutropenia" TargetMode="External"/><Relationship Id="rId108" Type="http://schemas.openxmlformats.org/officeDocument/2006/relationships/hyperlink" Target="https://www.ncbi.nlm.nih.gov/pubmed/?term=Barthelemy%20P%5BAuthor%5D&amp;cauthor=true&amp;cauthor_uid=31177140" TargetMode="External"/><Relationship Id="rId315" Type="http://schemas.openxmlformats.org/officeDocument/2006/relationships/hyperlink" Target="https://www.ncbi.nlm.nih.gov/pubmed/?term=Klaassen%20Z%5BAuthor%5D&amp;cauthor=true&amp;cauthor_uid=29656851" TargetMode="External"/><Relationship Id="rId357" Type="http://schemas.openxmlformats.org/officeDocument/2006/relationships/hyperlink" Target="https://www.ncbi.nlm.nih.gov/pubmed/?term=Therasse%20P%5BAuthor%5D&amp;cauthor=true&amp;cauthor_uid=19097774" TargetMode="External"/><Relationship Id="rId54" Type="http://schemas.openxmlformats.org/officeDocument/2006/relationships/hyperlink" Target="https://www.ncbi.nlm.nih.gov/pubmed/?term=Gorin%20MA%5BAuthor%5D&amp;cauthor=true&amp;cauthor_uid=28366705" TargetMode="External"/><Relationship Id="rId96" Type="http://schemas.openxmlformats.org/officeDocument/2006/relationships/hyperlink" Target="https://www.ncbi.nlm.nih.gov/pubmed/21887484" TargetMode="External"/><Relationship Id="rId161" Type="http://schemas.openxmlformats.org/officeDocument/2006/relationships/hyperlink" Target="https://www.ncbi.nlm.nih.gov/pubmed/?term=Kachura%20JR%5BAuthor%5D&amp;cauthor=true&amp;cauthor_uid=21704449" TargetMode="External"/><Relationship Id="rId217" Type="http://schemas.openxmlformats.org/officeDocument/2006/relationships/hyperlink" Target="http://www.ncbi.nlm.nih.gov/pubmed?term=Lohse%20CM%5BAuthor%5D&amp;cauthor=true&amp;cauthor_uid=21514718" TargetMode="External"/><Relationship Id="rId259" Type="http://schemas.openxmlformats.org/officeDocument/2006/relationships/hyperlink" Target="https://www.ncbi.nlm.nih.gov/pubmed/27157369" TargetMode="External"/><Relationship Id="rId23" Type="http://schemas.openxmlformats.org/officeDocument/2006/relationships/hyperlink" Target="https://www.ncbi.nlm.nih.gov/pubmed/?term=Mazumdar%20M%5BAuthor%5D&amp;cauthor=true&amp;cauthor_uid=10561319" TargetMode="External"/><Relationship Id="rId119" Type="http://schemas.openxmlformats.org/officeDocument/2006/relationships/hyperlink" Target="https://www.ncbi.nlm.nih.gov/pubmed/?term=Hallscheidt%20P%5BAuthor%5D&amp;cauthor=true&amp;cauthor_uid=16612730" TargetMode="External"/><Relationship Id="rId270" Type="http://schemas.openxmlformats.org/officeDocument/2006/relationships/hyperlink" Target="https://www.ncbi.nlm.nih.gov/pubmed/31303430" TargetMode="External"/><Relationship Id="rId326" Type="http://schemas.openxmlformats.org/officeDocument/2006/relationships/hyperlink" Target="https://www.ncbi.nlm.nih.gov/pubmed/?term=Amzal%20B%5BAuthor%5D&amp;cauthor=true&amp;cauthor_uid=28886175" TargetMode="External"/><Relationship Id="rId65" Type="http://schemas.openxmlformats.org/officeDocument/2006/relationships/hyperlink" Target="https://www.ncbi.nlm.nih.gov/pubmed/11435813" TargetMode="External"/><Relationship Id="rId130" Type="http://schemas.openxmlformats.org/officeDocument/2006/relationships/hyperlink" Target="https://www.ncbi.nlm.nih.gov/pubmed/?term=Rogers%20E%5BAuthor%5D&amp;cauthor=true&amp;cauthor_uid=17495058" TargetMode="External"/><Relationship Id="rId368" Type="http://schemas.openxmlformats.org/officeDocument/2006/relationships/hyperlink" Target="https://www.ncbi.nlm.nih.gov/pubmed/?term=Ford%20R%5BAuthor%5D&amp;cauthor=true&amp;cauthor_uid=19097774" TargetMode="External"/><Relationship Id="rId172" Type="http://schemas.openxmlformats.org/officeDocument/2006/relationships/hyperlink" Target="https://www.ncbi.nlm.nih.gov/pubmed/?term=Ng%20KL%5BAuthor%5D&amp;cauthor=true&amp;cauthor_uid=26951082" TargetMode="External"/><Relationship Id="rId228" Type="http://schemas.openxmlformats.org/officeDocument/2006/relationships/hyperlink" Target="https://www.ncbi.nlm.nih.gov/pubmed/?term=Massari%20F%5BAuthor%5D&amp;cauthor=true&amp;cauthor_uid=30324488" TargetMode="External"/><Relationship Id="rId281" Type="http://schemas.openxmlformats.org/officeDocument/2006/relationships/hyperlink" Target="https://meetinglibrary.asco.org/record/195569/abstract" TargetMode="External"/><Relationship Id="rId337" Type="http://schemas.openxmlformats.org/officeDocument/2006/relationships/hyperlink" Target="https://www.ncbi.nlm.nih.gov/pubmed/?term=Paine%20A%5BAuthor%5D&amp;cauthor=true&amp;cauthor_uid=23256638" TargetMode="External"/><Relationship Id="rId34" Type="http://schemas.openxmlformats.org/officeDocument/2006/relationships/hyperlink" Target="https://www.ncbi.nlm.nih.gov/pubmed/?term=Yang%20WX%5BAuthor%5D&amp;cauthor=true&amp;cauthor_uid=31308752" TargetMode="External"/><Relationship Id="rId76" Type="http://schemas.openxmlformats.org/officeDocument/2006/relationships/hyperlink" Target="https://www.ncbi.nlm.nih.gov/pubmed/?term=Aldenborg%20F%5BAuthor%5D&amp;cauthor=true&amp;cauthor_uid=1292074" TargetMode="External"/><Relationship Id="rId141" Type="http://schemas.openxmlformats.org/officeDocument/2006/relationships/hyperlink" Target="https://www.ncbi.nlm.nih.gov/pubmed/?term=Bouchelouche%20K%5BAuthor%5D&amp;cauthor=true&amp;cauthor_uid=30747736" TargetMode="External"/><Relationship Id="rId379" Type="http://schemas.openxmlformats.org/officeDocument/2006/relationships/hyperlink" Target="https://www.ncbi.nlm.nih.gov/pubmed/?term=Verweij%20J%5BAuthor%5D&amp;cauthor=true&amp;cauthor_uid=19097774" TargetMode="External"/><Relationship Id="rId7" Type="http://schemas.openxmlformats.org/officeDocument/2006/relationships/hyperlink" Target="https://www.invitro.ru/analizes/for-doctors/171/2864/" TargetMode="External"/><Relationship Id="rId183" Type="http://schemas.openxmlformats.org/officeDocument/2006/relationships/hyperlink" Target="https://www.ncbi.nlm.nih.gov/pubmed/26891054" TargetMode="External"/><Relationship Id="rId239" Type="http://schemas.openxmlformats.org/officeDocument/2006/relationships/hyperlink" Target="https://www.ncbi.nlm.nih.gov/pubmed/27138461" TargetMode="External"/><Relationship Id="rId390" Type="http://schemas.openxmlformats.org/officeDocument/2006/relationships/footer" Target="footer3.xml"/><Relationship Id="rId250" Type="http://schemas.openxmlformats.org/officeDocument/2006/relationships/hyperlink" Target="https://www.ncbi.nlm.nih.gov/pubmed/?term=Jewett%20M%5BAuthor%5D&amp;cauthor=true&amp;cauthor_uid=30543350" TargetMode="External"/><Relationship Id="rId292" Type="http://schemas.openxmlformats.org/officeDocument/2006/relationships/hyperlink" Target="https://ascopubs.org/doi/abs/10.1200/JCO.2021.39.6_suppl.270" TargetMode="External"/><Relationship Id="rId306" Type="http://schemas.openxmlformats.org/officeDocument/2006/relationships/hyperlink" Target="https://www.ncbi.nlm.nih.gov/pubmed/?term=Deng%20H%5BAuthor%5D&amp;cauthor=true&amp;cauthor_uid=31122210" TargetMode="External"/><Relationship Id="rId45" Type="http://schemas.openxmlformats.org/officeDocument/2006/relationships/hyperlink" Target="https://www.ncbi.nlm.nih.gov/pubmed/30063398" TargetMode="External"/><Relationship Id="rId87" Type="http://schemas.openxmlformats.org/officeDocument/2006/relationships/hyperlink" Target="https://www.ncbi.nlm.nih.gov/pubmed/26315869" TargetMode="External"/><Relationship Id="rId110" Type="http://schemas.openxmlformats.org/officeDocument/2006/relationships/hyperlink" Target="https://www.ncbi.nlm.nih.gov/pubmed/?term=Takeshita%20N%5BAuthor%5D&amp;cauthor=true&amp;cauthor_uid=31134469" TargetMode="External"/><Relationship Id="rId348" Type="http://schemas.openxmlformats.org/officeDocument/2006/relationships/hyperlink" Target="https://www.ncbi.nlm.nih.gov/pubmed/?term=RECIST%20working%20group%5BCorporate%20Author%5D" TargetMode="External"/><Relationship Id="rId152" Type="http://schemas.openxmlformats.org/officeDocument/2006/relationships/hyperlink" Target="https://www.ncbi.nlm.nih.gov/pubmed/?term=Muoio%20B%5BAuthor%5D&amp;cauthor=true&amp;cauthor_uid=25177235" TargetMode="External"/><Relationship Id="rId194" Type="http://schemas.openxmlformats.org/officeDocument/2006/relationships/hyperlink" Target="https://www.ncbi.nlm.nih.gov/pubmed/?term=Stewart%20GD%5BAuthor%5D&amp;cauthor=true&amp;cauthor_uid=31326218" TargetMode="External"/><Relationship Id="rId208" Type="http://schemas.openxmlformats.org/officeDocument/2006/relationships/hyperlink" Target="https://www.ncbi.nlm.nih.gov/pubmed/?term=Mir%20MC%5BAuthor%5D&amp;cauthor=true&amp;cauthor_uid=27614693" TargetMode="External"/><Relationship Id="rId261" Type="http://schemas.openxmlformats.org/officeDocument/2006/relationships/hyperlink" Target="https://www.ncbi.nlm.nih.gov/pubmed/?term=Li%20XG%5BAuthor%5D&amp;cauthor=true&amp;cauthor_uid=31382939" TargetMode="External"/><Relationship Id="rId14" Type="http://schemas.openxmlformats.org/officeDocument/2006/relationships/hyperlink" Target="https://rosoncoweb.ru/standarts/?chapter=cardiovascular_toxicity" TargetMode="External"/><Relationship Id="rId56" Type="http://schemas.openxmlformats.org/officeDocument/2006/relationships/hyperlink" Target="https://www.ncbi.nlm.nih.gov/pubmed/?term=Larcher%20A%5BAuthor%5D&amp;cauthor=true&amp;cauthor_uid=27684653" TargetMode="External"/><Relationship Id="rId317" Type="http://schemas.openxmlformats.org/officeDocument/2006/relationships/hyperlink" Target="https://www.ncbi.nlm.nih.gov/pubmed/29656851" TargetMode="External"/><Relationship Id="rId359" Type="http://schemas.openxmlformats.org/officeDocument/2006/relationships/hyperlink" Target="https://www.ncbi.nlm.nih.gov/pubmed/19097774" TargetMode="External"/><Relationship Id="rId98" Type="http://schemas.openxmlformats.org/officeDocument/2006/relationships/hyperlink" Target="https://www.ncbi.nlm.nih.gov/pubmed/?term=Spain%20L%5BAuthor%5D&amp;cauthor=true&amp;cauthor_uid=30701671" TargetMode="External"/><Relationship Id="rId121" Type="http://schemas.openxmlformats.org/officeDocument/2006/relationships/hyperlink" Target="https://www.ncbi.nlm.nih.gov/pubmed/?term=Noeldge%20G%5BAuthor%5D&amp;cauthor=true&amp;cauthor_uid=16612730" TargetMode="External"/><Relationship Id="rId163" Type="http://schemas.openxmlformats.org/officeDocument/2006/relationships/hyperlink" Target="https://www.ncbi.nlm.nih.gov/pubmed/?term=Deng%20J%5BAuthor%5D&amp;cauthor=true&amp;cauthor_uid=31277173" TargetMode="External"/><Relationship Id="rId219" Type="http://schemas.openxmlformats.org/officeDocument/2006/relationships/hyperlink" Target="http://www.sciencedirect.com/science/article/pii/S0302283808009123" TargetMode="External"/><Relationship Id="rId370" Type="http://schemas.openxmlformats.org/officeDocument/2006/relationships/hyperlink" Target="https://www.ncbi.nlm.nih.gov/pubmed/?term=Arbuck%20S%5BAuthor%5D&amp;cauthor=true&amp;cauthor_uid=19097774" TargetMode="External"/><Relationship Id="rId230" Type="http://schemas.openxmlformats.org/officeDocument/2006/relationships/hyperlink" Target="https://www.ncbi.nlm.nih.gov/pubmed/?term=Gatto%20L%5BAuthor%5D&amp;cauthor=true&amp;cauthor_uid=30324488" TargetMode="External"/><Relationship Id="rId25" Type="http://schemas.openxmlformats.org/officeDocument/2006/relationships/hyperlink" Target="https://www.ncbi.nlm.nih.gov/pubmed/10561319" TargetMode="External"/><Relationship Id="rId67" Type="http://schemas.openxmlformats.org/officeDocument/2006/relationships/hyperlink" Target="https://www.ncbi.nlm.nih.gov/pubmed/?term=Levey%20AS%5BAuthor%5D&amp;cauthor=true&amp;cauthor_uid=16945768" TargetMode="External"/><Relationship Id="rId272" Type="http://schemas.openxmlformats.org/officeDocument/2006/relationships/hyperlink" Target="https://www.ncbi.nlm.nih.gov/pubmed/?term=Zaffuto%20E%5BAuthor%5D&amp;cauthor=true&amp;cauthor_uid=29877179" TargetMode="External"/><Relationship Id="rId328" Type="http://schemas.openxmlformats.org/officeDocument/2006/relationships/hyperlink" Target="https://www.ncbi.nlm.nih.gov/pubmed/?term=Meng%20J%5BAuthor%5D&amp;cauthor=true&amp;cauthor_uid=28886175" TargetMode="External"/><Relationship Id="rId132" Type="http://schemas.openxmlformats.org/officeDocument/2006/relationships/hyperlink" Target="https://www.ncbi.nlm.nih.gov/pubmed/?term=Zelens'ky%C4%AD%20RO%5BAuthor%5D&amp;cauthor=true&amp;cauthor_uid=25842676" TargetMode="External"/><Relationship Id="rId174" Type="http://schemas.openxmlformats.org/officeDocument/2006/relationships/hyperlink" Target="https://www.ncbi.nlm.nih.gov/pubmed/?term=Bernard%20A%5BAuthor%5D&amp;cauthor=true&amp;cauthor_uid=26951082" TargetMode="External"/><Relationship Id="rId381" Type="http://schemas.openxmlformats.org/officeDocument/2006/relationships/hyperlink" Target="https://www.ncbi.nlm.nih.gov/pubmed/19097774" TargetMode="External"/><Relationship Id="rId241" Type="http://schemas.openxmlformats.org/officeDocument/2006/relationships/hyperlink" Target="https://www.ncbi.nlm.nih.gov/pubmed/?term=Sun%20M%5BAuthor%5D&amp;cauthor=true&amp;cauthor_uid=27325852" TargetMode="External"/><Relationship Id="rId36" Type="http://schemas.openxmlformats.org/officeDocument/2006/relationships/hyperlink" Target="https://www.ncbi.nlm.nih.gov/pubmed/31268640" TargetMode="External"/><Relationship Id="rId283" Type="http://schemas.openxmlformats.org/officeDocument/2006/relationships/hyperlink" Target="http://www.nejm.org/doi/full/10.1056/NEJMoa1816047?url_ver=Z39.88-2003&amp;rfr_id=ori:rid:crossref.org&amp;rfr_dat=cr_pub%3Dpubmed" TargetMode="External"/><Relationship Id="rId339" Type="http://schemas.openxmlformats.org/officeDocument/2006/relationships/hyperlink" Target="https://www.ncbi.nlm.nih.gov/pubmed/?term=pazopanib++pretreated+renal+cancer+meta-analysis" TargetMode="External"/><Relationship Id="rId78" Type="http://schemas.openxmlformats.org/officeDocument/2006/relationships/hyperlink" Target="https://www.ncbi.nlm.nih.gov/pubmed/?term=Seaman%20E%5BAuthor%5D&amp;cauthor=true&amp;cauthor_uid=8911510" TargetMode="External"/><Relationship Id="rId101" Type="http://schemas.openxmlformats.org/officeDocument/2006/relationships/hyperlink" Target="https://www.ncbi.nlm.nih.gov/pubmed/?term=Tomiyama%20A%5BAuthor%5D&amp;cauthor=true&amp;cauthor_uid=18688144" TargetMode="External"/><Relationship Id="rId143" Type="http://schemas.openxmlformats.org/officeDocument/2006/relationships/hyperlink" Target="https://www.ncbi.nlm.nih.gov/pubmed/30747736" TargetMode="External"/><Relationship Id="rId185" Type="http://schemas.openxmlformats.org/officeDocument/2006/relationships/hyperlink" Target="https://www.ncbi.nlm.nih.gov/pubmed/?term=Li%20H%5BAuthor%5D&amp;cauthor=true&amp;cauthor_uid=26887985" TargetMode="External"/><Relationship Id="rId350" Type="http://schemas.openxmlformats.org/officeDocument/2006/relationships/hyperlink" Target="https://www.ncbi.nlm.nih.gov/pubmed/?term=Miyake+H+Current+urology+2016%3B10%3A26-31" TargetMode="External"/><Relationship Id="rId9" Type="http://schemas.openxmlformats.org/officeDocument/2006/relationships/hyperlink" Target="https://rosoncoweb.ru/standarts/?chapter=anemia" TargetMode="External"/><Relationship Id="rId210" Type="http://schemas.openxmlformats.org/officeDocument/2006/relationships/hyperlink" Target="https://www.ncbi.nlm.nih.gov/pubmed/?term=Porpiglia%20F%5BAuthor%5D&amp;cauthor=true&amp;cauthor_uid=27614693" TargetMode="External"/><Relationship Id="rId392" Type="http://schemas.openxmlformats.org/officeDocument/2006/relationships/footer" Target="footer5.xml"/><Relationship Id="rId252" Type="http://schemas.openxmlformats.org/officeDocument/2006/relationships/hyperlink" Target="https://www.ncbi.nlm.nih.gov/pubmed/31017089" TargetMode="External"/><Relationship Id="rId294" Type="http://schemas.openxmlformats.org/officeDocument/2006/relationships/hyperlink" Target="https://ascopubs.org/doi/abs/10.1200/JCO.2021.39.6_suppl.270" TargetMode="External"/><Relationship Id="rId308" Type="http://schemas.openxmlformats.org/officeDocument/2006/relationships/hyperlink" Target="https://www.ncbi.nlm.nih.gov/pubmed/?term=Hong%20Z%5BAuthor%5D&amp;cauthor=true&amp;cauthor_uid=31122210" TargetMode="External"/><Relationship Id="rId47" Type="http://schemas.openxmlformats.org/officeDocument/2006/relationships/hyperlink" Target="https://www.ncbi.nlm.nih.gov/pubmed/?term=Tuck%20BC%5BAuthor%5D&amp;cauthor=true&amp;cauthor_uid=30387206" TargetMode="External"/><Relationship Id="rId89" Type="http://schemas.openxmlformats.org/officeDocument/2006/relationships/hyperlink" Target="https://www.ncbi.nlm.nih.gov/pubmed/?term=van%20der%20Velden%20JM%5BAuthor%5D&amp;cauthor=true&amp;cauthor_uid=28866897" TargetMode="External"/><Relationship Id="rId112" Type="http://schemas.openxmlformats.org/officeDocument/2006/relationships/hyperlink" Target="https://www.ncbi.nlm.nih.gov/pubmed/?term=Kamasako%20T%5BAuthor%5D&amp;cauthor=true&amp;cauthor_uid=31134469" TargetMode="External"/><Relationship Id="rId154" Type="http://schemas.openxmlformats.org/officeDocument/2006/relationships/hyperlink" Target="https://www.ncbi.nlm.nih.gov/pubmed/25177235" TargetMode="External"/><Relationship Id="rId361" Type="http://schemas.openxmlformats.org/officeDocument/2006/relationships/hyperlink" Target="https://pharmvestnik.ru/documents/ot-10-12-2018-g-2738-r.html" TargetMode="External"/><Relationship Id="rId196" Type="http://schemas.openxmlformats.org/officeDocument/2006/relationships/hyperlink" Target="https://www.ncbi.nlm.nih.gov/pubmed/?term=Hampel%20H%5BAuthor%5D&amp;cauthor=true&amp;cauthor_uid=25394175" TargetMode="External"/><Relationship Id="rId16" Type="http://schemas.openxmlformats.org/officeDocument/2006/relationships/hyperlink" Target="https://rosoncoweb.ru/standarts/?chapter=nutritional_support" TargetMode="External"/><Relationship Id="rId221" Type="http://schemas.openxmlformats.org/officeDocument/2006/relationships/hyperlink" Target="http://www.sciencedirect.com/science/article/pii/S0302283808009123" TargetMode="External"/><Relationship Id="rId242" Type="http://schemas.openxmlformats.org/officeDocument/2006/relationships/hyperlink" Target="https://www.ncbi.nlm.nih.gov/pubmed/?term=Meyer%20CP%5BAuthor%5D&amp;cauthor=true&amp;cauthor_uid=27325852" TargetMode="External"/><Relationship Id="rId263" Type="http://schemas.openxmlformats.org/officeDocument/2006/relationships/hyperlink" Target="https://www.ncbi.nlm.nih.gov/pubmed/?term=Cai%20W%5BAuthor%5D&amp;cauthor=true&amp;cauthor_uid=30184524" TargetMode="External"/><Relationship Id="rId284" Type="http://schemas.openxmlformats.org/officeDocument/2006/relationships/hyperlink" Target="https://www.ncbi.nlm.nih.gov/pubmed/28143045" TargetMode="External"/><Relationship Id="rId319" Type="http://schemas.openxmlformats.org/officeDocument/2006/relationships/hyperlink" Target="https://www.ncbi.nlm.nih.gov/pubmed/?term=Klaassen%20Z%5BAuthor%5D&amp;cauthor=true&amp;cauthor_uid=31588018" TargetMode="External"/><Relationship Id="rId37" Type="http://schemas.openxmlformats.org/officeDocument/2006/relationships/hyperlink" Target="https://www.ncbi.nlm.nih.gov/pubmed/31268640" TargetMode="External"/><Relationship Id="rId58" Type="http://schemas.openxmlformats.org/officeDocument/2006/relationships/hyperlink" Target="https://www.ncbi.nlm.nih.gov/pubmed/?term=Fossati%20N%5BAuthor%5D&amp;cauthor=true&amp;cauthor_uid=27684653" TargetMode="External"/><Relationship Id="rId79" Type="http://schemas.openxmlformats.org/officeDocument/2006/relationships/hyperlink" Target="https://www.ncbi.nlm.nih.gov/pubmed/?term=Goluboff%20ET%5BAuthor%5D&amp;cauthor=true&amp;cauthor_uid=8911510" TargetMode="External"/><Relationship Id="rId102" Type="http://schemas.openxmlformats.org/officeDocument/2006/relationships/hyperlink" Target="https://www.ncbi.nlm.nih.gov/pubmed/?term=Nakayama%20H%5BAuthor%5D&amp;cauthor=true&amp;cauthor_uid=18688144" TargetMode="External"/><Relationship Id="rId123" Type="http://schemas.openxmlformats.org/officeDocument/2006/relationships/hyperlink" Target="https://www.ncbi.nlm.nih.gov/pubmed/?term=Schwartz%20MJ%5BAuthor%5D&amp;cauthor=true&amp;cauthor_uid=17166242" TargetMode="External"/><Relationship Id="rId144" Type="http://schemas.openxmlformats.org/officeDocument/2006/relationships/hyperlink" Target="https://www.ncbi.nlm.nih.gov/pubmed/?term=Wang%20HY%5BAuthor%5D&amp;cauthor=true&amp;cauthor_uid=23108238" TargetMode="External"/><Relationship Id="rId330" Type="http://schemas.openxmlformats.org/officeDocument/2006/relationships/hyperlink" Target="https://www.ncbi.nlm.nih.gov/pubmed/?term=Edwards%20SJ%5BAuthor%5D&amp;cauthor=true&amp;cauthor_uid=29393024" TargetMode="External"/><Relationship Id="rId90" Type="http://schemas.openxmlformats.org/officeDocument/2006/relationships/hyperlink" Target="https://www.ncbi.nlm.nih.gov/pubmed/?term=Gerlich%20AS%5BAuthor%5D&amp;cauthor=true&amp;cauthor_uid=28866897" TargetMode="External"/><Relationship Id="rId165" Type="http://schemas.openxmlformats.org/officeDocument/2006/relationships/hyperlink" Target="https://www.ncbi.nlm.nih.gov/pubmed/?term=Xia%20H%5BAuthor%5D&amp;cauthor=true&amp;cauthor_uid=31277173" TargetMode="External"/><Relationship Id="rId186" Type="http://schemas.openxmlformats.org/officeDocument/2006/relationships/hyperlink" Target="https://www.ncbi.nlm.nih.gov/pubmed/?term=Gu%20L%5BAuthor%5D&amp;cauthor=true&amp;cauthor_uid=26887985" TargetMode="External"/><Relationship Id="rId351" Type="http://schemas.openxmlformats.org/officeDocument/2006/relationships/hyperlink" Target="https://www.ncbi.nlm.nih.gov/pubmed/?term=Eggener%20SE%5BAuthor%5D&amp;cauthor=true&amp;cauthor_uid=16809736" TargetMode="External"/><Relationship Id="rId372" Type="http://schemas.openxmlformats.org/officeDocument/2006/relationships/hyperlink" Target="https://www.ncbi.nlm.nih.gov/pubmed/?term=Gwyther%20S%5BAuthor%5D&amp;cauthor=true&amp;cauthor_uid=19097774" TargetMode="External"/><Relationship Id="rId393" Type="http://schemas.openxmlformats.org/officeDocument/2006/relationships/footer" Target="footer6.xml"/><Relationship Id="rId211" Type="http://schemas.openxmlformats.org/officeDocument/2006/relationships/hyperlink" Target="https://www.ncbi.nlm.nih.gov/pubmed/27614693" TargetMode="External"/><Relationship Id="rId232" Type="http://schemas.openxmlformats.org/officeDocument/2006/relationships/hyperlink" Target="https://www.ncbi.nlm.nih.gov/pubmed/?term=Garc%C3%ADa-Perdomo%20HA%5BAuthor%5D&amp;cauthor=true&amp;cauthor_uid=29333508" TargetMode="External"/><Relationship Id="rId253" Type="http://schemas.openxmlformats.org/officeDocument/2006/relationships/hyperlink" Target="https://www.ncbi.nlm.nih.gov/pubmed/?term=Stenman%20M%5BAuthor%5D&amp;cauthor=true&amp;cauthor_uid=29754859" TargetMode="External"/><Relationship Id="rId274" Type="http://schemas.openxmlformats.org/officeDocument/2006/relationships/hyperlink" Target="https://www.ncbi.nlm.nih.gov/pubmed/29877179" TargetMode="External"/><Relationship Id="rId295" Type="http://schemas.openxmlformats.org/officeDocument/2006/relationships/hyperlink" Target="https://ascopubs.org/doi/abs/10.1200/JCO.2021.39.6_suppl.270" TargetMode="External"/><Relationship Id="rId309" Type="http://schemas.openxmlformats.org/officeDocument/2006/relationships/hyperlink" Target="https://www.ncbi.nlm.nih.gov/pubmed/31122210" TargetMode="External"/><Relationship Id="rId27" Type="http://schemas.openxmlformats.org/officeDocument/2006/relationships/hyperlink" Target="http://ascopubs.org/author/Xie%2C+Wanling" TargetMode="External"/><Relationship Id="rId48" Type="http://schemas.openxmlformats.org/officeDocument/2006/relationships/hyperlink" Target="https://www.ncbi.nlm.nih.gov/pubmed/?term=Gray%20SH%5BAuthor%5D&amp;cauthor=true&amp;cauthor_uid=30387206" TargetMode="External"/><Relationship Id="rId69" Type="http://schemas.openxmlformats.org/officeDocument/2006/relationships/hyperlink" Target="https://www.ncbi.nlm.nih.gov/pubmed/16945768" TargetMode="External"/><Relationship Id="rId113" Type="http://schemas.openxmlformats.org/officeDocument/2006/relationships/hyperlink" Target="https://www.ncbi.nlm.nih.gov/pubmed/31134469" TargetMode="External"/><Relationship Id="rId134" Type="http://schemas.openxmlformats.org/officeDocument/2006/relationships/hyperlink" Target="https://www.ncbi.nlm.nih.gov/pubmed/?term=Ma%20H%5BAuthor%5D&amp;cauthor=true&amp;cauthor_uid=27824726" TargetMode="External"/><Relationship Id="rId320" Type="http://schemas.openxmlformats.org/officeDocument/2006/relationships/hyperlink" Target="https://www.ncbi.nlm.nih.gov/pubmed/?term=Agarwal%20N%5BAuthor%5D&amp;cauthor=true&amp;cauthor_uid=31588018" TargetMode="External"/><Relationship Id="rId80" Type="http://schemas.openxmlformats.org/officeDocument/2006/relationships/hyperlink" Target="https://www.ncbi.nlm.nih.gov/pubmed/?term=Ross%20S%5BAuthor%5D&amp;cauthor=true&amp;cauthor_uid=8911510" TargetMode="External"/><Relationship Id="rId155" Type="http://schemas.openxmlformats.org/officeDocument/2006/relationships/hyperlink" Target="https://www.ncbi.nlm.nih.gov/pubmed/?term=Marconi%20L%5BAuthor%5D&amp;cauthor=true&amp;cauthor_uid=26323946" TargetMode="External"/><Relationship Id="rId176" Type="http://schemas.openxmlformats.org/officeDocument/2006/relationships/hyperlink" Target="https://www.ncbi.nlm.nih.gov/pubmed/?term=Gu%20L%5BAuthor%5D&amp;cauthor=true&amp;cauthor_uid=29960124" TargetMode="External"/><Relationship Id="rId197" Type="http://schemas.openxmlformats.org/officeDocument/2006/relationships/hyperlink" Target="https://www.ncbi.nlm.nih.gov/pubmed/?term=Bennett%20RL%5BAuthor%5D&amp;cauthor=true&amp;cauthor_uid=25394175" TargetMode="External"/><Relationship Id="rId341" Type="http://schemas.openxmlformats.org/officeDocument/2006/relationships/hyperlink" Target="https://www.ncbi.nlm.nih.gov/pubmed/?term=Rousseau%20B%5BAuthor%5D&amp;cauthor=true&amp;cauthor_uid=27823651" TargetMode="External"/><Relationship Id="rId362" Type="http://schemas.openxmlformats.org/officeDocument/2006/relationships/image" Target="media/image1.jpg"/><Relationship Id="rId383" Type="http://schemas.openxmlformats.org/officeDocument/2006/relationships/hyperlink" Target="https://www.ncbi.nlm.nih.gov/pubmed/?term=Seymour%20L%5BAuthor%5D&amp;cauthor=true&amp;cauthor_uid=28271869" TargetMode="External"/><Relationship Id="rId201" Type="http://schemas.openxmlformats.org/officeDocument/2006/relationships/hyperlink" Target="https://www.ncbi.nlm.nih.gov/pubmed/?term=Da%20Pozzo%20L%5BAuthor%5D&amp;cauthor=true&amp;cauthor_uid=21186077" TargetMode="External"/><Relationship Id="rId222" Type="http://schemas.openxmlformats.org/officeDocument/2006/relationships/hyperlink" Target="http://www.sciencedirect.com/science/journal/03022838" TargetMode="External"/><Relationship Id="rId243" Type="http://schemas.openxmlformats.org/officeDocument/2006/relationships/hyperlink" Target="https://www.ncbi.nlm.nih.gov/pubmed/27325852" TargetMode="External"/><Relationship Id="rId264" Type="http://schemas.openxmlformats.org/officeDocument/2006/relationships/hyperlink" Target="https://www.ncbi.nlm.nih.gov/pubmed/?term=Huang%20J%5BAuthor%5D&amp;cauthor=true&amp;cauthor_uid=30184524" TargetMode="External"/><Relationship Id="rId285" Type="http://schemas.openxmlformats.org/officeDocument/2006/relationships/hyperlink" Target="https://www.ncbi.nlm.nih.gov/pubmed/28143045" TargetMode="External"/><Relationship Id="rId17" Type="http://schemas.openxmlformats.org/officeDocument/2006/relationships/hyperlink" Target="https://rosoncoweb.ru/standarts/?chapter=nephrotoxicity" TargetMode="External"/><Relationship Id="rId38" Type="http://schemas.openxmlformats.org/officeDocument/2006/relationships/hyperlink" Target="https://www.ncbi.nlm.nih.gov/pubmed/?term=Salameh%20JP%5BAuthor%5D&amp;cauthor=true&amp;cauthor_uid=30714831" TargetMode="External"/><Relationship Id="rId59" Type="http://schemas.openxmlformats.org/officeDocument/2006/relationships/hyperlink" Target="https://www.ncbi.nlm.nih.gov/pubmed/27684653" TargetMode="External"/><Relationship Id="rId103" Type="http://schemas.openxmlformats.org/officeDocument/2006/relationships/hyperlink" Target="https://www.ncbi.nlm.nih.gov/pubmed/?term=Aoki%20K%5BAuthor%5D&amp;cauthor=true&amp;cauthor_uid=18688144" TargetMode="External"/><Relationship Id="rId124" Type="http://schemas.openxmlformats.org/officeDocument/2006/relationships/hyperlink" Target="https://www.ncbi.nlm.nih.gov/pubmed/?term=Smith%20EB%5BAuthor%5D&amp;cauthor=true&amp;cauthor_uid=17166242" TargetMode="External"/><Relationship Id="rId310" Type="http://schemas.openxmlformats.org/officeDocument/2006/relationships/hyperlink" Target="https://www.ncbi.nlm.nih.gov/pubmed/?term=Iacovelli%20R%5BAuthor%5D&amp;cauthor=true&amp;cauthor_uid=30145397" TargetMode="External"/><Relationship Id="rId70" Type="http://schemas.openxmlformats.org/officeDocument/2006/relationships/hyperlink" Target="https://www.ncbi.nlm.nih.gov/pubmed/?term=Larcher%20A%5BAuthor%5D&amp;cauthor=true&amp;cauthor_uid=28890151" TargetMode="External"/><Relationship Id="rId91" Type="http://schemas.openxmlformats.org/officeDocument/2006/relationships/hyperlink" Target="https://www.ncbi.nlm.nih.gov/pubmed/28866897" TargetMode="External"/><Relationship Id="rId145" Type="http://schemas.openxmlformats.org/officeDocument/2006/relationships/hyperlink" Target="https://www.ncbi.nlm.nih.gov/pubmed/?term=Ding%20HJ%5BAuthor%5D&amp;cauthor=true&amp;cauthor_uid=23108238" TargetMode="External"/><Relationship Id="rId166" Type="http://schemas.openxmlformats.org/officeDocument/2006/relationships/hyperlink" Target="https://www.ncbi.nlm.nih.gov/pubmed/?term=Guo%20J%5BAuthor%5D&amp;cauthor=true&amp;cauthor_uid=31277173" TargetMode="External"/><Relationship Id="rId187" Type="http://schemas.openxmlformats.org/officeDocument/2006/relationships/hyperlink" Target="https://www.ncbi.nlm.nih.gov/pubmed/26887985" TargetMode="External"/><Relationship Id="rId331" Type="http://schemas.openxmlformats.org/officeDocument/2006/relationships/hyperlink" Target="https://www.ncbi.nlm.nih.gov/pubmed/?term=Wakefield%20V%5BAuthor%5D&amp;cauthor=true&amp;cauthor_uid=29393024" TargetMode="External"/><Relationship Id="rId352" Type="http://schemas.openxmlformats.org/officeDocument/2006/relationships/hyperlink" Target="https://www.ncbi.nlm.nih.gov/pubmed/?term=Yossepowitch%20O%5BAuthor%5D&amp;cauthor=true&amp;cauthor_uid=16809736" TargetMode="External"/><Relationship Id="rId373" Type="http://schemas.openxmlformats.org/officeDocument/2006/relationships/hyperlink" Target="https://www.ncbi.nlm.nih.gov/pubmed/?term=Mooney%20M%5BAuthor%5D&amp;cauthor=true&amp;cauthor_uid=19097774" TargetMode="External"/><Relationship Id="rId394"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https://bmcurol.biomedcentral.com/articles/10.1186/s12894-019-0480-6" TargetMode="External"/><Relationship Id="rId233" Type="http://schemas.openxmlformats.org/officeDocument/2006/relationships/hyperlink" Target="https://www.ncbi.nlm.nih.gov/pubmed/?term=Zapata-Copete%20JA%5BAuthor%5D&amp;cauthor=true&amp;cauthor_uid=29333508" TargetMode="External"/><Relationship Id="rId254" Type="http://schemas.openxmlformats.org/officeDocument/2006/relationships/hyperlink" Target="https://www.ncbi.nlm.nih.gov/pubmed/?term=Sinclair%20G%5BAuthor%5D&amp;cauthor=true&amp;cauthor_uid=29754859" TargetMode="External"/><Relationship Id="rId28" Type="http://schemas.openxmlformats.org/officeDocument/2006/relationships/hyperlink" Target="http://ascopubs.org/author/Regan%2C+Meredith+M" TargetMode="External"/><Relationship Id="rId49" Type="http://schemas.openxmlformats.org/officeDocument/2006/relationships/hyperlink" Target="https://www.ncbi.nlm.nih.gov/pubmed/30387206" TargetMode="External"/><Relationship Id="rId114" Type="http://schemas.openxmlformats.org/officeDocument/2006/relationships/hyperlink" Target="https://www.ncbi.nlm.nih.gov/pubmed/?term=Lamb%20GW%5BAuthor%5D&amp;cauthor=true&amp;cauthor_uid=15533476" TargetMode="External"/><Relationship Id="rId275" Type="http://schemas.openxmlformats.org/officeDocument/2006/relationships/hyperlink" Target="https://www.ncbi.nlm.nih.gov/pubmed/?term=Motzer%20RJ%5BAuthor%5D&amp;cauthor=true&amp;cauthor_uid=23964934" TargetMode="External"/><Relationship Id="rId296" Type="http://schemas.openxmlformats.org/officeDocument/2006/relationships/hyperlink" Target="https://ascopubs.org/doi/abs/10.1200/JCO.20.02365" TargetMode="External"/><Relationship Id="rId300" Type="http://schemas.openxmlformats.org/officeDocument/2006/relationships/hyperlink" Target="https://ascopubs.org/doi/abs/10.1200/JCO.2021.39.6_suppl.309" TargetMode="External"/><Relationship Id="rId60" Type="http://schemas.openxmlformats.org/officeDocument/2006/relationships/hyperlink" Target="https://www.ncbi.nlm.nih.gov/pubmed/?term=Heidenreich%20A%5BAuthor%5D&amp;cauthor=true&amp;cauthor_uid=15290202" TargetMode="External"/><Relationship Id="rId81" Type="http://schemas.openxmlformats.org/officeDocument/2006/relationships/hyperlink" Target="https://www.ncbi.nlm.nih.gov/pubmed/?term=Sawczuk%20IS%5BAuthor%5D&amp;cauthor=true&amp;cauthor_uid=8911510" TargetMode="External"/><Relationship Id="rId135" Type="http://schemas.openxmlformats.org/officeDocument/2006/relationships/hyperlink" Target="https://www.ncbi.nlm.nih.gov/pubmed/?term=Shen%20G%5BAuthor%5D&amp;cauthor=true&amp;cauthor_uid=27824726" TargetMode="External"/><Relationship Id="rId156" Type="http://schemas.openxmlformats.org/officeDocument/2006/relationships/hyperlink" Target="https://www.ncbi.nlm.nih.gov/pubmed/?term=Dabestani%20S%5BAuthor%5D&amp;cauthor=true&amp;cauthor_uid=26323946" TargetMode="External"/><Relationship Id="rId177" Type="http://schemas.openxmlformats.org/officeDocument/2006/relationships/hyperlink" Target="https://www.ncbi.nlm.nih.gov/pubmed/?term=Li%20H%5BAuthor%5D&amp;cauthor=true&amp;cauthor_uid=29960124" TargetMode="External"/><Relationship Id="rId198" Type="http://schemas.openxmlformats.org/officeDocument/2006/relationships/hyperlink" Target="https://www.ncbi.nlm.nih.gov/pubmed/?term=Buchanan%20A%5BAuthor%5D&amp;cauthor=true&amp;cauthor_uid=25394175" TargetMode="External"/><Relationship Id="rId321" Type="http://schemas.openxmlformats.org/officeDocument/2006/relationships/hyperlink" Target="https://www.ncbi.nlm.nih.gov/pubmed/?term=pembrolizumab+axitinib+renal+cancer+meta-analysis" TargetMode="External"/><Relationship Id="rId342" Type="http://schemas.openxmlformats.org/officeDocument/2006/relationships/hyperlink" Target="https://www.ncbi.nlm.nih.gov/pubmed/?term=Kempf%20E%5BAuthor%5D&amp;cauthor=true&amp;cauthor_uid=27823651" TargetMode="External"/><Relationship Id="rId363" Type="http://schemas.openxmlformats.org/officeDocument/2006/relationships/image" Target="media/image2.jpg"/><Relationship Id="rId384" Type="http://schemas.openxmlformats.org/officeDocument/2006/relationships/hyperlink" Target="https://www.ncbi.nlm.nih.gov/pubmed/?term=Bogaerts%20J%5BAuthor%5D&amp;cauthor=true&amp;cauthor_uid=28271869" TargetMode="External"/><Relationship Id="rId202" Type="http://schemas.openxmlformats.org/officeDocument/2006/relationships/hyperlink" Target="https://www.ncbi.nlm.nih.gov/pubmed/?term=Albrecht%20W%5BAuthor%5D&amp;cauthor=true&amp;cauthor_uid=21186077" TargetMode="External"/><Relationship Id="rId223" Type="http://schemas.openxmlformats.org/officeDocument/2006/relationships/hyperlink" Target="http://www.sciencedirect.com/science/journal/03022838/55/2" TargetMode="External"/><Relationship Id="rId244" Type="http://schemas.openxmlformats.org/officeDocument/2006/relationships/hyperlink" Target="https://www.ncbi.nlm.nih.gov/pubmed/?term=Heng%20DY%5BAuthor%5D&amp;cauthor=true&amp;cauthor_uid=24931622" TargetMode="External"/><Relationship Id="rId18" Type="http://schemas.openxmlformats.org/officeDocument/2006/relationships/hyperlink" Target="https://rosoncoweb.ru/standarts/?chapter=thromboembolism" TargetMode="External"/><Relationship Id="rId39" Type="http://schemas.openxmlformats.org/officeDocument/2006/relationships/hyperlink" Target="https://www.ncbi.nlm.nih.gov/pubmed/?term=McInnes%20MDF%5BAuthor%5D&amp;cauthor=true&amp;cauthor_uid=30714831" TargetMode="External"/><Relationship Id="rId265" Type="http://schemas.openxmlformats.org/officeDocument/2006/relationships/hyperlink" Target="https://www.ncbi.nlm.nih.gov/pubmed/?term=Yuan%20Y%5BAuthor%5D&amp;cauthor=true&amp;cauthor_uid=30184524" TargetMode="External"/><Relationship Id="rId286" Type="http://schemas.openxmlformats.org/officeDocument/2006/relationships/hyperlink" Target="https://www.ncbi.nlm.nih.gov/pubmed/28143045" TargetMode="External"/><Relationship Id="rId50" Type="http://schemas.openxmlformats.org/officeDocument/2006/relationships/hyperlink" Target="https://www.ncbi.nlm.nih.gov/pubmed/30916135" TargetMode="External"/><Relationship Id="rId104" Type="http://schemas.openxmlformats.org/officeDocument/2006/relationships/hyperlink" Target="https://www.ncbi.nlm.nih.gov/pubmed/?term=Ueda%20M%5BAuthor%5D&amp;cauthor=true&amp;cauthor_uid=18688144" TargetMode="External"/><Relationship Id="rId125" Type="http://schemas.openxmlformats.org/officeDocument/2006/relationships/hyperlink" Target="https://www.ncbi.nlm.nih.gov/pubmed/?term=Trost%20DW%5BAuthor%5D&amp;cauthor=true&amp;cauthor_uid=17166242" TargetMode="External"/><Relationship Id="rId146" Type="http://schemas.openxmlformats.org/officeDocument/2006/relationships/hyperlink" Target="https://www.ncbi.nlm.nih.gov/pubmed/?term=Chen%20JH%5BAuthor%5D&amp;cauthor=true&amp;cauthor_uid=23108238" TargetMode="External"/><Relationship Id="rId167" Type="http://schemas.openxmlformats.org/officeDocument/2006/relationships/hyperlink" Target="https://www.ncbi.nlm.nih.gov/pubmed/31277173" TargetMode="External"/><Relationship Id="rId188" Type="http://schemas.openxmlformats.org/officeDocument/2006/relationships/hyperlink" Target="https://www.ncbi.nlm.nih.gov/pubmed/?term=Zhang%20L%5BAuthor%5D&amp;cauthor=true&amp;cauthor_uid=31380284" TargetMode="External"/><Relationship Id="rId311" Type="http://schemas.openxmlformats.org/officeDocument/2006/relationships/hyperlink" Target="https://www.ncbi.nlm.nih.gov/pubmed/?term=Ciccarese%20C%5BAuthor%5D&amp;cauthor=true&amp;cauthor_uid=30145397" TargetMode="External"/><Relationship Id="rId332" Type="http://schemas.openxmlformats.org/officeDocument/2006/relationships/hyperlink" Target="https://www.ncbi.nlm.nih.gov/pubmed/?term=Cain%20P%5BAuthor%5D&amp;cauthor=true&amp;cauthor_uid=29393024" TargetMode="External"/><Relationship Id="rId353" Type="http://schemas.openxmlformats.org/officeDocument/2006/relationships/hyperlink" Target="https://www.ncbi.nlm.nih.gov/pubmed/?term=Pettus%20JA%5BAuthor%5D&amp;cauthor=true&amp;cauthor_uid=16809736" TargetMode="External"/><Relationship Id="rId374" Type="http://schemas.openxmlformats.org/officeDocument/2006/relationships/hyperlink" Target="https://www.ncbi.nlm.nih.gov/pubmed/?term=Rubinstein%20L%5BAuthor%5D&amp;cauthor=true&amp;cauthor_uid=19097774" TargetMode="External"/><Relationship Id="rId395" Type="http://schemas.openxmlformats.org/officeDocument/2006/relationships/theme" Target="theme/theme1.xml"/><Relationship Id="rId71" Type="http://schemas.openxmlformats.org/officeDocument/2006/relationships/hyperlink" Target="https://www.ncbi.nlm.nih.gov/pubmed/?term=Muttin%20F%5BAuthor%5D&amp;cauthor=true&amp;cauthor_uid=28890151" TargetMode="External"/><Relationship Id="rId92" Type="http://schemas.openxmlformats.org/officeDocument/2006/relationships/hyperlink" Target="https://www.ncbi.nlm.nih.gov/pubmed/?term=Nomoto%20Y%5BAuthor%5D&amp;cauthor=true&amp;cauthor_uid=27098902" TargetMode="External"/><Relationship Id="rId213" Type="http://schemas.openxmlformats.org/officeDocument/2006/relationships/hyperlink" Target="https://bmcurol.biomedcentral.com/articles/10.1186/s12894-019-0480-6" TargetMode="External"/><Relationship Id="rId234" Type="http://schemas.openxmlformats.org/officeDocument/2006/relationships/hyperlink" Target="https://www.ncbi.nlm.nih.gov/pubmed/?term=Castillo-Cobaleda%20DF%5BAuthor%5D&amp;cauthor=true&amp;cauthor_uid=29333508" TargetMode="External"/><Relationship Id="rId2" Type="http://schemas.openxmlformats.org/officeDocument/2006/relationships/styles" Target="styles.xml"/><Relationship Id="rId29" Type="http://schemas.openxmlformats.org/officeDocument/2006/relationships/hyperlink" Target="https://www.ncbi.nlm.nih.gov/pubmed/?term=Israel%20GM%5BAuthor%5D&amp;cauthor=true&amp;cauthor_uid=16040900" TargetMode="External"/><Relationship Id="rId255" Type="http://schemas.openxmlformats.org/officeDocument/2006/relationships/hyperlink" Target="https://www.ncbi.nlm.nih.gov/pubmed/?term=Paavola%20P%5BAuthor%5D&amp;cauthor=true&amp;cauthor_uid=29754859" TargetMode="External"/><Relationship Id="rId276" Type="http://schemas.openxmlformats.org/officeDocument/2006/relationships/hyperlink" Target="https://www.ncbi.nlm.nih.gov/pubmed/?term=Hutson%20TE%5BAuthor%5D&amp;cauthor=true&amp;cauthor_uid=23964934" TargetMode="External"/><Relationship Id="rId297" Type="http://schemas.openxmlformats.org/officeDocument/2006/relationships/hyperlink" Target="https://ascopubs.org/doi/abs/10.1200/JCO.20.02365" TargetMode="External"/><Relationship Id="rId40" Type="http://schemas.openxmlformats.org/officeDocument/2006/relationships/hyperlink" Target="https://www.ncbi.nlm.nih.gov/pubmed/?term=McGrath%20TA%5BAuthor%5D&amp;cauthor=true&amp;cauthor_uid=30714831" TargetMode="External"/><Relationship Id="rId115" Type="http://schemas.openxmlformats.org/officeDocument/2006/relationships/hyperlink" Target="https://www.ncbi.nlm.nih.gov/pubmed/?term=Bromwich%20EJ%5BAuthor%5D&amp;cauthor=true&amp;cauthor_uid=15533476" TargetMode="External"/><Relationship Id="rId136" Type="http://schemas.openxmlformats.org/officeDocument/2006/relationships/hyperlink" Target="https://www.ncbi.nlm.nih.gov/pubmed/?term=Liu%20B%5BAuthor%5D&amp;cauthor=true&amp;cauthor_uid=27824726" TargetMode="External"/><Relationship Id="rId157" Type="http://schemas.openxmlformats.org/officeDocument/2006/relationships/hyperlink" Target="https://www.ncbi.nlm.nih.gov/pubmed/?term=Lam%20TB%5BAuthor%5D&amp;cauthor=true&amp;cauthor_uid=26323946" TargetMode="External"/><Relationship Id="rId178" Type="http://schemas.openxmlformats.org/officeDocument/2006/relationships/hyperlink" Target="https://www.ncbi.nlm.nih.gov/pubmed/?term=Wang%20Z%5BAuthor%5D&amp;cauthor=true&amp;cauthor_uid=29960124" TargetMode="External"/><Relationship Id="rId301" Type="http://schemas.openxmlformats.org/officeDocument/2006/relationships/hyperlink" Target="https://www.ncbi.nlm.nih.gov/pubmed/?term=Rini%20BI%5BAuthor%5D&amp;cauthor=true&amp;cauthor_uid=30779529" TargetMode="External"/><Relationship Id="rId322" Type="http://schemas.openxmlformats.org/officeDocument/2006/relationships/hyperlink" Target="https://www.ncbi.nlm.nih.gov/pubmed/?term=Mills%20EJ%5BAuthor%5D&amp;cauthor=true&amp;cauthor_uid=19173737" TargetMode="External"/><Relationship Id="rId343" Type="http://schemas.openxmlformats.org/officeDocument/2006/relationships/hyperlink" Target="https://www.ncbi.nlm.nih.gov/pubmed/?term=Desamericq%20G%5BAuthor%5D&amp;cauthor=true&amp;cauthor_uid=27823651" TargetMode="External"/><Relationship Id="rId364" Type="http://schemas.openxmlformats.org/officeDocument/2006/relationships/hyperlink" Target="https://www.ncbi.nlm.nih.gov/pubmed/?term=Therasse%20P%5BAuthor%5D&amp;cauthor=true&amp;cauthor_uid=19097774" TargetMode="External"/><Relationship Id="rId61" Type="http://schemas.openxmlformats.org/officeDocument/2006/relationships/hyperlink" Target="https://www.ncbi.nlm.nih.gov/pubmed/?term=Ravery%20V%5BAuthor%5D&amp;cauthor=true&amp;cauthor_uid=15290202" TargetMode="External"/><Relationship Id="rId82" Type="http://schemas.openxmlformats.org/officeDocument/2006/relationships/hyperlink" Target="https://www.ncbi.nlm.nih.gov/pubmed/8911510" TargetMode="External"/><Relationship Id="rId199" Type="http://schemas.openxmlformats.org/officeDocument/2006/relationships/hyperlink" Target="https://www.ncbi.nlm.nih.gov/pubmed/?term=H+Hampel%2C+RL+Bennett%2C+A+Buchanan%2C+etal%3A+Genet+Med+17%3A70%E2%80%9387%2C2015" TargetMode="External"/><Relationship Id="rId203" Type="http://schemas.openxmlformats.org/officeDocument/2006/relationships/hyperlink" Target="https://www.ncbi.nlm.nih.gov/pubmed/21186077" TargetMode="External"/><Relationship Id="rId385" Type="http://schemas.openxmlformats.org/officeDocument/2006/relationships/hyperlink" Target="https://www.ncbi.nlm.nih.gov/pubmed/?term=Perrone%20A%5BAuthor%5D&amp;cauthor=true&amp;cauthor_uid=28271869" TargetMode="External"/><Relationship Id="rId19" Type="http://schemas.openxmlformats.org/officeDocument/2006/relationships/hyperlink" Target="https://rosoncoweb.ru/standarts/?chapter=extravasation_antitumor_drugs" TargetMode="External"/><Relationship Id="rId224" Type="http://schemas.openxmlformats.org/officeDocument/2006/relationships/hyperlink" Target="https://www.ncbi.nlm.nih.gov/pubmed/?term=Shuch%20B%5BAuthor%5D&amp;cauthor=true&amp;cauthor_uid=20626391" TargetMode="External"/><Relationship Id="rId245" Type="http://schemas.openxmlformats.org/officeDocument/2006/relationships/hyperlink" Target="https://www.ncbi.nlm.nih.gov/pubmed/?term=Wells%20JC%5BAuthor%5D&amp;cauthor=true&amp;cauthor_uid=24931622" TargetMode="External"/><Relationship Id="rId266" Type="http://schemas.openxmlformats.org/officeDocument/2006/relationships/hyperlink" Target="https://www.ncbi.nlm.nih.gov/pubmed/30184524" TargetMode="External"/><Relationship Id="rId287" Type="http://schemas.openxmlformats.org/officeDocument/2006/relationships/hyperlink" Target="https://www.ncbi.nlm.nih.gov/pubmed/28136825" TargetMode="External"/><Relationship Id="rId30" Type="http://schemas.openxmlformats.org/officeDocument/2006/relationships/hyperlink" Target="https://www.ncbi.nlm.nih.gov/pubmed/?term=Bosniak%20MA%5BAuthor%5D&amp;cauthor=true&amp;cauthor_uid=16040900" TargetMode="External"/><Relationship Id="rId105" Type="http://schemas.openxmlformats.org/officeDocument/2006/relationships/hyperlink" Target="https://www.ncbi.nlm.nih.gov/pubmed/18688144" TargetMode="External"/><Relationship Id="rId126" Type="http://schemas.openxmlformats.org/officeDocument/2006/relationships/hyperlink" Target="https://www.ncbi.nlm.nih.gov/pubmed/?term=Vaughan%20ED%20Jr%5BAuthor%5D&amp;cauthor=true&amp;cauthor_uid=17166242" TargetMode="External"/><Relationship Id="rId147" Type="http://schemas.openxmlformats.org/officeDocument/2006/relationships/hyperlink" Target="https://www.ncbi.nlm.nih.gov/pubmed/23108238" TargetMode="External"/><Relationship Id="rId168" Type="http://schemas.openxmlformats.org/officeDocument/2006/relationships/hyperlink" Target="https://www.ncbi.nlm.nih.gov/pubmed/?term=Fern%C3%A1ndez-Pello%20S%5BAuthor%5D&amp;cauthor=true&amp;cauthor_uid=27939075" TargetMode="External"/><Relationship Id="rId312" Type="http://schemas.openxmlformats.org/officeDocument/2006/relationships/hyperlink" Target="https://www.ncbi.nlm.nih.gov/pubmed/?term=Bria%20E%5BAuthor%5D&amp;cauthor=true&amp;cauthor_uid=30145397" TargetMode="External"/><Relationship Id="rId333" Type="http://schemas.openxmlformats.org/officeDocument/2006/relationships/hyperlink" Target="https://www.ncbi.nlm.nih.gov/pubmed/29393024" TargetMode="External"/><Relationship Id="rId354" Type="http://schemas.openxmlformats.org/officeDocument/2006/relationships/hyperlink" Target="https://www.ncbi.nlm.nih.gov/pubmed/16809736" TargetMode="External"/><Relationship Id="rId51" Type="http://schemas.openxmlformats.org/officeDocument/2006/relationships/hyperlink" Target="https://www.ncbi.nlm.nih.gov/pubmed/30916135" TargetMode="External"/><Relationship Id="rId72" Type="http://schemas.openxmlformats.org/officeDocument/2006/relationships/hyperlink" Target="https://www.ncbi.nlm.nih.gov/pubmed/?term=Fossati%20N%5BAuthor%5D&amp;cauthor=true&amp;cauthor_uid=28890151" TargetMode="External"/><Relationship Id="rId93" Type="http://schemas.openxmlformats.org/officeDocument/2006/relationships/hyperlink" Target="https://www.ncbi.nlm.nih.gov/pubmed/?term=Tsukie%20T%5BAuthor%5D&amp;cauthor=true&amp;cauthor_uid=27098902" TargetMode="External"/><Relationship Id="rId189" Type="http://schemas.openxmlformats.org/officeDocument/2006/relationships/hyperlink" Target="https://www.ncbi.nlm.nih.gov/pubmed/?term=Wu%20B%5BAuthor%5D&amp;cauthor=true&amp;cauthor_uid=31380284" TargetMode="External"/><Relationship Id="rId375" Type="http://schemas.openxmlformats.org/officeDocument/2006/relationships/hyperlink" Target="https://www.ncbi.nlm.nih.gov/pubmed/?term=Shankar%20L%5BAuthor%5D&amp;cauthor=true&amp;cauthor_uid=19097774" TargetMode="External"/><Relationship Id="rId3" Type="http://schemas.openxmlformats.org/officeDocument/2006/relationships/settings" Target="settings.xml"/><Relationship Id="rId214" Type="http://schemas.openxmlformats.org/officeDocument/2006/relationships/hyperlink" Target="https://bmcurol.biomedcentral.com/articles/10.1186/s12894-019-0480-6" TargetMode="External"/><Relationship Id="rId235" Type="http://schemas.openxmlformats.org/officeDocument/2006/relationships/hyperlink" Target="https://www.ncbi.nlm.nih.gov/pubmed/?term=Petrelli%20F%5BAuthor%5D&amp;cauthor=true&amp;cauthor_uid=27138461" TargetMode="External"/><Relationship Id="rId256" Type="http://schemas.openxmlformats.org/officeDocument/2006/relationships/hyperlink" Target="https://www.ncbi.nlm.nih.gov/pubmed/?term=Pierorazio%20PM%5BAuthor%5D&amp;cauthor=true&amp;cauthor_uid=27157369" TargetMode="External"/><Relationship Id="rId277" Type="http://schemas.openxmlformats.org/officeDocument/2006/relationships/hyperlink" Target="https://www.ncbi.nlm.nih.gov/pubmed/?term=Cella%20D%5BAuthor%5D&amp;cauthor=true&amp;cauthor_uid=23964934" TargetMode="External"/><Relationship Id="rId298" Type="http://schemas.openxmlformats.org/officeDocument/2006/relationships/hyperlink" Target="https://ascopubs.org/doi/abs/10.1200/JCO.20.02365" TargetMode="External"/><Relationship Id="rId116" Type="http://schemas.openxmlformats.org/officeDocument/2006/relationships/hyperlink" Target="https://www.ncbi.nlm.nih.gov/pubmed/?term=Vasey%20P%5BAuthor%5D&amp;cauthor=true&amp;cauthor_uid=15533476" TargetMode="External"/><Relationship Id="rId137" Type="http://schemas.openxmlformats.org/officeDocument/2006/relationships/hyperlink" Target="https://www.ncbi.nlm.nih.gov/pubmed/27824726" TargetMode="External"/><Relationship Id="rId158" Type="http://schemas.openxmlformats.org/officeDocument/2006/relationships/hyperlink" Target="https://www.ncbi.nlm.nih.gov/pubmed/26323946" TargetMode="External"/><Relationship Id="rId302" Type="http://schemas.openxmlformats.org/officeDocument/2006/relationships/hyperlink" Target="https://www.ncbi.nlm.nih.gov/pubmed/?term=Plimack%20ER%5BAuthor%5D&amp;cauthor=true&amp;cauthor_uid=30779529" TargetMode="External"/><Relationship Id="rId323" Type="http://schemas.openxmlformats.org/officeDocument/2006/relationships/hyperlink" Target="https://www.ncbi.nlm.nih.gov/pubmed/?term=Rachlis%20B%5BAuthor%5D&amp;cauthor=true&amp;cauthor_uid=19173737" TargetMode="External"/><Relationship Id="rId344" Type="http://schemas.openxmlformats.org/officeDocument/2006/relationships/hyperlink" Target="https://www.ncbi.nlm.nih.gov/pubmed/27823651" TargetMode="External"/><Relationship Id="rId20" Type="http://schemas.openxmlformats.org/officeDocument/2006/relationships/hyperlink" Target="https://rosoncoweb.ru/standarts/?chapter=extravasation_antitumor_drugs" TargetMode="External"/><Relationship Id="rId41" Type="http://schemas.openxmlformats.org/officeDocument/2006/relationships/hyperlink" Target="https://www.ncbi.nlm.nih.gov/pubmed/30714831" TargetMode="External"/><Relationship Id="rId62" Type="http://schemas.openxmlformats.org/officeDocument/2006/relationships/hyperlink" Target="https://www.ncbi.nlm.nih.gov/pubmed/?term=Heidenreich%2C+A.%2C+et+al.+Preoperative+imaging+in+renal+cell+cancer.+World+J+Urol%2C+2004.+22%3A+307." TargetMode="External"/><Relationship Id="rId83" Type="http://schemas.openxmlformats.org/officeDocument/2006/relationships/hyperlink" Target="https://www.ncbi.nlm.nih.gov/pubmed/?term=Gi%C5%BCewska%20A%5BAuthor%5D&amp;cauthor=true&amp;cauthor_uid=26315869" TargetMode="External"/><Relationship Id="rId179" Type="http://schemas.openxmlformats.org/officeDocument/2006/relationships/hyperlink" Target="https://www.ncbi.nlm.nih.gov/pubmed/29960124" TargetMode="External"/><Relationship Id="rId365" Type="http://schemas.openxmlformats.org/officeDocument/2006/relationships/hyperlink" Target="https://www.ncbi.nlm.nih.gov/pubmed/?term=Bogaerts%20J%5BAuthor%5D&amp;cauthor=true&amp;cauthor_uid=19097774" TargetMode="External"/><Relationship Id="rId386" Type="http://schemas.openxmlformats.org/officeDocument/2006/relationships/hyperlink" Target="https://www.ncbi.nlm.nih.gov/pubmed/?term=RECIST%20working%20group%5BCorporate%20Author%5D" TargetMode="External"/><Relationship Id="rId190" Type="http://schemas.openxmlformats.org/officeDocument/2006/relationships/hyperlink" Target="https://www.ncbi.nlm.nih.gov/pubmed/?term=Zha%20Z%5BAuthor%5D&amp;cauthor=true&amp;cauthor_uid=31380284" TargetMode="External"/><Relationship Id="rId204" Type="http://schemas.openxmlformats.org/officeDocument/2006/relationships/hyperlink" Target="https://www.ncbi.nlm.nih.gov/pubmed/?term=Forbes%20CM%5BAuthor%5D&amp;cauthor=true&amp;cauthor_uid=27423824" TargetMode="External"/><Relationship Id="rId225" Type="http://schemas.openxmlformats.org/officeDocument/2006/relationships/hyperlink" Target="https://www.ncbi.nlm.nih.gov/pubmed/?term=Crispen%20PL%5BAuthor%5D&amp;cauthor=true&amp;cauthor_uid=20626391" TargetMode="External"/><Relationship Id="rId246" Type="http://schemas.openxmlformats.org/officeDocument/2006/relationships/hyperlink" Target="https://www.ncbi.nlm.nih.gov/pubmed/?term=Rini%20BI%5BAuthor%5D&amp;cauthor=true&amp;cauthor_uid=24931622" TargetMode="External"/><Relationship Id="rId267" Type="http://schemas.openxmlformats.org/officeDocument/2006/relationships/hyperlink" Target="https://www.ncbi.nlm.nih.gov/pubmed/?term=Riaz%20IB%5BAuthor%5D&amp;cauthor=true&amp;cauthor_uid=31303430" TargetMode="External"/><Relationship Id="rId288" Type="http://schemas.openxmlformats.org/officeDocument/2006/relationships/hyperlink" Target="https://www.ncbi.nlm.nih.gov/pubmed/28136825" TargetMode="External"/><Relationship Id="rId106" Type="http://schemas.openxmlformats.org/officeDocument/2006/relationships/hyperlink" Target="https://www.ncbi.nlm.nih.gov/pubmed/?term=El%20Ali%20Z%5BAuthor%5D&amp;cauthor=true&amp;cauthor_uid=31177140" TargetMode="External"/><Relationship Id="rId127" Type="http://schemas.openxmlformats.org/officeDocument/2006/relationships/hyperlink" Target="https://www.ncbi.nlm.nih.gov/pubmed/17166242" TargetMode="External"/><Relationship Id="rId313" Type="http://schemas.openxmlformats.org/officeDocument/2006/relationships/hyperlink" Target="https://www.ncbi.nlm.nih.gov/pubmed/30145397" TargetMode="External"/><Relationship Id="rId10" Type="http://schemas.openxmlformats.org/officeDocument/2006/relationships/hyperlink" Target="https://rosoncoweb.ru/standarts/?chapter=nausea_vomiting" TargetMode="External"/><Relationship Id="rId31" Type="http://schemas.openxmlformats.org/officeDocument/2006/relationships/hyperlink" Target="https://www.ncbi.nlm.nih.gov/pubmed/16040900" TargetMode="External"/><Relationship Id="rId52" Type="http://schemas.openxmlformats.org/officeDocument/2006/relationships/hyperlink" Target="https://www.ncbi.nlm.nih.gov/pubmed/?term=Kostibas%20MP%5BAuthor%5D&amp;cauthor=true&amp;cauthor_uid=28366705" TargetMode="External"/><Relationship Id="rId73" Type="http://schemas.openxmlformats.org/officeDocument/2006/relationships/hyperlink" Target="https://www.ncbi.nlm.nih.gov/pubmed/28890151" TargetMode="External"/><Relationship Id="rId94" Type="http://schemas.openxmlformats.org/officeDocument/2006/relationships/hyperlink" Target="https://www.ncbi.nlm.nih.gov/pubmed/?term=Kurita%20A%5BAuthor%5D&amp;cauthor=true&amp;cauthor_uid=27098902" TargetMode="External"/><Relationship Id="rId148" Type="http://schemas.openxmlformats.org/officeDocument/2006/relationships/hyperlink" Target="https://www.ncbi.nlm.nih.gov/pubmed/?term=Gofrit%20ON%5BAuthor%5D&amp;cauthor=true&amp;cauthor_uid=27140072" TargetMode="External"/><Relationship Id="rId169" Type="http://schemas.openxmlformats.org/officeDocument/2006/relationships/hyperlink" Target="https://www.ncbi.nlm.nih.gov/pubmed/?term=Hofmann%20F%5BAuthor%5D&amp;cauthor=true&amp;cauthor_uid=27939075" TargetMode="External"/><Relationship Id="rId334" Type="http://schemas.openxmlformats.org/officeDocument/2006/relationships/hyperlink" Target="https://www.ncbi.nlm.nih.gov/pubmed/?term=Kok%20VC%5BAuthor%5D&amp;cauthor=true&amp;cauthor_uid=27377922" TargetMode="External"/><Relationship Id="rId355" Type="http://schemas.openxmlformats.org/officeDocument/2006/relationships/hyperlink" Target="https://www.ncbi.nlm.nih.gov/pubmed/16809736" TargetMode="External"/><Relationship Id="rId376" Type="http://schemas.openxmlformats.org/officeDocument/2006/relationships/hyperlink" Target="https://www.ncbi.nlm.nih.gov/pubmed/?term=Dodd%20L%5BAuthor%5D&amp;cauthor=true&amp;cauthor_uid=19097774" TargetMode="External"/><Relationship Id="rId4" Type="http://schemas.openxmlformats.org/officeDocument/2006/relationships/webSettings" Target="webSettings.xml"/><Relationship Id="rId180" Type="http://schemas.openxmlformats.org/officeDocument/2006/relationships/hyperlink" Target="https://www.ncbi.nlm.nih.gov/pubmed/?term=Zhang%20Z%5BAuthor%5D&amp;cauthor=true&amp;cauthor_uid=26891054" TargetMode="External"/><Relationship Id="rId215" Type="http://schemas.openxmlformats.org/officeDocument/2006/relationships/hyperlink" Target="https://bmcurol.biomedcentral.com/articles/10.1186/s12894-019-0480-6" TargetMode="External"/><Relationship Id="rId236" Type="http://schemas.openxmlformats.org/officeDocument/2006/relationships/hyperlink" Target="https://www.ncbi.nlm.nih.gov/pubmed/?term=Coinu%20A%5BAuthor%5D&amp;cauthor=true&amp;cauthor_uid=27138461" TargetMode="External"/><Relationship Id="rId257" Type="http://schemas.openxmlformats.org/officeDocument/2006/relationships/hyperlink" Target="https://www.ncbi.nlm.nih.gov/pubmed/?term=Johnson%20MH%5BAuthor%5D&amp;cauthor=true&amp;cauthor_uid=27157369" TargetMode="External"/><Relationship Id="rId278" Type="http://schemas.openxmlformats.org/officeDocument/2006/relationships/hyperlink" Target="https://www.ncbi.nlm.nih.gov/pubmed/23964934" TargetMode="External"/><Relationship Id="rId303" Type="http://schemas.openxmlformats.org/officeDocument/2006/relationships/hyperlink" Target="https://www.ncbi.nlm.nih.gov/pubmed/?term=Stus%20V%5BAuthor%5D&amp;cauthor=true&amp;cauthor_uid=30779529" TargetMode="External"/><Relationship Id="rId42" Type="http://schemas.openxmlformats.org/officeDocument/2006/relationships/hyperlink" Target="https://www.ncbi.nlm.nih.gov/pubmed/?term=Chiarello%20MA%5BAuthor%5D&amp;cauthor=true&amp;cauthor_uid=30063398" TargetMode="External"/><Relationship Id="rId84" Type="http://schemas.openxmlformats.org/officeDocument/2006/relationships/hyperlink" Target="https://www.ncbi.nlm.nih.gov/pubmed/?term=Witkowska-Patena%20E%5BAuthor%5D&amp;cauthor=true&amp;cauthor_uid=26315869" TargetMode="External"/><Relationship Id="rId138" Type="http://schemas.openxmlformats.org/officeDocument/2006/relationships/hyperlink" Target="https://www.ncbi.nlm.nih.gov/pubmed/?term=Lindenberg%20L%5BAuthor%5D&amp;cauthor=true&amp;cauthor_uid=30747736" TargetMode="External"/><Relationship Id="rId345" Type="http://schemas.openxmlformats.org/officeDocument/2006/relationships/hyperlink" Target="https://www.ncbi.nlm.nih.gov/pubmed/?term=Seymour%20L%5BAuthor%5D&amp;cauthor=true&amp;cauthor_uid=28271869" TargetMode="External"/><Relationship Id="rId387" Type="http://schemas.openxmlformats.org/officeDocument/2006/relationships/hyperlink" Target="https://www.ncbi.nlm.nih.gov/pubmed/28271869" TargetMode="External"/><Relationship Id="rId191" Type="http://schemas.openxmlformats.org/officeDocument/2006/relationships/hyperlink" Target="https://www.ncbi.nlm.nih.gov/pubmed/31380284" TargetMode="External"/><Relationship Id="rId205" Type="http://schemas.openxmlformats.org/officeDocument/2006/relationships/hyperlink" Target="https://www.ncbi.nlm.nih.gov/pubmed/?term=Rendon%20RA%5BAuthor%5D&amp;cauthor=true&amp;cauthor_uid=27423824" TargetMode="External"/><Relationship Id="rId247" Type="http://schemas.openxmlformats.org/officeDocument/2006/relationships/hyperlink" Target="https://www.ncbi.nlm.nih.gov/pubmed/24931622" TargetMode="External"/><Relationship Id="rId107" Type="http://schemas.openxmlformats.org/officeDocument/2006/relationships/hyperlink" Target="https://www.ncbi.nlm.nih.gov/pubmed/?term=Rottey%20S%5BAuthor%5D&amp;cauthor=true&amp;cauthor_uid=31177140" TargetMode="External"/><Relationship Id="rId289" Type="http://schemas.openxmlformats.org/officeDocument/2006/relationships/hyperlink" Target="https://www.ncbi.nlm.nih.gov/pubmed/28136825" TargetMode="External"/><Relationship Id="rId11" Type="http://schemas.openxmlformats.org/officeDocument/2006/relationships/hyperlink" Target="https://rosoncoweb.ru/standarts/?chapter=bone_pathology" TargetMode="External"/><Relationship Id="rId53" Type="http://schemas.openxmlformats.org/officeDocument/2006/relationships/hyperlink" Target="https://www.ncbi.nlm.nih.gov/pubmed/?term=Arora%20V%5BAuthor%5D&amp;cauthor=true&amp;cauthor_uid=28366705" TargetMode="External"/><Relationship Id="rId149" Type="http://schemas.openxmlformats.org/officeDocument/2006/relationships/hyperlink" Target="https://www.ncbi.nlm.nih.gov/pubmed/?term=Orevi%20M%5BAuthor%5D&amp;cauthor=true&amp;cauthor_uid=27140072" TargetMode="External"/><Relationship Id="rId314" Type="http://schemas.openxmlformats.org/officeDocument/2006/relationships/hyperlink" Target="https://www.ncbi.nlm.nih.gov/pubmed/?term=Wallis%20CJD%5BAuthor%5D&amp;cauthor=true&amp;cauthor_uid=29656851" TargetMode="External"/><Relationship Id="rId356" Type="http://schemas.openxmlformats.org/officeDocument/2006/relationships/hyperlink" Target="https://monographs.iarc.fr/wp-content/uploads/2018/06/mono83.pdf" TargetMode="External"/><Relationship Id="rId95" Type="http://schemas.openxmlformats.org/officeDocument/2006/relationships/hyperlink" Target="https://www.ncbi.nlm.nih.gov/pubmed/27098902" TargetMode="External"/><Relationship Id="rId160" Type="http://schemas.openxmlformats.org/officeDocument/2006/relationships/hyperlink" Target="https://www.ncbi.nlm.nih.gov/pubmed/?term=Finelli%20A%5BAuthor%5D&amp;cauthor=true&amp;cauthor_uid=21704449" TargetMode="External"/><Relationship Id="rId216" Type="http://schemas.openxmlformats.org/officeDocument/2006/relationships/hyperlink" Target="http://www.ncbi.nlm.nih.gov/pubmed?term=Kim%20SP%5BAuthor%5D&amp;cauthor=true&amp;cauthor_uid=21514718" TargetMode="External"/><Relationship Id="rId258" Type="http://schemas.openxmlformats.org/officeDocument/2006/relationships/hyperlink" Target="https://www.ncbi.nlm.nih.gov/pubmed/?term=Patel%20HD%5BAuthor%5D&amp;cauthor=true&amp;cauthor_uid=27157369" TargetMode="External"/><Relationship Id="rId22" Type="http://schemas.openxmlformats.org/officeDocument/2006/relationships/hyperlink" Target="https://www.ncbi.nlm.nih.gov/pubmed/?term=Motzer%20RJ%5BAuthor%5D&amp;cauthor=true&amp;cauthor_uid=10561319" TargetMode="External"/><Relationship Id="rId64" Type="http://schemas.openxmlformats.org/officeDocument/2006/relationships/hyperlink" Target="https://www.ncbi.nlm.nih.gov/pubmed/?term=Novick%20AC%5BAuthor%5D&amp;cauthor=true&amp;cauthor_uid=11435813" TargetMode="External"/><Relationship Id="rId118" Type="http://schemas.openxmlformats.org/officeDocument/2006/relationships/hyperlink" Target="https://www.ncbi.nlm.nih.gov/pubmed/15533476" TargetMode="External"/><Relationship Id="rId325" Type="http://schemas.openxmlformats.org/officeDocument/2006/relationships/hyperlink" Target="https://www.ncbi.nlm.nih.gov/pubmed/19173737" TargetMode="External"/><Relationship Id="rId367" Type="http://schemas.openxmlformats.org/officeDocument/2006/relationships/hyperlink" Target="https://www.ncbi.nlm.nih.gov/pubmed/?term=Sargent%20D%5BAuthor%5D&amp;cauthor=true&amp;cauthor_uid=19097774" TargetMode="External"/><Relationship Id="rId171" Type="http://schemas.openxmlformats.org/officeDocument/2006/relationships/hyperlink" Target="https://www.ncbi.nlm.nih.gov/pubmed/27939075" TargetMode="External"/><Relationship Id="rId227" Type="http://schemas.openxmlformats.org/officeDocument/2006/relationships/hyperlink" Target="https://www.ncbi.nlm.nih.gov/pubmed/20626391" TargetMode="External"/><Relationship Id="rId269" Type="http://schemas.openxmlformats.org/officeDocument/2006/relationships/hyperlink" Target="https://www.ncbi.nlm.nih.gov/pubmed/?term=Husnain%20M%5BAuthor%5D&amp;cauthor=true&amp;cauthor_uid=31303430" TargetMode="External"/><Relationship Id="rId33" Type="http://schemas.openxmlformats.org/officeDocument/2006/relationships/hyperlink" Target="https://www.ncbi.nlm.nih.gov/pubmed/?term=Wang%20Y%5BAuthor%5D&amp;cauthor=true&amp;cauthor_uid=31308752" TargetMode="External"/><Relationship Id="rId129" Type="http://schemas.openxmlformats.org/officeDocument/2006/relationships/hyperlink" Target="https://www.ncbi.nlm.nih.gov/pubmed/?term=Saleem%20Amer%20N%5BAuthor%5D&amp;cauthor=true&amp;cauthor_uid=17495058" TargetMode="External"/><Relationship Id="rId280" Type="http://schemas.openxmlformats.org/officeDocument/2006/relationships/hyperlink" Target="https://meetinglibrary.asco.org/record/195569/abstract" TargetMode="External"/><Relationship Id="rId336" Type="http://schemas.openxmlformats.org/officeDocument/2006/relationships/hyperlink" Target="https://www.ncbi.nlm.nih.gov/pubmed/?term=Larkin%20J%5BAuthor%5D&amp;cauthor=true&amp;cauthor_uid=23256638" TargetMode="External"/><Relationship Id="rId75" Type="http://schemas.openxmlformats.org/officeDocument/2006/relationships/hyperlink" Target="https://www.ncbi.nlm.nih.gov/pubmed/?term=Haraldsson%20G%5BAuthor%5D&amp;cauthor=true&amp;cauthor_uid=1292074" TargetMode="External"/><Relationship Id="rId140" Type="http://schemas.openxmlformats.org/officeDocument/2006/relationships/hyperlink" Target="https://www.ncbi.nlm.nih.gov/pubmed/?term=Choyke%20PL%5BAuthor%5D&amp;cauthor=true&amp;cauthor_uid=30747736" TargetMode="External"/><Relationship Id="rId182" Type="http://schemas.openxmlformats.org/officeDocument/2006/relationships/hyperlink" Target="https://www.ncbi.nlm.nih.gov/pubmed/?term=Velet%20L%5BAuthor%5D&amp;cauthor=true&amp;cauthor_uid=26891054" TargetMode="External"/><Relationship Id="rId378" Type="http://schemas.openxmlformats.org/officeDocument/2006/relationships/hyperlink" Target="https://www.ncbi.nlm.nih.gov/pubmed/?term=Lacombe%20D%5BAuthor%5D&amp;cauthor=true&amp;cauthor_uid=19097774" TargetMode="External"/><Relationship Id="rId6" Type="http://schemas.openxmlformats.org/officeDocument/2006/relationships/endnotes" Target="endnotes.xml"/><Relationship Id="rId238" Type="http://schemas.openxmlformats.org/officeDocument/2006/relationships/hyperlink" Target="https://www.ncbi.nlm.nih.gov/pubmed/27138461" TargetMode="External"/><Relationship Id="rId291" Type="http://schemas.openxmlformats.org/officeDocument/2006/relationships/hyperlink" Target="https://ascopubs.org/doi/abs/10.1200/JCO.2021.39.6_suppl.270" TargetMode="External"/><Relationship Id="rId305" Type="http://schemas.openxmlformats.org/officeDocument/2006/relationships/hyperlink" Target="https://www.ncbi.nlm.nih.gov/pubmed/30779529" TargetMode="External"/><Relationship Id="rId347" Type="http://schemas.openxmlformats.org/officeDocument/2006/relationships/hyperlink" Target="https://www.ncbi.nlm.nih.gov/pubmed/?term=Perrone%20A%5BAuthor%5D&amp;cauthor=true&amp;cauthor_uid=28271869" TargetMode="External"/><Relationship Id="rId44" Type="http://schemas.openxmlformats.org/officeDocument/2006/relationships/hyperlink" Target="https://www.ncbi.nlm.nih.gov/pubmed/?term=Kang%20SK%5BAuthor%5D&amp;cauthor=true&amp;cauthor_uid=30063398" TargetMode="External"/><Relationship Id="rId86" Type="http://schemas.openxmlformats.org/officeDocument/2006/relationships/hyperlink" Target="https://www.ncbi.nlm.nih.gov/pubmed/26315869" TargetMode="External"/><Relationship Id="rId151" Type="http://schemas.openxmlformats.org/officeDocument/2006/relationships/hyperlink" Target="https://www.ncbi.nlm.nih.gov/pubmed/?term=Caldarella%20C%5BAuthor%5D&amp;cauthor=true&amp;cauthor_uid=25177235" TargetMode="External"/><Relationship Id="rId389" Type="http://schemas.openxmlformats.org/officeDocument/2006/relationships/footer" Target="footer2.xml"/><Relationship Id="rId193" Type="http://schemas.openxmlformats.org/officeDocument/2006/relationships/hyperlink" Target="https://www.ncbi.nlm.nih.gov/pubmed/?term=Hakimi%20AA%5BAuthor%5D&amp;cauthor=true&amp;cauthor_uid=31326218" TargetMode="External"/><Relationship Id="rId207" Type="http://schemas.openxmlformats.org/officeDocument/2006/relationships/hyperlink" Target="https://www.ncbi.nlm.nih.gov/pubmed/27423824" TargetMode="External"/><Relationship Id="rId249" Type="http://schemas.openxmlformats.org/officeDocument/2006/relationships/hyperlink" Target="https://www.ncbi.nlm.nih.gov/pubmed/?term=Mulders%20P%5BAuthor%5D&amp;cauthor=true&amp;cauthor_uid=30543350" TargetMode="External"/><Relationship Id="rId13" Type="http://schemas.openxmlformats.org/officeDocument/2006/relationships/hyperlink" Target="https://rosoncoweb.ru/standarts/?chapter=hepatotoxicity" TargetMode="External"/><Relationship Id="rId109" Type="http://schemas.openxmlformats.org/officeDocument/2006/relationships/hyperlink" Target="https://www.ncbi.nlm.nih.gov/pubmed/31177140" TargetMode="External"/><Relationship Id="rId260" Type="http://schemas.openxmlformats.org/officeDocument/2006/relationships/hyperlink" Target="https://www.ncbi.nlm.nih.gov/pubmed/?term=Guo%20RQ%5BAuthor%5D&amp;cauthor=true&amp;cauthor_uid=31382939" TargetMode="External"/><Relationship Id="rId316" Type="http://schemas.openxmlformats.org/officeDocument/2006/relationships/hyperlink" Target="https://www.ncbi.nlm.nih.gov/pubmed/?term=Bhindi%20B%5BAuthor%5D&amp;cauthor=true&amp;cauthor_uid=29656851" TargetMode="External"/><Relationship Id="rId55" Type="http://schemas.openxmlformats.org/officeDocument/2006/relationships/hyperlink" Target="https://www.ncbi.nlm.nih.gov/pubmed/28366705" TargetMode="External"/><Relationship Id="rId97" Type="http://schemas.openxmlformats.org/officeDocument/2006/relationships/hyperlink" Target="https://www.ncbi.nlm.nih.gov/pubmed/?term=Ha%20FJ%5BAuthor%5D&amp;cauthor=true&amp;cauthor_uid=30701671" TargetMode="External"/><Relationship Id="rId120" Type="http://schemas.openxmlformats.org/officeDocument/2006/relationships/hyperlink" Target="https://www.ncbi.nlm.nih.gov/pubmed/?term=Besharati%20S%5BAuthor%5D&amp;cauthor=true&amp;cauthor_uid=16612730" TargetMode="External"/><Relationship Id="rId358" Type="http://schemas.openxmlformats.org/officeDocument/2006/relationships/hyperlink" Target="https://www.ncbi.nlm.nih.gov/pubmed/?term=Bogaerts%20J%5BAuthor%5D&amp;cauthor=true&amp;cauthor_uid=19097774" TargetMode="External"/><Relationship Id="rId162" Type="http://schemas.openxmlformats.org/officeDocument/2006/relationships/hyperlink" Target="https://www.ncbi.nlm.nih.gov/pubmed/21704449" TargetMode="External"/><Relationship Id="rId218" Type="http://schemas.openxmlformats.org/officeDocument/2006/relationships/hyperlink" Target="http://www.ncbi.nlm.nih.gov/pubmed/21514718" TargetMode="External"/><Relationship Id="rId271" Type="http://schemas.openxmlformats.org/officeDocument/2006/relationships/hyperlink" Target="https://www.ncbi.nlm.nih.gov/pubmed/?term=Karakiewicz%20PI%5BAuthor%5D&amp;cauthor=true&amp;cauthor_uid=29877179" TargetMode="External"/><Relationship Id="rId24" Type="http://schemas.openxmlformats.org/officeDocument/2006/relationships/hyperlink" Target="https://www.ncbi.nlm.nih.gov/pubmed/?term=Bacik%20J%5BAuthor%5D&amp;cauthor=true&amp;cauthor_uid=10561319" TargetMode="External"/><Relationship Id="rId66" Type="http://schemas.openxmlformats.org/officeDocument/2006/relationships/hyperlink" Target="https://www.ncbi.nlm.nih.gov/pubmed/?term=Huang%20WC%5BAuthor%5D&amp;cauthor=true&amp;cauthor_uid=16945768" TargetMode="External"/><Relationship Id="rId131" Type="http://schemas.openxmlformats.org/officeDocument/2006/relationships/hyperlink" Target="https://www.ncbi.nlm.nih.gov/pubmed/17495058" TargetMode="External"/><Relationship Id="rId327" Type="http://schemas.openxmlformats.org/officeDocument/2006/relationships/hyperlink" Target="https://www.ncbi.nlm.nih.gov/pubmed/?term=Fu%20S%5BAuthor%5D&amp;cauthor=true&amp;cauthor_uid=28886175" TargetMode="External"/><Relationship Id="rId369" Type="http://schemas.openxmlformats.org/officeDocument/2006/relationships/hyperlink" Target="https://www.ncbi.nlm.nih.gov/pubmed/?term=Dancey%20J%5BAuthor%5D&amp;cauthor=true&amp;cauthor_uid=19097774" TargetMode="External"/><Relationship Id="rId173" Type="http://schemas.openxmlformats.org/officeDocument/2006/relationships/hyperlink" Target="https://www.ncbi.nlm.nih.gov/pubmed/?term=Morais%20C%5BAuthor%5D&amp;cauthor=true&amp;cauthor_uid=26951082" TargetMode="External"/><Relationship Id="rId229" Type="http://schemas.openxmlformats.org/officeDocument/2006/relationships/hyperlink" Target="https://www.ncbi.nlm.nih.gov/pubmed/?term=Di%20Nunno%20V%5BAuthor%5D&amp;cauthor=true&amp;cauthor_uid=30324488" TargetMode="External"/><Relationship Id="rId380" Type="http://schemas.openxmlformats.org/officeDocument/2006/relationships/hyperlink" Target="https://www.ncbi.nlm.nih.gov/pubmed/?term=Verweij%20J%5BAuthor%5D&amp;cauthor=true&amp;cauthor_uid=19097774" TargetMode="External"/><Relationship Id="rId240" Type="http://schemas.openxmlformats.org/officeDocument/2006/relationships/hyperlink" Target="https://www.ncbi.nlm.nih.gov/pubmed/?term=Hanna%20N%5BAuthor%5D&amp;cauthor=true&amp;cauthor_uid=27325852" TargetMode="External"/><Relationship Id="rId35" Type="http://schemas.openxmlformats.org/officeDocument/2006/relationships/hyperlink" Target="https://www.ncbi.nlm.nih.gov/pubmed/31308752" TargetMode="External"/><Relationship Id="rId77" Type="http://schemas.openxmlformats.org/officeDocument/2006/relationships/hyperlink" Target="https://www.ncbi.nlm.nih.gov/pubmed/1292074" TargetMode="External"/><Relationship Id="rId100" Type="http://schemas.openxmlformats.org/officeDocument/2006/relationships/hyperlink" Target="https://www.ncbi.nlm.nih.gov/pubmed/30701671" TargetMode="External"/><Relationship Id="rId282" Type="http://schemas.openxmlformats.org/officeDocument/2006/relationships/hyperlink" Target="https://meetinglibrary.asco.org/record/195569/abstract" TargetMode="External"/><Relationship Id="rId338" Type="http://schemas.openxmlformats.org/officeDocument/2006/relationships/hyperlink" Target="https://www.ncbi.nlm.nih.gov/pubmed/?term=Tumur%20I%5BAuthor%5D&amp;cauthor=true&amp;cauthor_uid=23256638" TargetMode="External"/><Relationship Id="rId8" Type="http://schemas.openxmlformats.org/officeDocument/2006/relationships/hyperlink" Target="https://www.invitro.ru/analizes/for-doctors/171/2864/" TargetMode="External"/><Relationship Id="rId142" Type="http://schemas.openxmlformats.org/officeDocument/2006/relationships/hyperlink" Target="https://www.ncbi.nlm.nih.gov/pubmed/30747736" TargetMode="External"/><Relationship Id="rId184" Type="http://schemas.openxmlformats.org/officeDocument/2006/relationships/hyperlink" Target="https://www.ncbi.nlm.nih.gov/pubmed/?term=Chen%20L%5BAuthor%5D&amp;cauthor=true&amp;cauthor_uid=26887985" TargetMode="External"/><Relationship Id="rId391" Type="http://schemas.openxmlformats.org/officeDocument/2006/relationships/footer" Target="footer4.xml"/><Relationship Id="rId251" Type="http://schemas.openxmlformats.org/officeDocument/2006/relationships/hyperlink" Target="https://www.ncbi.nlm.nih.gov/pubmed/30543350" TargetMode="External"/><Relationship Id="rId46" Type="http://schemas.openxmlformats.org/officeDocument/2006/relationships/hyperlink" Target="https://www.ncbi.nlm.nih.gov/pubmed/?term=Calderone%20CE%5BAuthor%5D&amp;cauthor=true&amp;cauthor_uid=30387206" TargetMode="External"/><Relationship Id="rId293" Type="http://schemas.openxmlformats.org/officeDocument/2006/relationships/hyperlink" Target="https://ascopubs.org/doi/abs/10.1200/JCO.2021.39.6_suppl.270" TargetMode="External"/><Relationship Id="rId307" Type="http://schemas.openxmlformats.org/officeDocument/2006/relationships/hyperlink" Target="https://www.ncbi.nlm.nih.gov/pubmed/?term=Huang%20Y%5BAuthor%5D&amp;cauthor=true&amp;cauthor_uid=31122210" TargetMode="External"/><Relationship Id="rId349" Type="http://schemas.openxmlformats.org/officeDocument/2006/relationships/hyperlink" Target="https://www.ncbi.nlm.nih.gov/pubmed/28271869" TargetMode="External"/><Relationship Id="rId88" Type="http://schemas.openxmlformats.org/officeDocument/2006/relationships/hyperlink" Target="https://www.ncbi.nlm.nih.gov/pubmed/?term=Prins%20FM%5BAuthor%5D&amp;cauthor=true&amp;cauthor_uid=28866897" TargetMode="External"/><Relationship Id="rId111" Type="http://schemas.openxmlformats.org/officeDocument/2006/relationships/hyperlink" Target="https://www.ncbi.nlm.nih.gov/pubmed/?term=Otsuka%20M%5BAuthor%5D&amp;cauthor=true&amp;cauthor_uid=31134469" TargetMode="External"/><Relationship Id="rId153" Type="http://schemas.openxmlformats.org/officeDocument/2006/relationships/hyperlink" Target="https://www.ncbi.nlm.nih.gov/pubmed/?term=Isgr%C3%B2%20MA%5BAuthor%5D&amp;cauthor=true&amp;cauthor_uid=25177235" TargetMode="External"/><Relationship Id="rId195" Type="http://schemas.openxmlformats.org/officeDocument/2006/relationships/hyperlink" Target="https://www.ncbi.nlm.nih.gov/pubmed/31326218" TargetMode="External"/><Relationship Id="rId209" Type="http://schemas.openxmlformats.org/officeDocument/2006/relationships/hyperlink" Target="https://www.ncbi.nlm.nih.gov/pubmed/?term=Derweesh%20I%5BAuthor%5D&amp;cauthor=true&amp;cauthor_uid=27614693" TargetMode="External"/><Relationship Id="rId360" Type="http://schemas.openxmlformats.org/officeDocument/2006/relationships/hyperlink" Target="https://pharmvestnik.ru/documents/ot-10-12-2018-g-2738-r.html" TargetMode="External"/><Relationship Id="rId220" Type="http://schemas.openxmlformats.org/officeDocument/2006/relationships/hyperlink" Target="http://www.sciencedirect.com/science/article/pii/S0302283808009123" TargetMode="External"/><Relationship Id="rId15" Type="http://schemas.openxmlformats.org/officeDocument/2006/relationships/hyperlink" Target="https://rosoncoweb.ru/standarts/?chapter=dermatological_reactions" TargetMode="External"/><Relationship Id="rId57" Type="http://schemas.openxmlformats.org/officeDocument/2006/relationships/hyperlink" Target="https://www.ncbi.nlm.nih.gov/pubmed/?term=Dell'Oglio%20P%5BAuthor%5D&amp;cauthor=true&amp;cauthor_uid=27684653" TargetMode="External"/><Relationship Id="rId262" Type="http://schemas.openxmlformats.org/officeDocument/2006/relationships/hyperlink" Target="https://www.ncbi.nlm.nih.gov/pubmed/31382939" TargetMode="External"/><Relationship Id="rId318" Type="http://schemas.openxmlformats.org/officeDocument/2006/relationships/hyperlink" Target="https://www.ncbi.nlm.nih.gov/pubmed/?term=Hahn%20AW%5BAuthor%5D&amp;cauthor=true&amp;cauthor_uid=31588018" TargetMode="External"/><Relationship Id="rId99" Type="http://schemas.openxmlformats.org/officeDocument/2006/relationships/hyperlink" Target="https://www.ncbi.nlm.nih.gov/pubmed/?term=Dowling%20A%5BAuthor%5D&amp;cauthor=true&amp;cauthor_uid=30701671" TargetMode="External"/><Relationship Id="rId122" Type="http://schemas.openxmlformats.org/officeDocument/2006/relationships/hyperlink" Target="https://www.ncbi.nlm.nih.gov/pubmed/16612730" TargetMode="External"/><Relationship Id="rId164" Type="http://schemas.openxmlformats.org/officeDocument/2006/relationships/hyperlink" Target="https://www.ncbi.nlm.nih.gov/pubmed/?term=Li%20L%5BAuthor%5D&amp;cauthor=true&amp;cauthor_uid=31277173" TargetMode="External"/><Relationship Id="rId371" Type="http://schemas.openxmlformats.org/officeDocument/2006/relationships/hyperlink" Target="https://www.ncbi.nlm.nih.gov/pubmed/?term=Arbuck%20S%5BAuthor%5D&amp;cauthor=true&amp;cauthor_uid=19097774" TargetMode="External"/><Relationship Id="rId26" Type="http://schemas.openxmlformats.org/officeDocument/2006/relationships/hyperlink" Target="http://ascopubs.org/author/Heng%2C+Daniel+YC" TargetMode="External"/><Relationship Id="rId231" Type="http://schemas.openxmlformats.org/officeDocument/2006/relationships/hyperlink" Target="https://www.ncbi.nlm.nih.gov/pubmed/30324488" TargetMode="External"/><Relationship Id="rId273" Type="http://schemas.openxmlformats.org/officeDocument/2006/relationships/hyperlink" Target="https://www.ncbi.nlm.nih.gov/pubmed/?term=Kapoor%20A%5BAuthor%5D&amp;cauthor=true&amp;cauthor_uid=29877179" TargetMode="External"/><Relationship Id="rId329" Type="http://schemas.openxmlformats.org/officeDocument/2006/relationships/hyperlink" Target="https://www.ncbi.nlm.nih.gov/pubmed/28886175" TargetMode="External"/><Relationship Id="rId68" Type="http://schemas.openxmlformats.org/officeDocument/2006/relationships/hyperlink" Target="https://www.ncbi.nlm.nih.gov/pubmed/?term=Serio%20AM%5BAuthor%5D&amp;cauthor=true&amp;cauthor_uid=16945768" TargetMode="External"/><Relationship Id="rId133" Type="http://schemas.openxmlformats.org/officeDocument/2006/relationships/hyperlink" Target="https://www.ncbi.nlm.nih.gov/pubmed/25842676" TargetMode="External"/><Relationship Id="rId175" Type="http://schemas.openxmlformats.org/officeDocument/2006/relationships/hyperlink" Target="https://www.ncbi.nlm.nih.gov/pubmed/26951082" TargetMode="External"/><Relationship Id="rId340" Type="http://schemas.openxmlformats.org/officeDocument/2006/relationships/hyperlink" Target="https://www.ncbi.nlm.nih.gov/pubmed/?term=lenvatinib+everolimus+renal+cancer+meta-analysis" TargetMode="External"/><Relationship Id="rId200" Type="http://schemas.openxmlformats.org/officeDocument/2006/relationships/hyperlink" Target="https://www.ncbi.nlm.nih.gov/pubmed/?term=Van%20Poppel%20H%5BAuthor%5D&amp;cauthor=true&amp;cauthor_uid=21186077" TargetMode="External"/><Relationship Id="rId382" Type="http://schemas.openxmlformats.org/officeDocument/2006/relationships/hyperlink" Target="https://www.ncbi.nlm.nih.gov/pubmed/190977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45983</Words>
  <Characters>262108</Characters>
  <Application>Microsoft Office Word</Application>
  <DocSecurity>4</DocSecurity>
  <Lines>2184</Lines>
  <Paragraphs>614</Paragraphs>
  <ScaleCrop>false</ScaleCrop>
  <Company/>
  <LinksUpToDate>false</LinksUpToDate>
  <CharactersWithSpaces>307477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2025-12-23T10:54:00Z</dcterms:created>
  <dcterms:modified xsi:type="dcterms:W3CDTF">2025-12-23T10:54:00Z</dcterms:modified>
</cp:coreProperties>
</file>