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3B51" w:rsidRDefault="003D0A08">
      <w:pPr>
        <w:spacing w:after="0" w:line="259" w:lineRule="auto"/>
        <w:ind w:left="-1440" w:right="10460" w:firstLine="0"/>
        <w:jc w:val="left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152400</wp:posOffset>
            </wp:positionV>
            <wp:extent cx="7552754" cy="103759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2754" cy="1037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3B51" w:rsidRDefault="000A3B51">
      <w:pPr>
        <w:sectPr w:rsidR="000A3B51">
          <w:footerReference w:type="even" r:id="rId8"/>
          <w:footerReference w:type="default" r:id="rId9"/>
          <w:footerReference w:type="first" r:id="rId10"/>
          <w:pgSz w:w="11900" w:h="16820"/>
          <w:pgMar w:top="1440" w:right="1440" w:bottom="1440" w:left="1440" w:header="720" w:footer="720" w:gutter="0"/>
          <w:cols w:space="720"/>
        </w:sectPr>
      </w:pPr>
    </w:p>
    <w:p w:rsidR="000A3B51" w:rsidRDefault="003D0A08">
      <w:pPr>
        <w:spacing w:after="270" w:line="259" w:lineRule="auto"/>
        <w:ind w:left="360" w:right="0" w:firstLine="0"/>
        <w:jc w:val="left"/>
      </w:pPr>
      <w:r>
        <w:lastRenderedPageBreak/>
        <w:t xml:space="preserve"> </w:t>
      </w:r>
    </w:p>
    <w:p w:rsidR="000A3B51" w:rsidRDefault="003D0A08">
      <w:pPr>
        <w:spacing w:after="3" w:line="267" w:lineRule="auto"/>
        <w:ind w:left="355" w:right="753"/>
      </w:pPr>
      <w:r>
        <w:rPr>
          <w:b/>
        </w:rPr>
        <w:t xml:space="preserve">Оглавление </w:t>
      </w:r>
    </w:p>
    <w:p w:rsidR="000A3B51" w:rsidRDefault="003D0A08">
      <w:pPr>
        <w:spacing w:after="227" w:line="267" w:lineRule="auto"/>
        <w:ind w:left="355" w:right="753"/>
      </w:pPr>
      <w:r>
        <w:rPr>
          <w:b/>
        </w:rPr>
        <w:t>Список сокращений .................................................................................................................... 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12" w:line="267" w:lineRule="auto"/>
        <w:ind w:left="355" w:right="753"/>
      </w:pPr>
      <w:r>
        <w:rPr>
          <w:b/>
        </w:rPr>
        <w:t xml:space="preserve">Термины и определения </w:t>
      </w:r>
      <w:r>
        <w:rPr>
          <w:b/>
        </w:rPr>
        <w:t>............................................................................................................. 6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0"/>
          <w:numId w:val="1"/>
        </w:numPr>
        <w:spacing w:after="98" w:line="362" w:lineRule="auto"/>
        <w:ind w:right="753"/>
      </w:pPr>
      <w:r>
        <w:rPr>
          <w:b/>
        </w:rPr>
        <w:t>Краткая информация по заболеванию или состоянию (группе заболеваний или состояний) ............................................................</w:t>
      </w:r>
      <w:r>
        <w:rPr>
          <w:b/>
        </w:rPr>
        <w:t>......................................................................... 7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1"/>
          <w:numId w:val="1"/>
        </w:numPr>
        <w:spacing w:after="116" w:line="259" w:lineRule="auto"/>
        <w:ind w:right="0" w:firstLine="439"/>
        <w:jc w:val="left"/>
      </w:pPr>
      <w:r>
        <w:rPr>
          <w:sz w:val="22"/>
        </w:rPr>
        <w:t>Определение заболевания или состояния (группы заболеваний или состояний)</w:t>
      </w:r>
      <w:r>
        <w:rPr>
          <w:rFonts w:ascii="Calibri" w:eastAsia="Calibri" w:hAnsi="Calibri" w:cs="Calibri"/>
          <w:sz w:val="22"/>
        </w:rPr>
        <w:t xml:space="preserve"> ................... 7 </w:t>
      </w:r>
    </w:p>
    <w:p w:rsidR="000A3B51" w:rsidRDefault="003D0A08">
      <w:pPr>
        <w:numPr>
          <w:ilvl w:val="1"/>
          <w:numId w:val="1"/>
        </w:numPr>
        <w:spacing w:after="116" w:line="259" w:lineRule="auto"/>
        <w:ind w:right="0" w:firstLine="439"/>
        <w:jc w:val="left"/>
      </w:pPr>
      <w:r>
        <w:rPr>
          <w:sz w:val="22"/>
        </w:rPr>
        <w:t>Этиология и патогенез заболевания или состояния (группы заболеваний или состояний)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rFonts w:ascii="Calibri" w:eastAsia="Calibri" w:hAnsi="Calibri" w:cs="Calibri"/>
          <w:sz w:val="22"/>
        </w:rPr>
        <w:t xml:space="preserve">... 8 </w:t>
      </w:r>
    </w:p>
    <w:p w:rsidR="000A3B51" w:rsidRDefault="003D0A08">
      <w:pPr>
        <w:numPr>
          <w:ilvl w:val="1"/>
          <w:numId w:val="1"/>
        </w:numPr>
        <w:spacing w:after="116" w:line="259" w:lineRule="auto"/>
        <w:ind w:right="0" w:firstLine="439"/>
        <w:jc w:val="left"/>
      </w:pPr>
      <w:r>
        <w:rPr>
          <w:sz w:val="22"/>
        </w:rPr>
        <w:t>Эпидемиология заболевания или состояния (группы заболеваний или состояний)</w:t>
      </w:r>
      <w:r>
        <w:rPr>
          <w:rFonts w:ascii="Calibri" w:eastAsia="Calibri" w:hAnsi="Calibri" w:cs="Calibri"/>
          <w:sz w:val="22"/>
        </w:rPr>
        <w:t xml:space="preserve"> ............ 10 </w:t>
      </w:r>
    </w:p>
    <w:p w:rsidR="000A3B51" w:rsidRDefault="003D0A08">
      <w:pPr>
        <w:numPr>
          <w:ilvl w:val="1"/>
          <w:numId w:val="1"/>
        </w:numPr>
        <w:spacing w:after="0" w:line="259" w:lineRule="auto"/>
        <w:ind w:right="0" w:firstLine="439"/>
        <w:jc w:val="left"/>
      </w:pPr>
      <w:r>
        <w:rPr>
          <w:sz w:val="22"/>
        </w:rPr>
        <w:t xml:space="preserve">Особенности кодирования заболевания или состояния (группы   заболеваний или </w:t>
      </w:r>
    </w:p>
    <w:p w:rsidR="000A3B51" w:rsidRDefault="003D0A08">
      <w:pPr>
        <w:spacing w:after="3" w:line="259" w:lineRule="auto"/>
        <w:ind w:left="794" w:right="0"/>
        <w:jc w:val="left"/>
      </w:pPr>
      <w:r>
        <w:rPr>
          <w:sz w:val="22"/>
        </w:rPr>
        <w:t xml:space="preserve">состояний) по Международной статистической классификации болезней и проблем, </w:t>
      </w:r>
    </w:p>
    <w:p w:rsidR="000A3B51" w:rsidRDefault="003D0A08">
      <w:pPr>
        <w:spacing w:after="110" w:line="259" w:lineRule="auto"/>
        <w:ind w:left="794" w:right="0"/>
        <w:jc w:val="left"/>
      </w:pPr>
      <w:r>
        <w:rPr>
          <w:sz w:val="22"/>
        </w:rPr>
        <w:t>св</w:t>
      </w:r>
      <w:r>
        <w:rPr>
          <w:sz w:val="22"/>
        </w:rPr>
        <w:t>язанных со здоровьем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.................................................................................................................... 10 </w:t>
      </w:r>
    </w:p>
    <w:p w:rsidR="000A3B51" w:rsidRDefault="003D0A08">
      <w:pPr>
        <w:numPr>
          <w:ilvl w:val="1"/>
          <w:numId w:val="1"/>
        </w:numPr>
        <w:spacing w:after="116" w:line="259" w:lineRule="auto"/>
        <w:ind w:right="0" w:firstLine="439"/>
        <w:jc w:val="left"/>
      </w:pPr>
      <w:r>
        <w:rPr>
          <w:sz w:val="22"/>
        </w:rPr>
        <w:t>Классификация заболевания или состояния (группы заболеваний или состояний)</w:t>
      </w:r>
      <w:r>
        <w:rPr>
          <w:rFonts w:ascii="Calibri" w:eastAsia="Calibri" w:hAnsi="Calibri" w:cs="Calibri"/>
          <w:sz w:val="22"/>
        </w:rPr>
        <w:t xml:space="preserve"> ............. 11 </w:t>
      </w:r>
    </w:p>
    <w:p w:rsidR="000A3B51" w:rsidRDefault="003D0A08">
      <w:pPr>
        <w:spacing w:after="109" w:line="259" w:lineRule="auto"/>
        <w:ind w:left="10" w:right="754"/>
        <w:jc w:val="right"/>
      </w:pPr>
      <w:r>
        <w:rPr>
          <w:sz w:val="22"/>
        </w:rPr>
        <w:t>1.5.1 Клиническая кла</w:t>
      </w:r>
      <w:r>
        <w:rPr>
          <w:sz w:val="22"/>
        </w:rPr>
        <w:t>ссификация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 11 </w:t>
      </w:r>
    </w:p>
    <w:p w:rsidR="000A3B51" w:rsidRDefault="003D0A08">
      <w:pPr>
        <w:numPr>
          <w:ilvl w:val="1"/>
          <w:numId w:val="1"/>
        </w:numPr>
        <w:spacing w:after="69" w:line="380" w:lineRule="auto"/>
        <w:ind w:right="0" w:firstLine="439"/>
        <w:jc w:val="left"/>
      </w:pPr>
      <w:r>
        <w:rPr>
          <w:sz w:val="22"/>
        </w:rPr>
        <w:t>Клиническая картина заболевания или состояния (группы заболеваний или состояний)</w:t>
      </w:r>
      <w:r>
        <w:rPr>
          <w:rFonts w:ascii="Calibri" w:eastAsia="Calibri" w:hAnsi="Calibri" w:cs="Calibri"/>
          <w:sz w:val="22"/>
        </w:rPr>
        <w:t xml:space="preserve"> ... 12 </w:t>
      </w:r>
      <w:r>
        <w:rPr>
          <w:b/>
        </w:rPr>
        <w:t xml:space="preserve">2. Диагностика заболевания или состояния (группы заболеваний </w:t>
      </w:r>
      <w:r>
        <w:rPr>
          <w:b/>
        </w:rPr>
        <w:t>или состояний) медицинские показания и противопоказания к применению методов диагностики .. 14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1"/>
          <w:numId w:val="2"/>
        </w:numPr>
        <w:spacing w:after="136" w:line="259" w:lineRule="auto"/>
        <w:ind w:right="0" w:hanging="331"/>
        <w:jc w:val="left"/>
      </w:pPr>
      <w:r>
        <w:rPr>
          <w:sz w:val="22"/>
        </w:rPr>
        <w:t>Критерии установления диагноза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.............................................................................................. 14 </w:t>
      </w:r>
    </w:p>
    <w:p w:rsidR="000A3B51" w:rsidRDefault="003D0A08">
      <w:pPr>
        <w:numPr>
          <w:ilvl w:val="1"/>
          <w:numId w:val="2"/>
        </w:numPr>
        <w:spacing w:after="110" w:line="259" w:lineRule="auto"/>
        <w:ind w:right="0" w:hanging="331"/>
        <w:jc w:val="left"/>
      </w:pPr>
      <w:r>
        <w:rPr>
          <w:sz w:val="22"/>
        </w:rPr>
        <w:t>Жалобы и анамнез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rFonts w:ascii="Calibri" w:eastAsia="Calibri" w:hAnsi="Calibri" w:cs="Calibri"/>
          <w:sz w:val="22"/>
        </w:rPr>
        <w:t xml:space="preserve">....................................................................................................................... 17 </w:t>
      </w:r>
    </w:p>
    <w:p w:rsidR="000A3B51" w:rsidRDefault="003D0A08">
      <w:pPr>
        <w:numPr>
          <w:ilvl w:val="1"/>
          <w:numId w:val="2"/>
        </w:numPr>
        <w:spacing w:after="110" w:line="259" w:lineRule="auto"/>
        <w:ind w:right="0" w:hanging="331"/>
        <w:jc w:val="left"/>
      </w:pPr>
      <w:r>
        <w:rPr>
          <w:sz w:val="22"/>
        </w:rPr>
        <w:t>Физикальное обследование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........................................................................................................ 17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1"/>
          <w:numId w:val="2"/>
        </w:numPr>
        <w:spacing w:after="110" w:line="259" w:lineRule="auto"/>
        <w:ind w:right="0" w:hanging="331"/>
        <w:jc w:val="left"/>
      </w:pPr>
      <w:r>
        <w:rPr>
          <w:sz w:val="22"/>
        </w:rPr>
        <w:t>Лабораторные диагностические исследования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 19 </w:t>
      </w:r>
    </w:p>
    <w:p w:rsidR="000A3B51" w:rsidRDefault="003D0A08">
      <w:pPr>
        <w:numPr>
          <w:ilvl w:val="1"/>
          <w:numId w:val="2"/>
        </w:numPr>
        <w:spacing w:after="110" w:line="259" w:lineRule="auto"/>
        <w:ind w:right="0" w:hanging="331"/>
        <w:jc w:val="left"/>
      </w:pPr>
      <w:r>
        <w:rPr>
          <w:sz w:val="22"/>
        </w:rPr>
        <w:t>Инструментальные диагностические исследования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 21 </w:t>
      </w:r>
    </w:p>
    <w:p w:rsidR="000A3B51" w:rsidRDefault="003D0A08">
      <w:pPr>
        <w:numPr>
          <w:ilvl w:val="0"/>
          <w:numId w:val="3"/>
        </w:numPr>
        <w:spacing w:after="44" w:line="267" w:lineRule="auto"/>
        <w:ind w:right="753" w:hanging="254"/>
      </w:pPr>
      <w:r>
        <w:rPr>
          <w:b/>
        </w:rPr>
        <w:t>Лечение, включая мед</w:t>
      </w:r>
      <w:r>
        <w:rPr>
          <w:b/>
        </w:rPr>
        <w:t xml:space="preserve">икаментозную и немедикаментозную терапии, медицинские </w:t>
      </w:r>
    </w:p>
    <w:p w:rsidR="000A3B51" w:rsidRDefault="003D0A08">
      <w:pPr>
        <w:spacing w:after="206" w:line="267" w:lineRule="auto"/>
        <w:ind w:left="355" w:right="753"/>
      </w:pPr>
      <w:r>
        <w:rPr>
          <w:b/>
        </w:rPr>
        <w:t>показания и противопоказания к применению методов лечения</w:t>
      </w:r>
      <w:r>
        <w:t xml:space="preserve"> ................................... 24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1"/>
          <w:numId w:val="3"/>
        </w:numPr>
        <w:spacing w:after="110" w:line="259" w:lineRule="auto"/>
        <w:ind w:right="0" w:hanging="331"/>
        <w:jc w:val="left"/>
      </w:pPr>
      <w:r>
        <w:rPr>
          <w:sz w:val="22"/>
        </w:rPr>
        <w:t>Консервативное лечение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</w:t>
      </w:r>
      <w:r>
        <w:rPr>
          <w:rFonts w:ascii="Calibri" w:eastAsia="Calibri" w:hAnsi="Calibri" w:cs="Calibri"/>
          <w:sz w:val="22"/>
        </w:rPr>
        <w:t xml:space="preserve">............................. 25 </w:t>
      </w:r>
    </w:p>
    <w:p w:rsidR="000A3B51" w:rsidRDefault="003D0A08">
      <w:pPr>
        <w:numPr>
          <w:ilvl w:val="2"/>
          <w:numId w:val="3"/>
        </w:numPr>
        <w:spacing w:after="109" w:line="259" w:lineRule="auto"/>
        <w:ind w:right="754" w:hanging="497"/>
        <w:jc w:val="right"/>
      </w:pPr>
      <w:r>
        <w:rPr>
          <w:sz w:val="22"/>
        </w:rPr>
        <w:t>Базисная терапия остеоартрита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 26 </w:t>
      </w:r>
    </w:p>
    <w:p w:rsidR="000A3B51" w:rsidRDefault="003D0A08">
      <w:pPr>
        <w:numPr>
          <w:ilvl w:val="2"/>
          <w:numId w:val="3"/>
        </w:numPr>
        <w:spacing w:after="109" w:line="259" w:lineRule="auto"/>
        <w:ind w:right="754" w:hanging="497"/>
        <w:jc w:val="right"/>
      </w:pPr>
      <w:r>
        <w:rPr>
          <w:sz w:val="22"/>
        </w:rPr>
        <w:t>Симптоматические лекарственные средства при ОА</w:t>
      </w:r>
      <w:r>
        <w:rPr>
          <w:rFonts w:ascii="Calibri" w:eastAsia="Calibri" w:hAnsi="Calibri" w:cs="Calibri"/>
          <w:sz w:val="22"/>
        </w:rPr>
        <w:t xml:space="preserve"> ................................................... 2</w:t>
      </w:r>
      <w:r>
        <w:rPr>
          <w:rFonts w:ascii="Calibri" w:eastAsia="Calibri" w:hAnsi="Calibri" w:cs="Calibri"/>
          <w:sz w:val="22"/>
        </w:rPr>
        <w:t xml:space="preserve">9 </w:t>
      </w:r>
    </w:p>
    <w:p w:rsidR="000A3B51" w:rsidRDefault="003D0A08">
      <w:pPr>
        <w:numPr>
          <w:ilvl w:val="2"/>
          <w:numId w:val="3"/>
        </w:numPr>
        <w:spacing w:after="109" w:line="259" w:lineRule="auto"/>
        <w:ind w:right="754" w:hanging="497"/>
        <w:jc w:val="right"/>
      </w:pPr>
      <w:r>
        <w:rPr>
          <w:sz w:val="22"/>
        </w:rPr>
        <w:t>Внутрисуставные инъекции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 38 </w:t>
      </w:r>
    </w:p>
    <w:p w:rsidR="000A3B51" w:rsidRDefault="003D0A08">
      <w:pPr>
        <w:numPr>
          <w:ilvl w:val="1"/>
          <w:numId w:val="3"/>
        </w:numPr>
        <w:spacing w:after="172" w:line="259" w:lineRule="auto"/>
        <w:ind w:right="0" w:hanging="331"/>
        <w:jc w:val="left"/>
      </w:pPr>
      <w:r>
        <w:rPr>
          <w:sz w:val="22"/>
        </w:rPr>
        <w:t>Хирургическое лечение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.............................................................................................................</w:t>
      </w:r>
      <w:r>
        <w:rPr>
          <w:rFonts w:ascii="Calibri" w:eastAsia="Calibri" w:hAnsi="Calibri" w:cs="Calibri"/>
          <w:sz w:val="22"/>
        </w:rPr>
        <w:t xml:space="preserve">. 42 </w:t>
      </w:r>
    </w:p>
    <w:p w:rsidR="000A3B51" w:rsidRDefault="003D0A08">
      <w:pPr>
        <w:numPr>
          <w:ilvl w:val="0"/>
          <w:numId w:val="3"/>
        </w:numPr>
        <w:spacing w:after="129" w:line="335" w:lineRule="auto"/>
        <w:ind w:right="753" w:hanging="254"/>
      </w:pPr>
      <w:r>
        <w:rPr>
          <w:b/>
        </w:rPr>
        <w:t>Медицинская реабилитация и санаторно-курортное лечение, медицинские показания и противопоказания к применению методов медицинской реабилитации, в том числе основанных на использовании природных лечебных факторов</w:t>
      </w:r>
      <w:r>
        <w:t xml:space="preserve"> .................. 42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5. Профилактика и диспансерное наблюдение, медицинские показания и противопоказания к применению методов профилактики</w:t>
      </w:r>
      <w:r>
        <w:t xml:space="preserve"> .............................................. 49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numPr>
          <w:ilvl w:val="1"/>
          <w:numId w:val="4"/>
        </w:numPr>
        <w:spacing w:after="110" w:line="259" w:lineRule="auto"/>
        <w:ind w:right="377" w:hanging="331"/>
        <w:jc w:val="left"/>
      </w:pPr>
      <w:r>
        <w:rPr>
          <w:sz w:val="22"/>
        </w:rPr>
        <w:t>Профилактика генерализованного ОА</w:t>
      </w:r>
      <w:r>
        <w:rPr>
          <w:rFonts w:ascii="Calibri" w:eastAsia="Calibri" w:hAnsi="Calibri" w:cs="Calibri"/>
          <w:sz w:val="22"/>
        </w:rPr>
        <w:t xml:space="preserve"> .....................................................</w:t>
      </w:r>
      <w:r>
        <w:rPr>
          <w:rFonts w:ascii="Calibri" w:eastAsia="Calibri" w:hAnsi="Calibri" w:cs="Calibri"/>
          <w:sz w:val="22"/>
        </w:rPr>
        <w:t xml:space="preserve">................................. 49 </w:t>
      </w:r>
    </w:p>
    <w:p w:rsidR="000A3B51" w:rsidRDefault="003D0A08">
      <w:pPr>
        <w:numPr>
          <w:ilvl w:val="1"/>
          <w:numId w:val="4"/>
        </w:numPr>
        <w:spacing w:after="148" w:line="259" w:lineRule="auto"/>
        <w:ind w:right="377" w:hanging="331"/>
        <w:jc w:val="left"/>
      </w:pPr>
      <w:r>
        <w:rPr>
          <w:sz w:val="22"/>
        </w:rPr>
        <w:t>Диспансерное наблюдение пациентов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 51 </w:t>
      </w:r>
    </w:p>
    <w:p w:rsidR="000A3B51" w:rsidRDefault="003D0A08">
      <w:pPr>
        <w:spacing w:after="0" w:line="464" w:lineRule="auto"/>
        <w:ind w:right="755"/>
      </w:pPr>
      <w:r>
        <w:rPr>
          <w:b/>
        </w:rPr>
        <w:t>6. Организация оказания медицинской помощи</w:t>
      </w:r>
      <w:r>
        <w:t>...................................................</w:t>
      </w:r>
      <w:r>
        <w:t>.............. 53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7. Постановка диагноза</w:t>
      </w:r>
      <w:r>
        <w:t xml:space="preserve"> ............................................................................................................ 54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164" w:line="259" w:lineRule="auto"/>
        <w:ind w:left="10" w:right="754"/>
        <w:jc w:val="right"/>
      </w:pPr>
      <w:r>
        <w:rPr>
          <w:sz w:val="22"/>
        </w:rPr>
        <w:t>7.1 Примеры формулировки клинических диагнозов</w:t>
      </w:r>
      <w:r>
        <w:rPr>
          <w:rFonts w:ascii="Calibri" w:eastAsia="Calibri" w:hAnsi="Calibri" w:cs="Calibri"/>
          <w:sz w:val="22"/>
        </w:rPr>
        <w:t xml:space="preserve"> .......................................................</w:t>
      </w:r>
      <w:r>
        <w:rPr>
          <w:rFonts w:ascii="Calibri" w:eastAsia="Calibri" w:hAnsi="Calibri" w:cs="Calibri"/>
          <w:sz w:val="22"/>
        </w:rPr>
        <w:t xml:space="preserve">............. 55 </w:t>
      </w:r>
    </w:p>
    <w:p w:rsidR="000A3B51" w:rsidRDefault="003D0A08">
      <w:pPr>
        <w:numPr>
          <w:ilvl w:val="0"/>
          <w:numId w:val="5"/>
        </w:numPr>
        <w:spacing w:after="205" w:line="267" w:lineRule="auto"/>
        <w:ind w:right="753" w:hanging="240"/>
      </w:pPr>
      <w:r>
        <w:rPr>
          <w:b/>
        </w:rPr>
        <w:t>Дополнительная информация, влияющая на течение и исход заболевания</w:t>
      </w:r>
      <w:r>
        <w:t xml:space="preserve"> ............. 55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145" w:line="259" w:lineRule="auto"/>
        <w:ind w:left="10" w:right="754"/>
        <w:jc w:val="right"/>
      </w:pPr>
      <w:r>
        <w:rPr>
          <w:sz w:val="22"/>
        </w:rPr>
        <w:t>8.1 Коморбидность</w:t>
      </w:r>
      <w:r>
        <w:rPr>
          <w:rFonts w:ascii="Calibri" w:eastAsia="Calibri" w:hAnsi="Calibri" w:cs="Calibri"/>
          <w:sz w:val="22"/>
        </w:rPr>
        <w:t xml:space="preserve"> ............................................................................................................................ 55 </w:t>
      </w:r>
    </w:p>
    <w:p w:rsidR="000A3B51" w:rsidRDefault="003D0A08">
      <w:pPr>
        <w:numPr>
          <w:ilvl w:val="0"/>
          <w:numId w:val="5"/>
        </w:numPr>
        <w:spacing w:after="3" w:line="477" w:lineRule="auto"/>
        <w:ind w:right="753" w:hanging="240"/>
      </w:pPr>
      <w:r>
        <w:rPr>
          <w:b/>
        </w:rPr>
        <w:t>Критер</w:t>
      </w:r>
      <w:r>
        <w:rPr>
          <w:b/>
        </w:rPr>
        <w:t>ии оценки качества медицинской помощи</w:t>
      </w:r>
      <w:r>
        <w:t xml:space="preserve"> ......................................................... 55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 xml:space="preserve">Список литературы ............................................................. </w:t>
      </w:r>
      <w:r>
        <w:t>Ошибка! Закладка не определена.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13" w:line="267" w:lineRule="auto"/>
        <w:ind w:left="355" w:right="753"/>
      </w:pPr>
      <w:r>
        <w:rPr>
          <w:b/>
        </w:rPr>
        <w:t>Приложения .................................</w:t>
      </w:r>
      <w:r>
        <w:rPr>
          <w:b/>
        </w:rPr>
        <w:t>............................................................................................. 104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116" w:line="267" w:lineRule="auto"/>
        <w:ind w:left="355" w:right="753"/>
      </w:pPr>
      <w:r>
        <w:rPr>
          <w:b/>
        </w:rPr>
        <w:t xml:space="preserve">Приложение А1. Состав рабочей группы по разработке и пересмотру клинических </w:t>
      </w:r>
    </w:p>
    <w:p w:rsidR="000A3B51" w:rsidRDefault="003D0A08">
      <w:pPr>
        <w:spacing w:after="254" w:line="267" w:lineRule="auto"/>
        <w:ind w:left="355" w:right="753"/>
      </w:pPr>
      <w:r>
        <w:rPr>
          <w:b/>
        </w:rPr>
        <w:t xml:space="preserve">рекомендаций: </w:t>
      </w:r>
      <w:r>
        <w:rPr>
          <w:b/>
        </w:rPr>
        <w:t>.......................................................................................................................... 104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36" w:line="267" w:lineRule="auto"/>
        <w:ind w:left="355" w:right="753"/>
      </w:pPr>
      <w:r>
        <w:rPr>
          <w:b/>
        </w:rPr>
        <w:t>Приложение А2. Методология разработки клинических рекомендаций ..................... 106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47" w:line="267" w:lineRule="auto"/>
        <w:ind w:left="355" w:right="753"/>
      </w:pPr>
      <w:r>
        <w:rPr>
          <w:b/>
        </w:rPr>
        <w:t>Приложение А3. Связанные документы ...</w:t>
      </w:r>
      <w:r>
        <w:rPr>
          <w:b/>
        </w:rPr>
        <w:t>.......................................................................... 108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38" w:line="267" w:lineRule="auto"/>
        <w:ind w:left="355" w:right="753"/>
      </w:pPr>
      <w:r>
        <w:rPr>
          <w:b/>
        </w:rPr>
        <w:t>Приложение Б. Алгоритм лечения генерализованного ОА ............................................ 108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66" w:line="267" w:lineRule="auto"/>
        <w:ind w:left="355" w:right="753"/>
      </w:pPr>
      <w:r>
        <w:rPr>
          <w:b/>
        </w:rPr>
        <w:t>Приложение В. Информация для пациента ....................................</w:t>
      </w:r>
      <w:r>
        <w:rPr>
          <w:b/>
        </w:rPr>
        <w:t>................................... 109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143" w:line="267" w:lineRule="auto"/>
        <w:ind w:left="355" w:right="753"/>
      </w:pPr>
      <w:r>
        <w:rPr>
          <w:b/>
        </w:rPr>
        <w:t xml:space="preserve">Приложение Г1-Г9. Шкалы оценки, вопросники и другие оценочные инструменты </w:t>
      </w:r>
    </w:p>
    <w:p w:rsidR="000A3B51" w:rsidRDefault="003D0A08">
      <w:pPr>
        <w:spacing w:after="3" w:line="475" w:lineRule="auto"/>
        <w:ind w:left="355" w:right="753"/>
      </w:pPr>
      <w:r>
        <w:rPr>
          <w:b/>
        </w:rPr>
        <w:t>состояния пациента, приведенные в клинических рекомендациях .............................. 114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Приложение Г 1. Шкалы оценки интенсивности бо</w:t>
      </w:r>
      <w:r>
        <w:rPr>
          <w:b/>
        </w:rPr>
        <w:t>ли</w:t>
      </w:r>
      <w:r>
        <w:t xml:space="preserve"> .................................................... 114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19"/>
        <w:ind w:right="755"/>
      </w:pPr>
      <w:r>
        <w:rPr>
          <w:b/>
        </w:rPr>
        <w:t>Приложение Г2. Шкала FRAX</w:t>
      </w:r>
      <w:r>
        <w:t xml:space="preserve"> .............................................................................................. 115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28" w:line="267" w:lineRule="auto"/>
        <w:ind w:left="355" w:right="753"/>
      </w:pPr>
      <w:r>
        <w:rPr>
          <w:b/>
        </w:rPr>
        <w:t>Приложение Г3. Функциональный индекс оценки ОА коленного и/или тазобе</w:t>
      </w:r>
      <w:r>
        <w:rPr>
          <w:b/>
        </w:rPr>
        <w:t>дренного сустава WOMAC (Western Ontario and McMaster Universities Arthritis Index</w:t>
      </w:r>
      <w:r>
        <w:t>) ........... 116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3" w:line="267" w:lineRule="auto"/>
        <w:ind w:left="355" w:right="753"/>
      </w:pPr>
      <w:r>
        <w:rPr>
          <w:rFonts w:ascii="Cambria" w:eastAsia="Cambria" w:hAnsi="Cambria" w:cs="Cambria"/>
          <w:b/>
        </w:rPr>
        <w:t xml:space="preserve">Приложение Г4. Шкала оценки </w:t>
      </w:r>
      <w:r>
        <w:rPr>
          <w:b/>
        </w:rPr>
        <w:t xml:space="preserve">функционального состояния коленного сустава </w:t>
      </w:r>
    </w:p>
    <w:p w:rsidR="000A3B51" w:rsidRDefault="003D0A08">
      <w:pPr>
        <w:spacing w:after="224" w:line="267" w:lineRule="auto"/>
        <w:ind w:left="355" w:right="753"/>
      </w:pPr>
      <w:r>
        <w:rPr>
          <w:b/>
        </w:rPr>
        <w:t>(КООS)</w:t>
      </w:r>
      <w:r>
        <w:t xml:space="preserve"> </w:t>
      </w:r>
      <w:r>
        <w:rPr>
          <w:b/>
        </w:rPr>
        <w:t>(The Knee injury and Osteoarthritis Outcome Score).</w:t>
      </w:r>
      <w:r>
        <w:t xml:space="preserve"> </w:t>
      </w:r>
      <w:r>
        <w:t>........................................... 119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59"/>
        <w:ind w:right="755"/>
      </w:pPr>
      <w:r>
        <w:rPr>
          <w:rFonts w:ascii="Cambria" w:eastAsia="Cambria" w:hAnsi="Cambria" w:cs="Cambria"/>
          <w:b/>
        </w:rPr>
        <w:t>Приложение Г5. Шкала оценки функционального состояния тазобедренного сустава</w:t>
      </w:r>
      <w:r>
        <w:t xml:space="preserve"> ..................................................................................................................................</w:t>
      </w:r>
      <w:r>
        <w:t>..... 123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46" w:line="267" w:lineRule="auto"/>
        <w:ind w:left="355" w:right="753"/>
      </w:pPr>
      <w:r>
        <w:rPr>
          <w:b/>
        </w:rPr>
        <w:t>Приложение Г6. Функциональный индекс по оценке ОА суставов кистей</w:t>
      </w:r>
      <w:r>
        <w:t xml:space="preserve"> (</w:t>
      </w:r>
      <w:r>
        <w:rPr>
          <w:b/>
        </w:rPr>
        <w:t>AUSCAN</w:t>
      </w:r>
      <w:r>
        <w:t xml:space="preserve">) </w:t>
      </w:r>
      <w:r>
        <w:rPr>
          <w:b/>
        </w:rPr>
        <w:t>(The Australian/Canadian Hand Osteoarthritis Index)</w:t>
      </w:r>
      <w:r>
        <w:t xml:space="preserve"> ........................................................ 127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3" w:line="267" w:lineRule="auto"/>
        <w:ind w:left="355" w:right="753"/>
      </w:pPr>
      <w:r>
        <w:rPr>
          <w:rFonts w:ascii="Cambria" w:eastAsia="Cambria" w:hAnsi="Cambria" w:cs="Cambria"/>
          <w:b/>
        </w:rPr>
        <w:t xml:space="preserve">Приложение Г7. </w:t>
      </w:r>
      <w:r>
        <w:rPr>
          <w:b/>
        </w:rPr>
        <w:t>Индекс для оценки функции кисти (FIHOA) (</w:t>
      </w:r>
      <w:r>
        <w:rPr>
          <w:b/>
        </w:rPr>
        <w:t xml:space="preserve">functional Index of Hand </w:t>
      </w:r>
    </w:p>
    <w:p w:rsidR="000A3B51" w:rsidRDefault="003D0A08">
      <w:pPr>
        <w:spacing w:after="241"/>
        <w:ind w:right="755"/>
      </w:pPr>
      <w:r>
        <w:rPr>
          <w:b/>
        </w:rPr>
        <w:t>OA)</w:t>
      </w:r>
      <w:r>
        <w:t xml:space="preserve"> .............................................................................................................................................. 129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58"/>
        <w:ind w:right="755"/>
      </w:pPr>
      <w:r>
        <w:rPr>
          <w:rFonts w:ascii="Cambria" w:eastAsia="Cambria" w:hAnsi="Cambria" w:cs="Cambria"/>
          <w:b/>
        </w:rPr>
        <w:t xml:space="preserve">Приложение Г8. </w:t>
      </w:r>
      <w:r>
        <w:rPr>
          <w:b/>
        </w:rPr>
        <w:t xml:space="preserve"> Индекс Освестри</w:t>
      </w:r>
      <w:r>
        <w:rPr>
          <w:rFonts w:ascii="Arial" w:eastAsia="Arial" w:hAnsi="Arial" w:cs="Arial"/>
        </w:rPr>
        <w:t xml:space="preserve"> (</w:t>
      </w:r>
      <w:r>
        <w:rPr>
          <w:b/>
        </w:rPr>
        <w:t>Oswestry)</w:t>
      </w:r>
      <w:r>
        <w:t xml:space="preserve"> ...................................</w:t>
      </w:r>
      <w:r>
        <w:t>.............................. 130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220" w:line="267" w:lineRule="auto"/>
        <w:ind w:left="355" w:right="753"/>
      </w:pPr>
      <w:r>
        <w:rPr>
          <w:rFonts w:ascii="Cambria" w:eastAsia="Cambria" w:hAnsi="Cambria" w:cs="Cambria"/>
          <w:b/>
        </w:rPr>
        <w:t xml:space="preserve">Приложение Г9. </w:t>
      </w:r>
      <w:r>
        <w:rPr>
          <w:b/>
        </w:rPr>
        <w:t>Диагностический опросник невропатической боли (ДН 4)</w:t>
      </w:r>
      <w:r>
        <w:t xml:space="preserve"> ............ 134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Приложение Г10. Вопросник боли Pain DETECT</w:t>
      </w:r>
      <w:r>
        <w:t xml:space="preserve"> ............................................................. 135</w:t>
      </w:r>
      <w:r>
        <w:rPr>
          <w:rFonts w:ascii="Calibri" w:eastAsia="Calibri" w:hAnsi="Calibri" w:cs="Calibri"/>
          <w:sz w:val="22"/>
        </w:rPr>
        <w:t xml:space="preserve"> </w:t>
      </w:r>
    </w:p>
    <w:p w:rsidR="000A3B51" w:rsidRDefault="003D0A08">
      <w:pPr>
        <w:spacing w:after="414" w:line="259" w:lineRule="auto"/>
        <w:ind w:left="360" w:right="0" w:firstLine="0"/>
        <w:jc w:val="left"/>
      </w:pPr>
      <w:r>
        <w:rPr>
          <w:b/>
        </w:rPr>
        <w:t xml:space="preserve"> </w:t>
      </w:r>
    </w:p>
    <w:p w:rsidR="000A3B51" w:rsidRDefault="003D0A08">
      <w:pPr>
        <w:pStyle w:val="Heading1"/>
        <w:ind w:left="319" w:right="710"/>
      </w:pPr>
      <w:r>
        <w:t>Список сокращений</w:t>
      </w:r>
      <w:r>
        <w:rPr>
          <w:b w:val="0"/>
          <w:sz w:val="24"/>
        </w:rPr>
        <w:t xml:space="preserve"> </w:t>
      </w:r>
    </w:p>
    <w:p w:rsidR="000A3B51" w:rsidRDefault="003D0A08">
      <w:pPr>
        <w:spacing w:after="71"/>
        <w:ind w:left="1078" w:right="755"/>
      </w:pPr>
      <w:r>
        <w:t xml:space="preserve">АКР </w:t>
      </w:r>
      <w:r>
        <w:t xml:space="preserve">– американская коллегия ревматологов   </w:t>
      </w:r>
    </w:p>
    <w:p w:rsidR="000A3B51" w:rsidRDefault="003D0A08">
      <w:pPr>
        <w:spacing w:after="71"/>
        <w:ind w:left="1078" w:right="755"/>
      </w:pPr>
      <w:r>
        <w:t xml:space="preserve">АЛТ – аланинаминотрансфераза  </w:t>
      </w:r>
    </w:p>
    <w:p w:rsidR="000A3B51" w:rsidRDefault="003D0A08">
      <w:pPr>
        <w:spacing w:after="70"/>
        <w:ind w:left="1078" w:right="755"/>
      </w:pPr>
      <w:r>
        <w:t xml:space="preserve">АСТ – аспартатаминотрансфераза </w:t>
      </w:r>
    </w:p>
    <w:p w:rsidR="000A3B51" w:rsidRDefault="003D0A08">
      <w:pPr>
        <w:spacing w:after="70"/>
        <w:ind w:left="1078" w:right="755"/>
      </w:pPr>
      <w:r>
        <w:t xml:space="preserve">АЦЦП – антитела к циклическому цитруллиновому пептиду </w:t>
      </w:r>
    </w:p>
    <w:p w:rsidR="000A3B51" w:rsidRDefault="003D0A08">
      <w:pPr>
        <w:spacing w:after="71"/>
        <w:ind w:left="1078" w:right="755"/>
      </w:pPr>
      <w:r>
        <w:t xml:space="preserve">АТХ – анатомо-терапевтическо-химическая классификация </w:t>
      </w:r>
    </w:p>
    <w:p w:rsidR="000A3B51" w:rsidRDefault="003D0A08">
      <w:pPr>
        <w:spacing w:after="58"/>
        <w:ind w:left="1078" w:right="755"/>
      </w:pPr>
      <w:r>
        <w:t xml:space="preserve">БАД – биологически активные добавки </w:t>
      </w:r>
    </w:p>
    <w:p w:rsidR="000A3B51" w:rsidRDefault="003D0A08">
      <w:pPr>
        <w:spacing w:after="26"/>
        <w:ind w:left="1078" w:right="755"/>
      </w:pPr>
      <w:r>
        <w:t>БПВП</w:t>
      </w:r>
      <w:r>
        <w:t xml:space="preserve"> – базисные противовоспалительные препараты (M01AX05, M01AX21, </w:t>
      </w:r>
    </w:p>
    <w:p w:rsidR="000A3B51" w:rsidRDefault="003D0A08">
      <w:pPr>
        <w:spacing w:after="68"/>
        <w:ind w:left="1078" w:right="755"/>
      </w:pPr>
      <w:r>
        <w:t xml:space="preserve">M01AX25, M01AX26, M01BX, M09AX) </w:t>
      </w:r>
    </w:p>
    <w:p w:rsidR="000A3B51" w:rsidRDefault="003D0A08">
      <w:pPr>
        <w:spacing w:after="71"/>
        <w:ind w:left="1078" w:right="755"/>
      </w:pPr>
      <w:r>
        <w:t xml:space="preserve">ВАШ – визуально - аналоговая шкала </w:t>
      </w:r>
    </w:p>
    <w:p w:rsidR="000A3B51" w:rsidRDefault="003D0A08">
      <w:pPr>
        <w:spacing w:after="71"/>
        <w:ind w:left="1078" w:right="755"/>
      </w:pPr>
      <w:r>
        <w:t xml:space="preserve">ВРШ – вербальная ранговая шкала </w:t>
      </w:r>
    </w:p>
    <w:p w:rsidR="000A3B51" w:rsidRDefault="003D0A08">
      <w:pPr>
        <w:spacing w:after="70"/>
        <w:ind w:left="1078" w:right="755"/>
      </w:pPr>
      <w:r>
        <w:t xml:space="preserve">ГБ – гипертоническая болезнь </w:t>
      </w:r>
    </w:p>
    <w:p w:rsidR="000A3B51" w:rsidRDefault="003D0A08">
      <w:pPr>
        <w:spacing w:after="71"/>
        <w:ind w:left="1078" w:right="755"/>
      </w:pPr>
      <w:r>
        <w:t xml:space="preserve">ГК – глюкокортикоиды </w:t>
      </w:r>
    </w:p>
    <w:p w:rsidR="000A3B51" w:rsidRDefault="003D0A08">
      <w:pPr>
        <w:spacing w:after="71"/>
        <w:ind w:left="1078" w:right="755"/>
      </w:pPr>
      <w:r>
        <w:t>ГРЛС – государственный реестр лекарств</w:t>
      </w:r>
      <w:r>
        <w:t xml:space="preserve">енных средств </w:t>
      </w:r>
    </w:p>
    <w:p w:rsidR="000A3B51" w:rsidRDefault="003D0A08">
      <w:pPr>
        <w:spacing w:after="71"/>
        <w:ind w:left="1078" w:right="755"/>
      </w:pPr>
      <w:r>
        <w:t xml:space="preserve">ДИ – доверительный интервал </w:t>
      </w:r>
    </w:p>
    <w:p w:rsidR="000A3B51" w:rsidRDefault="003D0A08">
      <w:pPr>
        <w:spacing w:after="70"/>
        <w:ind w:left="1078" w:right="755"/>
      </w:pPr>
      <w:r>
        <w:t xml:space="preserve">ДМФС – дистальные межфаланговые суставы </w:t>
      </w:r>
    </w:p>
    <w:p w:rsidR="000A3B51" w:rsidRDefault="003D0A08">
      <w:pPr>
        <w:spacing w:after="0" w:line="326" w:lineRule="auto"/>
        <w:ind w:left="1078" w:right="755"/>
      </w:pPr>
      <w:r>
        <w:t xml:space="preserve">ДЦТ-форез – электрофорез диадинамическими токами с учетом индивидуальных         особенностей пациентов  </w:t>
      </w:r>
    </w:p>
    <w:p w:rsidR="000A3B51" w:rsidRDefault="003D0A08">
      <w:pPr>
        <w:spacing w:after="70"/>
        <w:ind w:left="1078" w:right="755"/>
      </w:pPr>
      <w:r>
        <w:t xml:space="preserve">ЖКТ – желудочно-кишечный тракт  </w:t>
      </w:r>
    </w:p>
    <w:p w:rsidR="000A3B51" w:rsidRDefault="003D0A08">
      <w:pPr>
        <w:spacing w:after="70"/>
        <w:ind w:left="1078" w:right="755"/>
      </w:pPr>
      <w:r>
        <w:t xml:space="preserve">ЗПС – запястно-пястный сустав  </w:t>
      </w:r>
    </w:p>
    <w:p w:rsidR="000A3B51" w:rsidRDefault="003D0A08">
      <w:pPr>
        <w:spacing w:after="69"/>
        <w:ind w:left="1078" w:right="755"/>
      </w:pPr>
      <w:r>
        <w:t xml:space="preserve">ИБС – ишемическая болезнь сердца  </w:t>
      </w:r>
    </w:p>
    <w:p w:rsidR="000A3B51" w:rsidRDefault="003D0A08">
      <w:pPr>
        <w:spacing w:after="70"/>
        <w:ind w:left="1078" w:right="755"/>
      </w:pPr>
      <w:r>
        <w:t xml:space="preserve">ИЛ – интерлейкин  </w:t>
      </w:r>
    </w:p>
    <w:p w:rsidR="000A3B51" w:rsidRDefault="003D0A08">
      <w:pPr>
        <w:spacing w:after="70"/>
        <w:ind w:left="1078" w:right="755"/>
      </w:pPr>
      <w:r>
        <w:t xml:space="preserve">ИМТ – индекс массы тела </w:t>
      </w:r>
    </w:p>
    <w:p w:rsidR="000A3B51" w:rsidRDefault="003D0A08">
      <w:pPr>
        <w:spacing w:after="68"/>
        <w:ind w:left="1078" w:right="755"/>
      </w:pPr>
      <w:r>
        <w:t xml:space="preserve">КПТ – когнитивно-поведенческая терапия  </w:t>
      </w:r>
    </w:p>
    <w:p w:rsidR="000A3B51" w:rsidRDefault="003D0A08">
      <w:pPr>
        <w:spacing w:after="71"/>
        <w:ind w:left="1078" w:right="755"/>
      </w:pPr>
      <w:r>
        <w:t xml:space="preserve">КР – клинические рекомендации </w:t>
      </w:r>
    </w:p>
    <w:p w:rsidR="000A3B51" w:rsidRDefault="003D0A08">
      <w:pPr>
        <w:spacing w:after="71"/>
        <w:ind w:left="1078" w:right="755"/>
      </w:pPr>
      <w:r>
        <w:t xml:space="preserve">КТ – компьютерная томография </w:t>
      </w:r>
    </w:p>
    <w:p w:rsidR="000A3B51" w:rsidRDefault="003D0A08">
      <w:pPr>
        <w:spacing w:after="71"/>
        <w:ind w:left="1078" w:right="755"/>
      </w:pPr>
      <w:r>
        <w:t xml:space="preserve">ЛП – лекарственные препараты </w:t>
      </w:r>
    </w:p>
    <w:p w:rsidR="000A3B51" w:rsidRDefault="003D0A08">
      <w:pPr>
        <w:spacing w:after="70"/>
        <w:ind w:left="1078" w:right="755"/>
      </w:pPr>
      <w:r>
        <w:t xml:space="preserve">ЛПВП – липопротеиды высокой плотности </w:t>
      </w:r>
    </w:p>
    <w:p w:rsidR="000A3B51" w:rsidRDefault="003D0A08">
      <w:pPr>
        <w:spacing w:after="71"/>
        <w:ind w:left="1078" w:right="755"/>
      </w:pPr>
      <w:r>
        <w:t>ЛПНП</w:t>
      </w:r>
      <w:r>
        <w:t xml:space="preserve"> – липопротеиды низкой плотности </w:t>
      </w:r>
    </w:p>
    <w:p w:rsidR="000A3B51" w:rsidRDefault="003D0A08">
      <w:pPr>
        <w:spacing w:after="63"/>
        <w:ind w:left="1078" w:right="755"/>
      </w:pPr>
      <w:r>
        <w:t xml:space="preserve">ЛФК – лечебная физическая культура  </w:t>
      </w:r>
    </w:p>
    <w:p w:rsidR="000A3B51" w:rsidRDefault="003D0A08">
      <w:pPr>
        <w:spacing w:after="76" w:line="259" w:lineRule="auto"/>
        <w:ind w:left="1063" w:right="0"/>
        <w:jc w:val="left"/>
      </w:pPr>
      <w:r>
        <w:t>MAPK – м</w:t>
      </w:r>
      <w:r>
        <w:rPr>
          <w:color w:val="333333"/>
        </w:rPr>
        <w:t xml:space="preserve">итоген-активированная протеинкиназа </w:t>
      </w:r>
    </w:p>
    <w:p w:rsidR="000A3B51" w:rsidRDefault="003D0A08">
      <w:pPr>
        <w:spacing w:after="76" w:line="259" w:lineRule="auto"/>
        <w:ind w:left="1063" w:right="0"/>
        <w:jc w:val="left"/>
      </w:pPr>
      <w:r>
        <w:rPr>
          <w:color w:val="333333"/>
        </w:rPr>
        <w:t xml:space="preserve">МикроРНК </w:t>
      </w:r>
      <w:r>
        <w:t>–</w:t>
      </w:r>
      <w:r>
        <w:rPr>
          <w:color w:val="333333"/>
        </w:rPr>
        <w:t xml:space="preserve"> малые некодирующие молекулы рибонуклеиновой кислоты</w:t>
      </w:r>
      <w:r>
        <w:t xml:space="preserve"> </w:t>
      </w:r>
    </w:p>
    <w:p w:rsidR="000A3B51" w:rsidRDefault="003D0A08">
      <w:pPr>
        <w:spacing w:after="70"/>
        <w:ind w:left="1078" w:right="755"/>
      </w:pPr>
      <w:r>
        <w:t xml:space="preserve">МКБ -10 – международная классификация 10 пересмотра </w:t>
      </w:r>
    </w:p>
    <w:p w:rsidR="000A3B51" w:rsidRDefault="003D0A08">
      <w:pPr>
        <w:spacing w:after="70"/>
        <w:ind w:left="1078" w:right="755"/>
      </w:pPr>
      <w:r>
        <w:t>МНН – международное неп</w:t>
      </w:r>
      <w:r>
        <w:t>атентованное наименование</w:t>
      </w:r>
      <w:r>
        <w:rPr>
          <w:b/>
        </w:rPr>
        <w:t xml:space="preserve"> </w:t>
      </w:r>
      <w:r>
        <w:t xml:space="preserve">  </w:t>
      </w:r>
    </w:p>
    <w:p w:rsidR="000A3B51" w:rsidRDefault="003D0A08">
      <w:pPr>
        <w:spacing w:after="71"/>
        <w:ind w:left="1078" w:right="755"/>
      </w:pPr>
      <w:r>
        <w:t xml:space="preserve">МРТ – магнитно-резонансная томография </w:t>
      </w:r>
    </w:p>
    <w:p w:rsidR="000A3B51" w:rsidRDefault="003D0A08">
      <w:pPr>
        <w:spacing w:after="70"/>
        <w:ind w:left="1078" w:right="755"/>
      </w:pPr>
      <w:r>
        <w:t xml:space="preserve">НЛР – нежелательные лекарственные реакции </w:t>
      </w:r>
    </w:p>
    <w:p w:rsidR="000A3B51" w:rsidRDefault="003D0A08">
      <w:pPr>
        <w:spacing w:line="328" w:lineRule="auto"/>
        <w:ind w:left="1078" w:right="755"/>
      </w:pPr>
      <w:r>
        <w:t xml:space="preserve">НПВП </w:t>
      </w:r>
      <w:r>
        <w:tab/>
        <w:t xml:space="preserve">– </w:t>
      </w:r>
      <w:r>
        <w:tab/>
        <w:t xml:space="preserve">нестероидные </w:t>
      </w:r>
      <w:r>
        <w:tab/>
        <w:t xml:space="preserve">противовоспалительные </w:t>
      </w:r>
      <w:r>
        <w:tab/>
        <w:t xml:space="preserve">и </w:t>
      </w:r>
      <w:r>
        <w:tab/>
        <w:t xml:space="preserve">противоревматические     препараты  </w:t>
      </w:r>
    </w:p>
    <w:p w:rsidR="000A3B51" w:rsidRDefault="003D0A08">
      <w:pPr>
        <w:spacing w:after="71"/>
        <w:ind w:left="1078" w:right="755"/>
      </w:pPr>
      <w:r>
        <w:t>НПВП – неселективные нестероидные противовоспалительные пре</w:t>
      </w:r>
      <w:r>
        <w:t xml:space="preserve">параты (M01AB </w:t>
      </w:r>
    </w:p>
    <w:p w:rsidR="000A3B51" w:rsidRDefault="003D0A08">
      <w:pPr>
        <w:spacing w:after="4" w:line="322" w:lineRule="auto"/>
        <w:ind w:left="1068" w:right="457" w:firstLine="0"/>
        <w:jc w:val="left"/>
      </w:pPr>
      <w:r>
        <w:t xml:space="preserve">Производные уксусной кислоты и родственные соединения, M01AС Оксикамы, M01AE Производные пропионовой кислоты, M01AX Другие нестероидные противовоспалительные и противоревматические препараты) </w:t>
      </w:r>
    </w:p>
    <w:p w:rsidR="000A3B51" w:rsidRDefault="003D0A08">
      <w:pPr>
        <w:spacing w:after="72"/>
        <w:ind w:left="1078" w:right="755"/>
      </w:pPr>
      <w:r>
        <w:t xml:space="preserve">НР – нежелательная реакция </w:t>
      </w:r>
    </w:p>
    <w:p w:rsidR="000A3B51" w:rsidRDefault="003D0A08">
      <w:pPr>
        <w:spacing w:after="71"/>
        <w:ind w:left="1078" w:right="755"/>
      </w:pPr>
      <w:r>
        <w:t>НСАС – Авокадо плодо</w:t>
      </w:r>
      <w:r>
        <w:t xml:space="preserve">в и соевых бобов масел неомыляемые соединения </w:t>
      </w:r>
    </w:p>
    <w:p w:rsidR="000A3B51" w:rsidRDefault="003D0A08">
      <w:pPr>
        <w:spacing w:after="69"/>
        <w:ind w:left="1078" w:right="755"/>
      </w:pPr>
      <w:r>
        <w:t xml:space="preserve">ОА – остеоартроз/остеоартрит </w:t>
      </w:r>
    </w:p>
    <w:p w:rsidR="000A3B51" w:rsidRDefault="003D0A08">
      <w:pPr>
        <w:spacing w:after="70"/>
        <w:ind w:left="1078" w:right="755"/>
      </w:pPr>
      <w:r>
        <w:t xml:space="preserve">ОП – остеопороз </w:t>
      </w:r>
    </w:p>
    <w:p w:rsidR="000A3B51" w:rsidRDefault="003D0A08">
      <w:pPr>
        <w:spacing w:after="76" w:line="259" w:lineRule="auto"/>
        <w:ind w:left="1063" w:right="0"/>
        <w:jc w:val="left"/>
      </w:pPr>
      <w:r>
        <w:rPr>
          <w:color w:val="333333"/>
        </w:rPr>
        <w:t xml:space="preserve">ОФЭКТ </w:t>
      </w:r>
      <w:r>
        <w:t>– о</w:t>
      </w:r>
      <w:r>
        <w:rPr>
          <w:color w:val="333333"/>
        </w:rPr>
        <w:t xml:space="preserve">днофотонная эмиссионная компьютерная томография </w:t>
      </w:r>
    </w:p>
    <w:p w:rsidR="000A3B51" w:rsidRDefault="003D0A08">
      <w:pPr>
        <w:spacing w:after="71"/>
        <w:ind w:left="1078" w:right="755"/>
      </w:pPr>
      <w:r>
        <w:t xml:space="preserve">ПлФС – плюснефаланговые суставы </w:t>
      </w:r>
    </w:p>
    <w:p w:rsidR="000A3B51" w:rsidRDefault="003D0A08">
      <w:pPr>
        <w:spacing w:after="70"/>
        <w:ind w:left="1078" w:right="755"/>
      </w:pPr>
      <w:r>
        <w:rPr>
          <w:color w:val="252525"/>
        </w:rPr>
        <w:t xml:space="preserve">ПМФС </w:t>
      </w:r>
      <w:r>
        <w:t>–</w:t>
      </w:r>
      <w:r>
        <w:rPr>
          <w:color w:val="252525"/>
        </w:rPr>
        <w:t xml:space="preserve"> </w:t>
      </w:r>
      <w:r>
        <w:t xml:space="preserve">проксимальные межфаланговые суставы  </w:t>
      </w:r>
    </w:p>
    <w:p w:rsidR="000A3B51" w:rsidRDefault="003D0A08">
      <w:pPr>
        <w:spacing w:after="72"/>
        <w:ind w:left="1078" w:right="755"/>
      </w:pPr>
      <w:r>
        <w:rPr>
          <w:color w:val="252525"/>
        </w:rPr>
        <w:t xml:space="preserve">ПЯФС </w:t>
      </w:r>
      <w:r>
        <w:t>– пястно-</w:t>
      </w:r>
      <w:r>
        <w:t xml:space="preserve">фаланговые суставы </w:t>
      </w:r>
    </w:p>
    <w:p w:rsidR="000A3B51" w:rsidRDefault="003D0A08">
      <w:pPr>
        <w:spacing w:after="0" w:line="326" w:lineRule="auto"/>
        <w:ind w:left="1078" w:right="3450"/>
      </w:pPr>
      <w:r>
        <w:t xml:space="preserve">РКИ – рандомизированное клиническое испытание рСКФ – расчетная скорость клубочковой фильтрации  </w:t>
      </w:r>
    </w:p>
    <w:p w:rsidR="000A3B51" w:rsidRDefault="003D0A08">
      <w:pPr>
        <w:spacing w:after="70"/>
        <w:ind w:left="1078" w:right="755"/>
      </w:pPr>
      <w:r>
        <w:t>РФ – ревматоидный фактор</w:t>
      </w:r>
      <w:r>
        <w:rPr>
          <w:color w:val="C00000"/>
        </w:rPr>
        <w:t xml:space="preserve">  </w:t>
      </w:r>
    </w:p>
    <w:p w:rsidR="000A3B51" w:rsidRDefault="003D0A08">
      <w:pPr>
        <w:spacing w:after="70"/>
        <w:ind w:left="1078" w:right="755"/>
      </w:pPr>
      <w:r>
        <w:t xml:space="preserve">СД – сахарный диабет </w:t>
      </w:r>
    </w:p>
    <w:p w:rsidR="000A3B51" w:rsidRDefault="003D0A08">
      <w:pPr>
        <w:spacing w:after="71"/>
        <w:ind w:left="1078" w:right="755"/>
      </w:pPr>
      <w:r>
        <w:t xml:space="preserve">СКЛ – санаторно-курортное лечение </w:t>
      </w:r>
    </w:p>
    <w:p w:rsidR="000A3B51" w:rsidRDefault="003D0A08">
      <w:pPr>
        <w:spacing w:after="71"/>
        <w:ind w:left="1078" w:right="755"/>
      </w:pPr>
      <w:r>
        <w:t xml:space="preserve">СКФ – скорость клубочковой фильтрации </w:t>
      </w:r>
    </w:p>
    <w:p w:rsidR="000A3B51" w:rsidRDefault="003D0A08">
      <w:pPr>
        <w:spacing w:after="71"/>
        <w:ind w:left="1078" w:right="755"/>
      </w:pPr>
      <w:r>
        <w:t>СМТ-терапия – си</w:t>
      </w:r>
      <w:r>
        <w:t xml:space="preserve">нусоидальные модулированные токи </w:t>
      </w:r>
    </w:p>
    <w:p w:rsidR="000A3B51" w:rsidRDefault="003D0A08">
      <w:pPr>
        <w:spacing w:after="65"/>
        <w:ind w:left="1078" w:right="755"/>
      </w:pPr>
      <w:r>
        <w:t xml:space="preserve">сНПВП – селективные нестероидные противовоспалительные препараты (АТХ Коксибы M01AH01, M01AH05) </w:t>
      </w:r>
    </w:p>
    <w:p w:rsidR="000A3B51" w:rsidRDefault="003D0A08">
      <w:pPr>
        <w:spacing w:after="68"/>
        <w:ind w:left="1078" w:right="755"/>
      </w:pPr>
      <w:r>
        <w:t xml:space="preserve">СОЭ – скорость оседания эритроцитов </w:t>
      </w:r>
    </w:p>
    <w:p w:rsidR="000A3B51" w:rsidRDefault="003D0A08">
      <w:pPr>
        <w:spacing w:after="70"/>
        <w:ind w:left="1078" w:right="755"/>
      </w:pPr>
      <w:r>
        <w:t>СРБ – С-реактивный белок</w:t>
      </w:r>
      <w:r>
        <w:rPr>
          <w:color w:val="333333"/>
        </w:rPr>
        <w:t xml:space="preserve">  </w:t>
      </w:r>
    </w:p>
    <w:p w:rsidR="000A3B51" w:rsidRDefault="003D0A08">
      <w:pPr>
        <w:spacing w:after="69"/>
        <w:ind w:left="1078" w:right="755"/>
      </w:pPr>
      <w:r>
        <w:rPr>
          <w:color w:val="333333"/>
        </w:rPr>
        <w:t xml:space="preserve">ССС </w:t>
      </w:r>
      <w:r>
        <w:t xml:space="preserve">– сердечно-сосудистая система </w:t>
      </w:r>
    </w:p>
    <w:p w:rsidR="000A3B51" w:rsidRDefault="003D0A08">
      <w:pPr>
        <w:spacing w:after="71"/>
        <w:ind w:left="1078" w:right="755"/>
      </w:pPr>
      <w:r>
        <w:t xml:space="preserve">ТГ – триглицериды </w:t>
      </w:r>
    </w:p>
    <w:p w:rsidR="000A3B51" w:rsidRDefault="003D0A08">
      <w:pPr>
        <w:spacing w:after="71"/>
        <w:ind w:left="1078" w:right="755"/>
      </w:pPr>
      <w:r>
        <w:t xml:space="preserve">УДД – </w:t>
      </w:r>
      <w:r>
        <w:t xml:space="preserve">уровень достоверности доказательств  </w:t>
      </w:r>
    </w:p>
    <w:p w:rsidR="000A3B51" w:rsidRDefault="003D0A08">
      <w:pPr>
        <w:spacing w:after="70"/>
        <w:ind w:left="1078" w:right="755"/>
      </w:pPr>
      <w:r>
        <w:t xml:space="preserve">УЗИ – ультразвуковое исследование  </w:t>
      </w:r>
    </w:p>
    <w:p w:rsidR="000A3B51" w:rsidRDefault="003D0A08">
      <w:pPr>
        <w:spacing w:after="70"/>
        <w:ind w:left="1078" w:right="755"/>
      </w:pPr>
      <w:r>
        <w:t xml:space="preserve">ФС – фасеточные суставы </w:t>
      </w:r>
    </w:p>
    <w:p w:rsidR="000A3B51" w:rsidRDefault="003D0A08">
      <w:pPr>
        <w:spacing w:after="71"/>
        <w:ind w:left="1078" w:right="755"/>
      </w:pPr>
      <w:r>
        <w:t xml:space="preserve">ФНО-α – фактор некроза опухоли альфа </w:t>
      </w:r>
    </w:p>
    <w:p w:rsidR="000A3B51" w:rsidRDefault="003D0A08">
      <w:pPr>
        <w:spacing w:after="71"/>
        <w:ind w:left="1078" w:right="755"/>
      </w:pPr>
      <w:r>
        <w:t xml:space="preserve">ФТЛ – физиотерапевтическое лечение  </w:t>
      </w:r>
    </w:p>
    <w:p w:rsidR="000A3B51" w:rsidRDefault="003D0A08">
      <w:pPr>
        <w:spacing w:after="71"/>
        <w:ind w:left="1078" w:right="755"/>
      </w:pPr>
      <w:r>
        <w:t xml:space="preserve">ХСН – хроническая сердечная недостаточность </w:t>
      </w:r>
    </w:p>
    <w:p w:rsidR="000A3B51" w:rsidRDefault="003D0A08">
      <w:pPr>
        <w:spacing w:after="68"/>
        <w:ind w:left="1078" w:right="755"/>
      </w:pPr>
      <w:r>
        <w:t xml:space="preserve">ЦНС – центральная нервная система </w:t>
      </w:r>
    </w:p>
    <w:p w:rsidR="000A3B51" w:rsidRDefault="003D0A08">
      <w:pPr>
        <w:spacing w:after="71"/>
        <w:ind w:left="1078" w:right="755"/>
      </w:pPr>
      <w:r>
        <w:t xml:space="preserve">ЦОГ-2 – ингибитор циклооксигеназы 2 </w:t>
      </w:r>
    </w:p>
    <w:p w:rsidR="000A3B51" w:rsidRDefault="003D0A08">
      <w:pPr>
        <w:spacing w:after="71"/>
        <w:ind w:left="1078" w:right="755"/>
      </w:pPr>
      <w:r>
        <w:t xml:space="preserve">ЭГДС – эзофагогастродуоденоскопия  </w:t>
      </w:r>
    </w:p>
    <w:p w:rsidR="000A3B51" w:rsidRDefault="003D0A08">
      <w:pPr>
        <w:spacing w:after="71"/>
        <w:ind w:left="1078" w:right="755"/>
      </w:pPr>
      <w:r>
        <w:t xml:space="preserve">ЭП УВЧ – электрические поля ультравысокой частоты </w:t>
      </w:r>
    </w:p>
    <w:p w:rsidR="000A3B51" w:rsidRDefault="003D0A08">
      <w:pPr>
        <w:spacing w:after="71"/>
        <w:ind w:left="1078" w:right="755"/>
      </w:pPr>
      <w:r>
        <w:t xml:space="preserve">ЧРШ – числовая рейтинговая шкала </w:t>
      </w:r>
    </w:p>
    <w:p w:rsidR="000A3B51" w:rsidRDefault="003D0A08">
      <w:pPr>
        <w:spacing w:after="47"/>
        <w:ind w:left="1078" w:right="755"/>
      </w:pPr>
      <w:r>
        <w:t>ЧЭНС –</w:t>
      </w:r>
      <w:hyperlink r:id="rId11">
        <w:r>
          <w:t xml:space="preserve"> </w:t>
        </w:r>
      </w:hyperlink>
      <w:hyperlink r:id="rId12">
        <w:r>
          <w:t>чрезкожная</w:t>
        </w:r>
      </w:hyperlink>
      <w:hyperlink r:id="rId13">
        <w:r>
          <w:t xml:space="preserve"> </w:t>
        </w:r>
      </w:hyperlink>
      <w:hyperlink r:id="rId14">
        <w:r>
          <w:t>электронейростимуляция</w:t>
        </w:r>
      </w:hyperlink>
      <w:hyperlink r:id="rId15">
        <w:r>
          <w:t xml:space="preserve"> </w:t>
        </w:r>
      </w:hyperlink>
    </w:p>
    <w:p w:rsidR="000A3B51" w:rsidRDefault="003D0A08">
      <w:pPr>
        <w:spacing w:after="62"/>
        <w:ind w:left="1078" w:right="755"/>
      </w:pPr>
      <w:r>
        <w:t>ACR – Ам</w:t>
      </w:r>
      <w:r>
        <w:t xml:space="preserve">ериканская коллегия ревматологов (American College of Rheumatology) </w:t>
      </w:r>
    </w:p>
    <w:p w:rsidR="000A3B51" w:rsidRDefault="003D0A08">
      <w:pPr>
        <w:tabs>
          <w:tab w:val="center" w:pos="1561"/>
          <w:tab w:val="center" w:pos="2381"/>
          <w:tab w:val="center" w:pos="3616"/>
          <w:tab w:val="center" w:pos="5147"/>
          <w:tab w:val="center" w:pos="5892"/>
          <w:tab w:val="center" w:pos="6636"/>
          <w:tab w:val="center" w:pos="7429"/>
          <w:tab w:val="center" w:pos="8314"/>
          <w:tab w:val="center" w:pos="9372"/>
        </w:tabs>
        <w:spacing w:after="31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AUSCAN </w:t>
      </w:r>
      <w:r>
        <w:tab/>
        <w:t xml:space="preserve">– </w:t>
      </w:r>
      <w:r>
        <w:tab/>
        <w:t xml:space="preserve">Функциональный </w:t>
      </w:r>
      <w:r>
        <w:tab/>
        <w:t xml:space="preserve">индекс </w:t>
      </w:r>
      <w:r>
        <w:tab/>
        <w:t xml:space="preserve">по </w:t>
      </w:r>
      <w:r>
        <w:tab/>
        <w:t xml:space="preserve">оценке </w:t>
      </w:r>
      <w:r>
        <w:tab/>
        <w:t xml:space="preserve">ОА </w:t>
      </w:r>
      <w:r>
        <w:tab/>
        <w:t xml:space="preserve">суставов </w:t>
      </w:r>
      <w:r>
        <w:tab/>
        <w:t xml:space="preserve">кистей </w:t>
      </w:r>
    </w:p>
    <w:p w:rsidR="000A3B51" w:rsidRDefault="003D0A08">
      <w:pPr>
        <w:spacing w:after="51"/>
        <w:ind w:left="1078" w:right="4143"/>
      </w:pPr>
      <w:r>
        <w:t xml:space="preserve">(Australian/Canadian Hand Osteoarthritis Index) ССL – белок CC-хемокин-лиганд (C-C motif ligand) </w:t>
      </w:r>
    </w:p>
    <w:p w:rsidR="000A3B51" w:rsidRDefault="003D0A08">
      <w:pPr>
        <w:spacing w:after="36"/>
        <w:ind w:left="1078" w:right="755"/>
      </w:pPr>
      <w:r>
        <w:t>DMOADs –</w:t>
      </w:r>
      <w:r>
        <w:rPr>
          <w:b/>
        </w:rPr>
        <w:t xml:space="preserve"> </w:t>
      </w:r>
      <w:r>
        <w:t>болезнь-</w:t>
      </w:r>
      <w:r>
        <w:t>модифицирующие препараты при остеоартрите (DiseaseModifying Osteoarthritis Drugs) (M01AX Другие нестероидные противовоспалительные и противоревматические препараты, M01BX Другие противовоспалительные / противоревматические средства в комбинации с другими с</w:t>
      </w:r>
      <w:r>
        <w:t xml:space="preserve">редствами, M09AX прочие препараты для лечения заболеваний костно-мышечной системы) </w:t>
      </w:r>
    </w:p>
    <w:p w:rsidR="000A3B51" w:rsidRDefault="003D0A08">
      <w:pPr>
        <w:spacing w:after="62"/>
        <w:ind w:left="1078" w:right="755"/>
      </w:pPr>
      <w:r>
        <w:t xml:space="preserve">DN4 – диагностический опросник невропатической боли </w:t>
      </w:r>
      <w:r>
        <w:rPr>
          <w:color w:val="333333"/>
          <w:sz w:val="21"/>
        </w:rPr>
        <w:t>DN4</w:t>
      </w:r>
      <w:r>
        <w:t xml:space="preserve"> (Douleur Neuropathique en 4 Questions) </w:t>
      </w:r>
    </w:p>
    <w:p w:rsidR="000A3B51" w:rsidRDefault="003D0A08">
      <w:pPr>
        <w:spacing w:after="44"/>
        <w:ind w:left="1078" w:right="755"/>
      </w:pPr>
      <w:r>
        <w:t>ESCEO – Европейское общество по клиническим и экономическим аспектам остеопо</w:t>
      </w:r>
      <w:r>
        <w:t xml:space="preserve">роза и остеоартрита (European Society for Clinical and Economic Aspects of Osteoporosis, Osteoarthritis and Musculoskeletal Diseases) </w:t>
      </w:r>
    </w:p>
    <w:p w:rsidR="000A3B51" w:rsidRDefault="003D0A08">
      <w:pPr>
        <w:spacing w:after="61"/>
        <w:ind w:left="1078" w:right="755"/>
      </w:pPr>
      <w:r>
        <w:t xml:space="preserve">EULAR </w:t>
      </w:r>
      <w:r>
        <w:tab/>
        <w:t xml:space="preserve">– </w:t>
      </w:r>
      <w:r>
        <w:tab/>
        <w:t xml:space="preserve">Европейская </w:t>
      </w:r>
      <w:r>
        <w:tab/>
        <w:t xml:space="preserve">антиревматическая </w:t>
      </w:r>
      <w:r>
        <w:tab/>
        <w:t xml:space="preserve">лига </w:t>
      </w:r>
      <w:r>
        <w:tab/>
        <w:t xml:space="preserve">(European League Against Rheumatism) </w:t>
      </w:r>
    </w:p>
    <w:p w:rsidR="000A3B51" w:rsidRDefault="003D0A08">
      <w:pPr>
        <w:spacing w:after="39"/>
        <w:ind w:left="1078" w:right="755"/>
      </w:pPr>
      <w:r>
        <w:t>FDA – Управлением по санитарному на</w:t>
      </w:r>
      <w:r>
        <w:t xml:space="preserve">дзору за качеством пищевых продуктов и медикаментов США (Food and Drug Administration) </w:t>
      </w:r>
    </w:p>
    <w:p w:rsidR="000A3B51" w:rsidRDefault="003D0A08">
      <w:pPr>
        <w:spacing w:after="67"/>
        <w:ind w:left="1078" w:right="755"/>
      </w:pPr>
      <w:r>
        <w:t xml:space="preserve">FIHOA – индекс для оценки функции кисти (Functional Index of Hand OA)  </w:t>
      </w:r>
    </w:p>
    <w:p w:rsidR="000A3B51" w:rsidRDefault="003D0A08">
      <w:pPr>
        <w:spacing w:after="44"/>
        <w:ind w:left="1078" w:right="755"/>
      </w:pPr>
      <w:r>
        <w:t>FRAX – индивидуальная 10-летняя вероятность основных патологических переломов (Fracture risk ass</w:t>
      </w:r>
      <w:r>
        <w:t xml:space="preserve">essment tool) </w:t>
      </w:r>
    </w:p>
    <w:p w:rsidR="000A3B51" w:rsidRDefault="003D0A08">
      <w:pPr>
        <w:spacing w:after="45"/>
        <w:ind w:left="1078" w:right="755"/>
      </w:pPr>
      <w:r>
        <w:t>HOOS</w:t>
      </w:r>
      <w:r>
        <w:rPr>
          <w:color w:val="FF0000"/>
        </w:rPr>
        <w:t xml:space="preserve"> </w:t>
      </w:r>
      <w:r>
        <w:t xml:space="preserve">– индекс оценки ОА тазобедренного сустава (The Hip injury and Osteoarthritis Outcome Score)  </w:t>
      </w:r>
    </w:p>
    <w:p w:rsidR="000A3B51" w:rsidRDefault="003D0A08">
      <w:pPr>
        <w:spacing w:after="44"/>
        <w:ind w:left="1078" w:right="755"/>
      </w:pPr>
      <w:r>
        <w:t xml:space="preserve">КООS – индекс оценки ОА коленного сустава (The Knee injury and Osteoarthritis Outcome Score) </w:t>
      </w:r>
    </w:p>
    <w:p w:rsidR="000A3B51" w:rsidRDefault="003D0A08">
      <w:pPr>
        <w:spacing w:after="48"/>
        <w:ind w:left="1078" w:right="755"/>
      </w:pPr>
      <w:r>
        <w:t>MMPs – матриксные металлопротеиназы (matrix meta</w:t>
      </w:r>
      <w:r>
        <w:t xml:space="preserve">lloproteinases) </w:t>
      </w:r>
    </w:p>
    <w:p w:rsidR="000A3B51" w:rsidRDefault="003D0A08">
      <w:pPr>
        <w:spacing w:after="64"/>
        <w:ind w:left="1078" w:right="755"/>
      </w:pPr>
      <w:r>
        <w:t xml:space="preserve">NF-κB – нуклеарный фактор транскрипции каппа B (nuclear factor kappa-light-chainenhancer of activated B cells) </w:t>
      </w:r>
    </w:p>
    <w:p w:rsidR="000A3B51" w:rsidRDefault="003D0A08">
      <w:pPr>
        <w:spacing w:after="25"/>
        <w:ind w:left="1078" w:right="755"/>
      </w:pPr>
      <w:r>
        <w:t xml:space="preserve">NICE – национальный институт здравоохранения и клинических исследований </w:t>
      </w:r>
    </w:p>
    <w:p w:rsidR="000A3B51" w:rsidRDefault="003D0A08">
      <w:pPr>
        <w:spacing w:after="59"/>
        <w:ind w:left="1078" w:right="755"/>
      </w:pPr>
      <w:r>
        <w:t xml:space="preserve">(National Institute for Health and Care Excellence) </w:t>
      </w:r>
    </w:p>
    <w:p w:rsidR="000A3B51" w:rsidRDefault="003D0A08">
      <w:pPr>
        <w:spacing w:after="25"/>
        <w:ind w:left="1078" w:right="755"/>
      </w:pPr>
      <w:r>
        <w:t>O</w:t>
      </w:r>
      <w:r>
        <w:t>ARSI – международное общество по изучению остеоартрита</w:t>
      </w:r>
      <w:r>
        <w:rPr>
          <w:color w:val="333333"/>
          <w:sz w:val="21"/>
        </w:rPr>
        <w:t xml:space="preserve"> (</w:t>
      </w:r>
      <w:r>
        <w:t xml:space="preserve">Osteoarthritis </w:t>
      </w:r>
    </w:p>
    <w:p w:rsidR="000A3B51" w:rsidRDefault="003D0A08">
      <w:pPr>
        <w:spacing w:after="55"/>
        <w:ind w:left="1078" w:right="755"/>
      </w:pPr>
      <w:r>
        <w:t xml:space="preserve">Research Society International) </w:t>
      </w:r>
    </w:p>
    <w:p w:rsidR="000A3B51" w:rsidRDefault="003D0A08">
      <w:pPr>
        <w:spacing w:after="40"/>
        <w:ind w:left="1078" w:right="755"/>
      </w:pPr>
      <w:r>
        <w:t xml:space="preserve">SYSADOA – симптоматические средства замедленного действия (Symptomatic </w:t>
      </w:r>
    </w:p>
    <w:p w:rsidR="000A3B51" w:rsidRDefault="003D0A08">
      <w:pPr>
        <w:spacing w:after="56"/>
        <w:ind w:left="1078" w:right="755"/>
      </w:pPr>
      <w:r>
        <w:t xml:space="preserve">Slow Acting Drugs for Osteoarthritis) ((M01AX </w:t>
      </w:r>
      <w:r>
        <w:t xml:space="preserve">Другие нестероидные противовоспалительные и противоревматические препараты, M01BX Другие противовоспалительные / противоревматические средства в комбинации с другими средствами, M09AX прочие препараты для лечения заболеваний костно-мышечной системы)) </w:t>
      </w:r>
    </w:p>
    <w:p w:rsidR="000A3B51" w:rsidRDefault="003D0A08">
      <w:pPr>
        <w:spacing w:after="64"/>
        <w:ind w:left="1078" w:right="755"/>
      </w:pPr>
      <w:r>
        <w:t xml:space="preserve">Wnt </w:t>
      </w:r>
      <w:r>
        <w:t xml:space="preserve">– сигнальный путь в клетке </w:t>
      </w:r>
    </w:p>
    <w:p w:rsidR="000A3B51" w:rsidRDefault="003D0A08">
      <w:pPr>
        <w:spacing w:after="61"/>
        <w:ind w:left="1078" w:right="755"/>
      </w:pPr>
      <w:r>
        <w:t xml:space="preserve">WHO/ILAR – Всемирная организация здравоохранения / Международная лига ассоциаций ревматологов (World Health Organisation/International League of Associations for Rheumatology)  </w:t>
      </w:r>
    </w:p>
    <w:p w:rsidR="000A3B51" w:rsidRDefault="003D0A08">
      <w:pPr>
        <w:spacing w:after="359"/>
        <w:ind w:left="1078" w:right="755"/>
      </w:pPr>
      <w:r>
        <w:t xml:space="preserve">WOMAC – функциональный индекс оценки ОА коленного </w:t>
      </w:r>
      <w:r>
        <w:t xml:space="preserve">и/или тазобедренного сустава (Western Ontario and McMaster Universities Arthritis Index) </w:t>
      </w:r>
    </w:p>
    <w:p w:rsidR="000A3B51" w:rsidRDefault="003D0A08">
      <w:pPr>
        <w:pStyle w:val="Heading1"/>
        <w:ind w:left="319" w:right="712"/>
      </w:pPr>
      <w:r>
        <w:t xml:space="preserve">Термины и определения </w:t>
      </w:r>
    </w:p>
    <w:p w:rsidR="000A3B51" w:rsidRDefault="003D0A08">
      <w:pPr>
        <w:spacing w:after="7" w:line="377" w:lineRule="auto"/>
        <w:ind w:right="755"/>
      </w:pPr>
      <w:r>
        <w:rPr>
          <w:b/>
        </w:rPr>
        <w:t>Остеоартроз/остеоартрит</w:t>
      </w:r>
      <w:r>
        <w:t xml:space="preserve"> (ОА) — заболевание суставов, возникающее под воздействием различных эндогенных и экзогенных причин, приводящих к пораже</w:t>
      </w:r>
      <w:r>
        <w:t xml:space="preserve">нию всех компонентов сустава. </w:t>
      </w:r>
    </w:p>
    <w:p w:rsidR="000A3B51" w:rsidRDefault="003D0A08">
      <w:pPr>
        <w:pStyle w:val="Heading2"/>
        <w:spacing w:after="134" w:line="259" w:lineRule="auto"/>
        <w:ind w:left="360" w:right="0" w:firstLine="0"/>
        <w:jc w:val="left"/>
      </w:pPr>
      <w:r>
        <w:rPr>
          <w:sz w:val="22"/>
        </w:rPr>
        <w:t>Базисные препараты при ОА (болезнь-модифицирующие препараты при ОА, Disease-</w:t>
      </w:r>
    </w:p>
    <w:p w:rsidR="000A3B51" w:rsidRDefault="003D0A08">
      <w:pPr>
        <w:spacing w:after="20" w:line="386" w:lineRule="auto"/>
        <w:ind w:right="755"/>
      </w:pPr>
      <w:r>
        <w:rPr>
          <w:b/>
          <w:sz w:val="22"/>
        </w:rPr>
        <w:t xml:space="preserve">Modifying Osteoarthritis Drugs, DMOADs) — </w:t>
      </w:r>
      <w:r>
        <w:t>группа лекарственных средств с различной структурой, фармакологическими характеристиками и механизмами дей</w:t>
      </w:r>
      <w:r>
        <w:t xml:space="preserve">ствия, относящихся к разным кодам АТХ (M01AX, М09AX, M01BX), оказывающие комплексное симптоматическое и противовоспалительное действия, обладающие структурномодифицирующим эффектом при длительном приеме.  </w:t>
      </w:r>
    </w:p>
    <w:p w:rsidR="000A3B51" w:rsidRDefault="003D0A08">
      <w:pPr>
        <w:spacing w:after="16" w:line="386" w:lineRule="auto"/>
        <w:ind w:right="755"/>
      </w:pPr>
      <w:r>
        <w:rPr>
          <w:b/>
        </w:rPr>
        <w:t>Нестероидные противовоспалительные и противоревмат</w:t>
      </w:r>
      <w:r>
        <w:rPr>
          <w:b/>
        </w:rPr>
        <w:t>ические препараты (НПВП)</w:t>
      </w:r>
      <w:r>
        <w:t xml:space="preserve"> — группа синтетических лекарственных средств, обладающих симптоматическим обезболивающим, жаропонижающим и противовоспалительным эффектами, связанными в первую очередь с ингибицией активности циклооксигеназы - фермента, регулирующе</w:t>
      </w:r>
      <w:r>
        <w:t xml:space="preserve">го синтез простагландинов (М01А). </w:t>
      </w:r>
    </w:p>
    <w:p w:rsidR="000A3B51" w:rsidRDefault="003D0A08">
      <w:pPr>
        <w:spacing w:after="7" w:line="393" w:lineRule="auto"/>
        <w:ind w:right="755"/>
      </w:pPr>
      <w:r>
        <w:rPr>
          <w:b/>
        </w:rPr>
        <w:t>Глюкокортикоиды (ГК)</w:t>
      </w:r>
      <w:r>
        <w:t xml:space="preserve"> — синтетические стероидные гормоны, обладающие естественной противовоспалительной активностью (Н02АВ). </w:t>
      </w:r>
    </w:p>
    <w:p w:rsidR="000A3B51" w:rsidRDefault="003D0A08">
      <w:pPr>
        <w:spacing w:after="17" w:line="378" w:lineRule="auto"/>
        <w:ind w:right="755"/>
      </w:pPr>
      <w:r>
        <w:rPr>
          <w:b/>
        </w:rPr>
        <w:t>Нежелательная реакция (НР)</w:t>
      </w:r>
      <w:r>
        <w:t xml:space="preserve"> — </w:t>
      </w:r>
      <w:r>
        <w:t xml:space="preserve">любое неблагоприятное явление, которое развивается в момент клинического использования лекарственного препарата и не относится к его заведомо ожидаемым терапевтическим эффектам. </w:t>
      </w:r>
    </w:p>
    <w:p w:rsidR="000A3B51" w:rsidRDefault="003D0A08">
      <w:pPr>
        <w:spacing w:after="191" w:line="259" w:lineRule="auto"/>
        <w:ind w:left="360" w:right="0" w:firstLine="0"/>
        <w:jc w:val="left"/>
      </w:pPr>
      <w:r>
        <w:rPr>
          <w:b/>
          <w:sz w:val="28"/>
        </w:rPr>
        <w:t xml:space="preserve"> </w:t>
      </w:r>
    </w:p>
    <w:p w:rsidR="000A3B51" w:rsidRDefault="003D0A08">
      <w:pPr>
        <w:pStyle w:val="Heading1"/>
        <w:spacing w:after="181" w:line="399" w:lineRule="auto"/>
        <w:ind w:left="319" w:right="643"/>
      </w:pPr>
      <w:r>
        <w:t xml:space="preserve">1. Краткая информация по заболеванию или состоянию (группе заболеваний или </w:t>
      </w:r>
      <w:r>
        <w:t>состояний)</w:t>
      </w:r>
      <w:r>
        <w:rPr>
          <w:b w:val="0"/>
        </w:rPr>
        <w:t xml:space="preserve"> </w:t>
      </w:r>
    </w:p>
    <w:p w:rsidR="000A3B51" w:rsidRDefault="003D0A08">
      <w:pPr>
        <w:spacing w:after="61" w:line="352" w:lineRule="auto"/>
        <w:ind w:left="1222" w:right="749"/>
      </w:pPr>
      <w:r>
        <w:rPr>
          <w:b/>
          <w:sz w:val="28"/>
        </w:rPr>
        <w:t xml:space="preserve">1.1 Определение заболевания или состояния (группы заболеваний </w:t>
      </w:r>
    </w:p>
    <w:p w:rsidR="000A3B51" w:rsidRDefault="003D0A08">
      <w:pPr>
        <w:pStyle w:val="Heading2"/>
        <w:spacing w:after="61" w:line="352" w:lineRule="auto"/>
        <w:ind w:left="1222" w:right="749"/>
      </w:pPr>
      <w:r>
        <w:t>или состояний)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0" w:line="371" w:lineRule="auto"/>
        <w:ind w:right="755"/>
      </w:pPr>
      <w:r>
        <w:rPr>
          <w:b/>
        </w:rPr>
        <w:t>Остеоартрит</w:t>
      </w:r>
      <w:r>
        <w:rPr>
          <w:i/>
        </w:rPr>
        <w:t xml:space="preserve"> –</w:t>
      </w:r>
      <w:r>
        <w:rPr>
          <w:b/>
        </w:rPr>
        <w:t xml:space="preserve"> </w:t>
      </w:r>
      <w:r>
        <w:t>гетерогенная группа заболеваний различной этиологии со сходными биологическими, морфологическими, клиническими проявлениями и исходом, в основе которых</w:t>
      </w:r>
      <w:r>
        <w:t xml:space="preserve"> лежит поражение всех компонентов сустава: хряща, субхондральной кости, синовиальной оболочки, связок, капсулы, околосуставных мышц. </w:t>
      </w:r>
    </w:p>
    <w:p w:rsidR="000A3B51" w:rsidRDefault="003D0A08">
      <w:pPr>
        <w:spacing w:after="0" w:line="367" w:lineRule="auto"/>
        <w:ind w:right="755"/>
      </w:pPr>
      <w:r>
        <w:t xml:space="preserve">Остеоартрит характеризуется клеточным стрессом и деградацией экстрацеллюлярного матрикса всех тканей сустава, возникающих </w:t>
      </w:r>
      <w:r>
        <w:t>на фоне макро- и микроповреждений, при этом активируются не нормальные адаптивные восстановительные ответы, включая провоспалительные пути иммунной системы. Первоначально изменения происходят на молекулярном уровне с последующими анатомическими и физиологи</w:t>
      </w:r>
      <w:r>
        <w:t xml:space="preserve">ческими нарушениями (деградация хряща, костное ремоделирование, образование остеофитов, синовит и т.д.), приводящими к развитию заболевания.  </w:t>
      </w:r>
    </w:p>
    <w:p w:rsidR="000A3B51" w:rsidRDefault="003D0A08">
      <w:pPr>
        <w:spacing w:after="217" w:line="385" w:lineRule="auto"/>
        <w:ind w:right="755"/>
      </w:pPr>
      <w:r>
        <w:rPr>
          <w:b/>
        </w:rPr>
        <w:t xml:space="preserve">Полиартроз (генерализованный остеоартрит) </w:t>
      </w:r>
      <w:r>
        <w:rPr>
          <w:i/>
        </w:rPr>
        <w:t xml:space="preserve">– </w:t>
      </w:r>
      <w:r>
        <w:t>вовлечение в патологический процесс трех и более групп суставов. Учит</w:t>
      </w:r>
      <w:r>
        <w:t>ываются следующие локализации: коленные суставы, тазобедренные суставы, мелкие суставы кистей (I-ый запястно-пястный сустав (ЗПС), дистальные (ДМФС) и проксимальные межфаланговые суставы (ПМФС), I-ый межфаланговый сустав), I плюснефаланговый сустав (ПлФС),</w:t>
      </w:r>
      <w:r>
        <w:t xml:space="preserve"> фасеточные суставы [1–10]</w:t>
      </w:r>
      <w:r>
        <w:rPr>
          <w:sz w:val="28"/>
        </w:rPr>
        <w:t>.</w:t>
      </w:r>
      <w:r>
        <w:rPr>
          <w:color w:val="0070C0"/>
        </w:rPr>
        <w:t xml:space="preserve"> </w:t>
      </w:r>
    </w:p>
    <w:p w:rsidR="000A3B51" w:rsidRDefault="003D0A08">
      <w:pPr>
        <w:pStyle w:val="Heading2"/>
        <w:spacing w:line="352" w:lineRule="auto"/>
        <w:ind w:left="1222" w:right="749"/>
      </w:pPr>
      <w:r>
        <w:t>1.2 Этиология и патогенез заболевания или состояния (группы заболеваний или состояний)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0" w:line="367" w:lineRule="auto"/>
        <w:ind w:right="755"/>
      </w:pPr>
      <w:r>
        <w:t>Остеоартрит представляет собой мультифакториальное заболевание, поражающее все структуры сустава (хрящ, синовиальную оболочку, субхондральн</w:t>
      </w:r>
      <w:r>
        <w:t>ую кость, околосуставные ткани), возникающее в результате взаимодействия возрастных, гормональных, генетических и средовых факторов [11, 12]</w:t>
      </w:r>
      <w:r>
        <w:rPr>
          <w:sz w:val="28"/>
        </w:rPr>
        <w:t>.</w:t>
      </w:r>
      <w:r>
        <w:t xml:space="preserve">  </w:t>
      </w:r>
    </w:p>
    <w:p w:rsidR="000A3B51" w:rsidRDefault="003D0A08">
      <w:pPr>
        <w:spacing w:after="56" w:line="369" w:lineRule="auto"/>
        <w:ind w:right="755"/>
      </w:pPr>
      <w:r>
        <w:t>В развитии ОА значимую роль играют системные (возраст, пол, раса, гормональный статус, отягощенный семейный анам</w:t>
      </w:r>
      <w:r>
        <w:t>нез по ОА, генетические факторы, высокая минеральная плотность кости), локальные (травмы, слабость четырехглавой мышцы, нарушение оси сустава, аномалии развития костно-мышечной системы, в частности, гипермобильность) и внешние (ожирение, спортивная нагрузк</w:t>
      </w:r>
      <w:r>
        <w:t xml:space="preserve">а, профессиональная деятельность) предикторы. Однако в зависимости от локализации патологического процесса факторы развития и прогрессирования ОА различаются [13, 14].  </w:t>
      </w:r>
    </w:p>
    <w:p w:rsidR="000A3B51" w:rsidRDefault="003D0A08">
      <w:pPr>
        <w:pStyle w:val="Heading1"/>
        <w:spacing w:after="149" w:line="249" w:lineRule="auto"/>
        <w:ind w:left="370" w:right="749"/>
        <w:jc w:val="both"/>
      </w:pPr>
      <w:r>
        <w:t xml:space="preserve">                                         Патогенез остеоартрита </w:t>
      </w:r>
    </w:p>
    <w:p w:rsidR="000A3B51" w:rsidRDefault="003D0A08">
      <w:pPr>
        <w:spacing w:after="33" w:line="382" w:lineRule="auto"/>
        <w:ind w:right="755"/>
      </w:pPr>
      <w:r>
        <w:t>На сегодняшний день накопилось большое количество данных, подтверждающих ключевую роль нарушения баланса цитокинов в сторону провоспалительных в патогенезе болезни, которые индуцируют воспалительные реакции, способствующие изменению метаболизма остеобласто</w:t>
      </w:r>
      <w:r>
        <w:t>в, остеоцитов, хондроцитов, синовиоцитов и нарушению баланса между анаболическими и катаболическими процессами с преобладанием последних, что в конечном итоге приводит к деградации хряща и других внутрисуставных структур [15]. Среди провоспалительных циток</w:t>
      </w:r>
      <w:r>
        <w:t>инов наибольшее значение имеют ИЛ-1β, ФНО-α, ИЛ-6, ИЛ-15, ИЛ-17, ИЛ-18, ИЛ-21, ИЛ-22. Эти цитокины являются активаторами множества различных воспалительных сигнальных путей (в частности, NF-κB, Wnt и MAPK), которые вызывают гиперэкспрессию других цитокинов</w:t>
      </w:r>
      <w:r>
        <w:t>, запуская тем самым порочный круг. Частью этого процесса являются и хемокины (ИЛ-8, ССL2, ССL3, ССL4, ССL5), которые, стимулируемые цитокинами, привлекают «воспалительные клетки» к тканям сустава, что дополнительно способствует секреции воспалительных мед</w:t>
      </w:r>
      <w:r>
        <w:t>иаторов и прогрессированию заболевания [16]. Доказано, что многие растворимые провоспалительные медиаторы могут увеличивать продукцию матриксных металлопротеиназ, коллагеназ и пр., которые усиливают катаболические процессы в хряще. Кроме того, провоспалите</w:t>
      </w:r>
      <w:r>
        <w:t xml:space="preserve">льные цитокины способны тормозить синтез ингибиторов энзимов, что приводит к увеличению активности протеаз, разрушающих протеогликаны, которые являются основным структурным компонентом матрикса хряща.    </w:t>
      </w:r>
    </w:p>
    <w:p w:rsidR="000A3B51" w:rsidRDefault="003D0A08">
      <w:pPr>
        <w:spacing w:after="0" w:line="375" w:lineRule="auto"/>
        <w:ind w:right="755"/>
      </w:pPr>
      <w:r>
        <w:t>Нейтрофилы, макрофаги и Т-клетки (важнейшие регулят</w:t>
      </w:r>
      <w:r>
        <w:t>оры врожденного и приобретенного иммунитета) тоже играют значимую роль в патогенезе этого заболевания [17]. В частности, макрофаги секретируют металлопротеиназы и воспалительные цитокины, в то время как нейтрофилы - деструктивные протеазы, включая эластазу</w:t>
      </w:r>
      <w:r>
        <w:t xml:space="preserve"> нейтрофилов, которые могут инициировать как развитие, так и прогрессирование ОА. В последние годы большое внимание уделяется микроРНК, представляющие собой небольшие некодирующие РНК, которые используются в качестве биомаркеров и модуляторов посттранскрип</w:t>
      </w:r>
      <w:r>
        <w:t>ционной экспрессии генов при многих патологических состояниях, включая ОА. Многочисленные исследования показали, что механическая нагрузка вызывает дифференциальную экспрессию микроРНК в хряще, участвующих в регуляции аутофагии и ферментов, разрушающих мат</w:t>
      </w:r>
      <w:r>
        <w:t xml:space="preserve">рикс, а также в модуляции воспалительной реакции и апоптоза хондроцитов [18,19].  </w:t>
      </w:r>
    </w:p>
    <w:p w:rsidR="000A3B51" w:rsidRDefault="003D0A08">
      <w:pPr>
        <w:spacing w:after="0" w:line="377" w:lineRule="auto"/>
        <w:ind w:right="755"/>
      </w:pPr>
      <w:r>
        <w:t>При ОА меняется архитектоника субхондральной кости, вследствие ускоренного костного метаболизма нарушаются функции остеобластов и остеокластов, что способствует костной резо</w:t>
      </w:r>
      <w:r>
        <w:t>рбции и ускорению остеокластогенеза [20]. При этом наблюдается гиперэкспрессия многих провоспалительных цитокинов/хемокинов и ростовых факторов, которые способствуют инвазии сосудов из субхондральной кости в хрящ и деградации хрящевой ткани. Ускорение ремо</w:t>
      </w:r>
      <w:r>
        <w:t>делирования кости вызывает развитие субхондральных поражений костного мозга. Воспалительные биологические факторы, перегрузка и ненормальная биомеханика суставов вызывают активацию эндохондральной оссификации, в результате которой происходит образование ос</w:t>
      </w:r>
      <w:r>
        <w:t xml:space="preserve">теофитов. </w:t>
      </w:r>
    </w:p>
    <w:p w:rsidR="000A3B51" w:rsidRDefault="003D0A08">
      <w:pPr>
        <w:spacing w:after="290" w:line="380" w:lineRule="auto"/>
        <w:ind w:right="755"/>
      </w:pPr>
      <w:r>
        <w:t>Важное значение в развитии и прогрессировании ОА придается метаболическим нарушениям и инфрапателлярной жировой ткани [21]. С одной стороны, большой объем жировой массы, увеличивает механическую нагрузку на суставы и способствует активации механ</w:t>
      </w:r>
      <w:r>
        <w:t>орецепторов в тканях сустава. В условиях in vitro «механический стресс» вызывает пролиферацию культуры остеобластов, усиление экспрессии микроРНК костных белков, принимающих участие в образовании остеоида и в процессе минерализации, высвобождение локальных</w:t>
      </w:r>
      <w:r>
        <w:t xml:space="preserve"> факторов роста и молекул адгезии. С другой стороны, жировая ткань является самостоятельным эндокринным органом, продуцирующим большое количество провоспалительных медиаторов (цитокины, адипокины, жирные кислоты и активные формы кислорода), которые негатив</w:t>
      </w:r>
      <w:r>
        <w:t>но влияют на ткани суставов, а также провоцируют развитие и поддержание низкоинтенсивного «метавоспаления». Последние данные свидетельствуют о том, что инфрапателлярная жировая ткань тоже способствует поддержанию воспаления и деградации хрящевой ткани [22]</w:t>
      </w:r>
      <w:r>
        <w:t xml:space="preserve">.  </w:t>
      </w:r>
    </w:p>
    <w:p w:rsidR="000A3B51" w:rsidRDefault="003D0A08">
      <w:pPr>
        <w:pStyle w:val="Heading1"/>
        <w:spacing w:after="163" w:line="249" w:lineRule="auto"/>
        <w:ind w:left="1222" w:right="749"/>
        <w:jc w:val="both"/>
      </w:pPr>
      <w:r>
        <w:t xml:space="preserve">1.3 </w:t>
      </w:r>
      <w:r>
        <w:tab/>
        <w:t xml:space="preserve">Эпидемиология </w:t>
      </w:r>
      <w:r>
        <w:tab/>
        <w:t xml:space="preserve">заболевания </w:t>
      </w:r>
      <w:r>
        <w:tab/>
        <w:t xml:space="preserve">или </w:t>
      </w:r>
      <w:r>
        <w:tab/>
        <w:t xml:space="preserve">состояния </w:t>
      </w:r>
      <w:r>
        <w:tab/>
        <w:t xml:space="preserve">(группы заболеваний или состояний) </w:t>
      </w:r>
    </w:p>
    <w:p w:rsidR="000A3B51" w:rsidRDefault="003D0A08">
      <w:pPr>
        <w:spacing w:after="0" w:line="377" w:lineRule="auto"/>
        <w:ind w:right="755"/>
      </w:pPr>
      <w:r>
        <w:t>Остеоартрит является одним из самых распространенных заболеваний суставов среди болезней опорно-двигательного аппарата, частота которого постоянно увеличивается. По оц</w:t>
      </w:r>
      <w:r>
        <w:t>енкам глобального исследования бремени болезней за 2020 г. ОА диагностируется у 7,6% населения планеты, что составляет 595 миллионов (95% ДИ 535-656 млн). С 1990 по 2020 гг. количество пациентов с ОА увеличилось на 132,2% (95% ДИ 130,3 -134,1%) и по прогно</w:t>
      </w:r>
      <w:r>
        <w:t>зам к 2050 г. по сравнению с 2020 г. лиц с ОА коленных суставов возрастет на 74,9% (95% ДИ 59,4-89,9), суставов кистей – 48,6% (35,9-67,1%), тазобедренных суставов – 78,6% (95% ДИ 57,7- 105,3%), других локализаций</w:t>
      </w:r>
      <w:r>
        <w:rPr>
          <w:rFonts w:ascii="Segoe UI" w:eastAsia="Segoe UI" w:hAnsi="Segoe UI" w:cs="Segoe UI"/>
          <w:color w:val="212121"/>
        </w:rPr>
        <w:t xml:space="preserve"> </w:t>
      </w:r>
      <w:r>
        <w:t xml:space="preserve">– 95,1% (95% ДИ 68,1- 135%) [23].  </w:t>
      </w:r>
    </w:p>
    <w:p w:rsidR="000A3B51" w:rsidRDefault="003D0A08">
      <w:pPr>
        <w:spacing w:after="28" w:line="375" w:lineRule="auto"/>
        <w:ind w:right="755"/>
      </w:pPr>
      <w:r>
        <w:t>В Российской Федерации, согласно официальной статистике за 2017 г., насчитывается более 4 млн 300 тыс. пациентов с этим заболеванием, причем почти 40% из них составляют лица трудоспособного возраста [24].</w:t>
      </w:r>
      <w:r>
        <w:rPr>
          <w:color w:val="FF0000"/>
        </w:rPr>
        <w:t xml:space="preserve"> </w:t>
      </w:r>
      <w:r>
        <w:t xml:space="preserve"> </w:t>
      </w:r>
    </w:p>
    <w:p w:rsidR="000A3B51" w:rsidRDefault="003D0A08">
      <w:pPr>
        <w:spacing w:after="314" w:line="381" w:lineRule="auto"/>
        <w:ind w:right="755"/>
      </w:pPr>
      <w:r>
        <w:t>Однако эти данные не отражают реальное количество</w:t>
      </w:r>
      <w:r>
        <w:t xml:space="preserve"> пациентов, поскольку учитывают только выявленные и зарегистрированные случаи заболевания. Так, по данным эпидемиологического исследования ОА коленных и/или тазобедренных суставов выявляется у 13% населения нашей страны старше 18 лет (13000 тыс. пациентов </w:t>
      </w:r>
      <w:r>
        <w:t xml:space="preserve">на 100000 населения), что составляет около 15 млн человек [25]. ОА чаще встречается у женщин, увеличивается с возрастом (данная тенденция характерна для пациентов до 75-80 лет). </w:t>
      </w:r>
    </w:p>
    <w:p w:rsidR="000A3B51" w:rsidRDefault="003D0A08">
      <w:pPr>
        <w:pStyle w:val="Heading2"/>
        <w:spacing w:after="59" w:line="357" w:lineRule="auto"/>
        <w:ind w:left="1222" w:right="749"/>
      </w:pPr>
      <w:r>
        <w:t>1.4 Особенности кодирования заболевания или состояния (группы   заболеваний и</w:t>
      </w:r>
      <w:r>
        <w:t>ли состояний) по Международной статистической классификации болезней и проблем, связанных со здоровьем</w:t>
      </w:r>
      <w:r>
        <w:rPr>
          <w:rFonts w:ascii="Calibri" w:eastAsia="Calibri" w:hAnsi="Calibri" w:cs="Calibri"/>
          <w:b w:val="0"/>
          <w:sz w:val="26"/>
        </w:rPr>
        <w:t xml:space="preserve"> </w:t>
      </w:r>
    </w:p>
    <w:p w:rsidR="000A3B51" w:rsidRDefault="003D0A08">
      <w:pPr>
        <w:spacing w:after="162" w:line="259" w:lineRule="auto"/>
        <w:ind w:left="360" w:right="0" w:firstLine="0"/>
        <w:jc w:val="left"/>
      </w:pPr>
      <w:r>
        <w:rPr>
          <w:b/>
          <w:i/>
        </w:rPr>
        <w:t>Полиартроз</w:t>
      </w:r>
      <w:r>
        <w:t xml:space="preserve"> (M15) </w:t>
      </w:r>
    </w:p>
    <w:p w:rsidR="000A3B51" w:rsidRDefault="003D0A08">
      <w:pPr>
        <w:spacing w:after="153"/>
        <w:ind w:right="755"/>
      </w:pPr>
      <w:r>
        <w:t xml:space="preserve">M15.0 Первичный генерализованный остеоартроз (остеоартрит) </w:t>
      </w:r>
    </w:p>
    <w:p w:rsidR="000A3B51" w:rsidRDefault="003D0A08">
      <w:pPr>
        <w:ind w:right="755"/>
      </w:pPr>
      <w:r>
        <w:t xml:space="preserve">М15.1 Узлы Гебердена (с артропатией) </w:t>
      </w:r>
    </w:p>
    <w:p w:rsidR="000A3B51" w:rsidRDefault="003D0A08">
      <w:pPr>
        <w:spacing w:after="156"/>
        <w:ind w:right="755"/>
      </w:pPr>
      <w:r>
        <w:t xml:space="preserve">М15.2 Узлы Бушара (с артропатией) </w:t>
      </w:r>
    </w:p>
    <w:p w:rsidR="000A3B51" w:rsidRDefault="003D0A08">
      <w:pPr>
        <w:spacing w:after="153"/>
        <w:ind w:right="755"/>
      </w:pPr>
      <w:r>
        <w:t xml:space="preserve">М15.4 Эрозивный остеоартроз (остеоартрит)  </w:t>
      </w:r>
    </w:p>
    <w:p w:rsidR="000A3B51" w:rsidRDefault="003D0A08">
      <w:pPr>
        <w:ind w:right="755"/>
      </w:pPr>
      <w:r>
        <w:t xml:space="preserve">М 15.8 Другой полиартроз </w:t>
      </w:r>
    </w:p>
    <w:p w:rsidR="000A3B51" w:rsidRDefault="003D0A08">
      <w:pPr>
        <w:spacing w:after="40" w:line="392" w:lineRule="auto"/>
        <w:ind w:right="755"/>
      </w:pPr>
      <w:r>
        <w:t xml:space="preserve">Учитывая патогенетические звенья развития болезни целесообразней использовать термин – остеоартрит. </w:t>
      </w:r>
    </w:p>
    <w:p w:rsidR="000A3B51" w:rsidRDefault="003D0A08">
      <w:pPr>
        <w:pStyle w:val="Heading1"/>
        <w:spacing w:after="196" w:line="249" w:lineRule="auto"/>
        <w:ind w:left="1222" w:right="749"/>
        <w:jc w:val="both"/>
      </w:pPr>
      <w:r>
        <w:t xml:space="preserve">1.5 </w:t>
      </w:r>
      <w:r>
        <w:tab/>
        <w:t xml:space="preserve">Классификация </w:t>
      </w:r>
      <w:r>
        <w:tab/>
        <w:t xml:space="preserve">заболевания </w:t>
      </w:r>
      <w:r>
        <w:tab/>
        <w:t xml:space="preserve">или </w:t>
      </w:r>
      <w:r>
        <w:tab/>
        <w:t xml:space="preserve">состояния </w:t>
      </w:r>
      <w:r>
        <w:tab/>
        <w:t xml:space="preserve">(группы заболеваний или состояний) </w:t>
      </w:r>
    </w:p>
    <w:p w:rsidR="000A3B51" w:rsidRDefault="003D0A08">
      <w:pPr>
        <w:pStyle w:val="Heading2"/>
        <w:spacing w:after="104"/>
        <w:ind w:left="1063" w:right="749"/>
      </w:pPr>
      <w:r>
        <w:t xml:space="preserve">       1.5.1 Клиническая классификация </w:t>
      </w:r>
    </w:p>
    <w:p w:rsidR="000A3B51" w:rsidRDefault="003D0A08">
      <w:pPr>
        <w:spacing w:after="18" w:line="383" w:lineRule="auto"/>
        <w:ind w:right="755"/>
      </w:pPr>
      <w:r>
        <w:t>Выделяют две основные формы ОА: первичный (идиопатический) и вторичный, возникающий на фоне различных заболеваний.</w:t>
      </w:r>
      <w:r>
        <w:rPr>
          <w:b/>
        </w:rPr>
        <w:t xml:space="preserve"> </w:t>
      </w:r>
      <w:r>
        <w:t>Первичный ОА может быть локальным, когда поражается одна группа суставов, или генерализованным, когда</w:t>
      </w:r>
      <w:r>
        <w:t xml:space="preserve"> имеется поражение трех суставных групп и более.  </w:t>
      </w:r>
    </w:p>
    <w:p w:rsidR="000A3B51" w:rsidRDefault="003D0A08">
      <w:pPr>
        <w:pStyle w:val="Heading3"/>
        <w:spacing w:after="161" w:line="259" w:lineRule="auto"/>
        <w:ind w:left="355" w:right="0"/>
        <w:jc w:val="left"/>
      </w:pPr>
      <w:r>
        <w:rPr>
          <w:b w:val="0"/>
          <w:sz w:val="24"/>
          <w:u w:val="single" w:color="000000"/>
        </w:rPr>
        <w:t>Клиническая классификация ОА</w:t>
      </w:r>
      <w:r>
        <w:rPr>
          <w:b w:val="0"/>
          <w:sz w:val="24"/>
        </w:rPr>
        <w:t xml:space="preserve">  </w:t>
      </w:r>
    </w:p>
    <w:p w:rsidR="000A3B51" w:rsidRDefault="003D0A08">
      <w:pPr>
        <w:numPr>
          <w:ilvl w:val="0"/>
          <w:numId w:val="6"/>
        </w:numPr>
        <w:spacing w:after="156"/>
        <w:ind w:right="755" w:hanging="360"/>
      </w:pPr>
      <w:r>
        <w:t xml:space="preserve">Первичный ОА </w:t>
      </w:r>
    </w:p>
    <w:p w:rsidR="000A3B51" w:rsidRDefault="003D0A08">
      <w:pPr>
        <w:numPr>
          <w:ilvl w:val="1"/>
          <w:numId w:val="6"/>
        </w:numPr>
        <w:spacing w:after="154"/>
        <w:ind w:right="755" w:hanging="566"/>
      </w:pPr>
      <w:r>
        <w:t xml:space="preserve">Коленные суставы </w:t>
      </w:r>
    </w:p>
    <w:p w:rsidR="000A3B51" w:rsidRDefault="003D0A08">
      <w:pPr>
        <w:numPr>
          <w:ilvl w:val="1"/>
          <w:numId w:val="6"/>
        </w:numPr>
        <w:spacing w:after="154"/>
        <w:ind w:right="755" w:hanging="566"/>
      </w:pPr>
      <w:r>
        <w:t xml:space="preserve">Тазобедренные суставы </w:t>
      </w:r>
    </w:p>
    <w:p w:rsidR="000A3B51" w:rsidRDefault="003D0A08">
      <w:pPr>
        <w:numPr>
          <w:ilvl w:val="1"/>
          <w:numId w:val="6"/>
        </w:numPr>
        <w:spacing w:after="156"/>
        <w:ind w:right="755" w:hanging="566"/>
      </w:pPr>
      <w:r>
        <w:t xml:space="preserve">Суставы кистей </w:t>
      </w:r>
    </w:p>
    <w:p w:rsidR="000A3B51" w:rsidRDefault="003D0A08">
      <w:pPr>
        <w:numPr>
          <w:ilvl w:val="1"/>
          <w:numId w:val="6"/>
        </w:numPr>
        <w:spacing w:after="154"/>
        <w:ind w:right="755" w:hanging="566"/>
      </w:pPr>
      <w:r>
        <w:t xml:space="preserve">Суставы стоп </w:t>
      </w:r>
    </w:p>
    <w:p w:rsidR="000A3B51" w:rsidRDefault="003D0A08">
      <w:pPr>
        <w:numPr>
          <w:ilvl w:val="1"/>
          <w:numId w:val="6"/>
        </w:numPr>
        <w:spacing w:after="157"/>
        <w:ind w:right="755" w:hanging="566"/>
      </w:pPr>
      <w:r>
        <w:t xml:space="preserve">Позвоночник </w:t>
      </w:r>
    </w:p>
    <w:p w:rsidR="000A3B51" w:rsidRDefault="003D0A08">
      <w:pPr>
        <w:numPr>
          <w:ilvl w:val="1"/>
          <w:numId w:val="6"/>
        </w:numPr>
        <w:spacing w:after="150"/>
        <w:ind w:right="755" w:hanging="566"/>
      </w:pPr>
      <w:r>
        <w:t xml:space="preserve">Другие суставы </w:t>
      </w:r>
    </w:p>
    <w:p w:rsidR="000A3B51" w:rsidRDefault="003D0A08">
      <w:pPr>
        <w:numPr>
          <w:ilvl w:val="0"/>
          <w:numId w:val="6"/>
        </w:numPr>
        <w:spacing w:after="179"/>
        <w:ind w:right="755" w:hanging="360"/>
      </w:pPr>
      <w:r>
        <w:t xml:space="preserve">Вторичный ОА  </w:t>
      </w:r>
    </w:p>
    <w:p w:rsidR="000A3B51" w:rsidRDefault="003D0A08">
      <w:pPr>
        <w:numPr>
          <w:ilvl w:val="1"/>
          <w:numId w:val="6"/>
        </w:numPr>
        <w:spacing w:after="48" w:line="377" w:lineRule="auto"/>
        <w:ind w:right="755" w:hanging="566"/>
      </w:pPr>
      <w:r>
        <w:t xml:space="preserve">Посттравматический (травмы суставов, переломы или остеонекрозы), хирургические вмешательства на суставе (например, менискэктомия), профессиональное заболевание суставов). </w:t>
      </w:r>
      <w:r>
        <w:rPr>
          <w:b/>
        </w:rPr>
        <w:t xml:space="preserve"> </w:t>
      </w:r>
    </w:p>
    <w:p w:rsidR="000A3B51" w:rsidRDefault="003D0A08">
      <w:pPr>
        <w:numPr>
          <w:ilvl w:val="1"/>
          <w:numId w:val="6"/>
        </w:numPr>
        <w:spacing w:after="43" w:line="381" w:lineRule="auto"/>
        <w:ind w:right="755" w:hanging="566"/>
      </w:pPr>
      <w:r>
        <w:t>Врожденные, приобретённые, эндемические заболевания (болезнь Блаунта, гемофилии, бо</w:t>
      </w:r>
      <w:r>
        <w:t xml:space="preserve">лезнь Педжета, синдром гипермобильности суставов (синдром Марфана, Элерса-Данлоса и др.), болезнь Легг-КальвеПертеса, врожденный вывих бедра, врожденное утолщение вертлужной впадины, эпифизарная дисплазия и другие дисплазии опорнодвигательного аппарата).  </w:t>
      </w:r>
    </w:p>
    <w:p w:rsidR="000A3B51" w:rsidRDefault="003D0A08">
      <w:pPr>
        <w:numPr>
          <w:ilvl w:val="1"/>
          <w:numId w:val="6"/>
        </w:numPr>
        <w:spacing w:after="19" w:line="377" w:lineRule="auto"/>
        <w:ind w:right="755" w:hanging="566"/>
      </w:pPr>
      <w:r>
        <w:t>Метаболические и эндокринные заболевания (акромегалия, гиперпаратиреоз, охроноз, гемахроматоз, болезнь Вильсона—Коновалова, болезнь Гоше, кристалл-ассоциированные заболевания (подагра, болезнь депонирования пирофосфатов кальция,</w:t>
      </w:r>
      <w:r>
        <w:rPr>
          <w:rFonts w:ascii="Arial" w:eastAsia="Arial" w:hAnsi="Arial" w:cs="Arial"/>
        </w:rPr>
        <w:t xml:space="preserve"> </w:t>
      </w:r>
      <w:r>
        <w:t>гидроксиапатитная артропат</w:t>
      </w:r>
      <w:r>
        <w:t xml:space="preserve">ия), сахарный диабет, болезнь Шарко). </w:t>
      </w:r>
    </w:p>
    <w:p w:rsidR="000A3B51" w:rsidRDefault="003D0A08">
      <w:pPr>
        <w:numPr>
          <w:ilvl w:val="1"/>
          <w:numId w:val="6"/>
        </w:numPr>
        <w:spacing w:after="54" w:line="397" w:lineRule="auto"/>
        <w:ind w:right="755" w:hanging="566"/>
      </w:pPr>
      <w:r>
        <w:t xml:space="preserve">Другие заболевания костей и суставов (ревматоидный артрит (РА), инфекционные артриты, спондилоартриты и др.). </w:t>
      </w:r>
    </w:p>
    <w:p w:rsidR="000A3B51" w:rsidRDefault="003D0A08">
      <w:pPr>
        <w:pStyle w:val="Heading2"/>
        <w:tabs>
          <w:tab w:val="center" w:pos="360"/>
          <w:tab w:val="center" w:pos="3713"/>
        </w:tabs>
        <w:spacing w:after="149"/>
        <w:ind w:left="0" w:right="0" w:firstLine="0"/>
        <w:jc w:val="left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sz w:val="24"/>
        </w:rPr>
        <w:t xml:space="preserve"> </w:t>
      </w:r>
      <w:r>
        <w:rPr>
          <w:sz w:val="24"/>
        </w:rPr>
        <w:tab/>
      </w:r>
      <w:r>
        <w:t xml:space="preserve">1.5.2 Рентгенологическая классификация </w:t>
      </w:r>
    </w:p>
    <w:p w:rsidR="000A3B51" w:rsidRDefault="003D0A08">
      <w:pPr>
        <w:spacing w:after="19" w:line="382" w:lineRule="auto"/>
        <w:ind w:right="755"/>
      </w:pPr>
      <w:r>
        <w:t xml:space="preserve">Для определения рентгенологической стадии ОА используют классификацию Келлгрена и Лоуренса [26]: </w:t>
      </w:r>
    </w:p>
    <w:p w:rsidR="000A3B51" w:rsidRDefault="003D0A08">
      <w:pPr>
        <w:numPr>
          <w:ilvl w:val="0"/>
          <w:numId w:val="7"/>
        </w:numPr>
        <w:spacing w:after="154"/>
        <w:ind w:right="755" w:hanging="153"/>
      </w:pPr>
      <w:r>
        <w:rPr>
          <w:b/>
        </w:rPr>
        <w:t>ст.</w:t>
      </w:r>
      <w:r>
        <w:t xml:space="preserve"> –</w:t>
      </w:r>
      <w:r>
        <w:rPr>
          <w:b/>
        </w:rPr>
        <w:t xml:space="preserve"> </w:t>
      </w:r>
      <w:r>
        <w:t xml:space="preserve">Сомнительные рентгенологические признаки; </w:t>
      </w:r>
    </w:p>
    <w:p w:rsidR="000A3B51" w:rsidRDefault="003D0A08">
      <w:pPr>
        <w:numPr>
          <w:ilvl w:val="0"/>
          <w:numId w:val="7"/>
        </w:numPr>
        <w:spacing w:after="0" w:line="397" w:lineRule="auto"/>
        <w:ind w:right="755" w:hanging="153"/>
      </w:pPr>
      <w:r>
        <w:rPr>
          <w:b/>
        </w:rPr>
        <w:t xml:space="preserve">ст. </w:t>
      </w:r>
      <w:r>
        <w:t xml:space="preserve">– Минимальные изменения (небольшое сужение суставной щели, единичные остеофиты </w:t>
      </w:r>
      <w:r>
        <w:t xml:space="preserve">на краях суставных поверхностей); </w:t>
      </w:r>
    </w:p>
    <w:p w:rsidR="000A3B51" w:rsidRDefault="003D0A08">
      <w:pPr>
        <w:spacing w:after="32" w:line="370" w:lineRule="auto"/>
        <w:ind w:right="755"/>
      </w:pPr>
      <w:r>
        <w:rPr>
          <w:b/>
        </w:rPr>
        <w:t>Ш ст</w:t>
      </w:r>
      <w:r>
        <w:t>. – Умеренные проявления (умеренное сужение суставной щели, множественные небольшие или умеренно выраженные остеофиты на краях суставных поверхностей, незначительный субхондральный остеосклероз, небольшие деформации с</w:t>
      </w:r>
      <w:r>
        <w:t xml:space="preserve">уставных поверхностей); </w:t>
      </w:r>
    </w:p>
    <w:p w:rsidR="000A3B51" w:rsidRDefault="003D0A08">
      <w:pPr>
        <w:spacing w:after="265" w:line="370" w:lineRule="auto"/>
        <w:ind w:right="755"/>
      </w:pPr>
      <w:r>
        <w:rPr>
          <w:b/>
        </w:rPr>
        <w:t>IV ст.</w:t>
      </w:r>
      <w:r>
        <w:t xml:space="preserve"> – Выраженные изменения (резко выраженное сужение суставной щели, множественные крупные остеофиты на краях суставных поверхностей, выраженный субхондральный остеосклероз, разной степени выраженности деформации эпифизов костей</w:t>
      </w:r>
      <w:r>
        <w:t xml:space="preserve">, образующих сустав). </w:t>
      </w:r>
    </w:p>
    <w:p w:rsidR="000A3B51" w:rsidRDefault="003D0A08">
      <w:pPr>
        <w:pStyle w:val="Heading2"/>
        <w:spacing w:line="359" w:lineRule="auto"/>
        <w:ind w:left="1222" w:right="749"/>
      </w:pPr>
      <w:r>
        <w:t>1.6 Клиническая картина заболевания или состояния (группы заболеваний или состояний)</w:t>
      </w:r>
      <w:r>
        <w:rPr>
          <w:rFonts w:ascii="Calibri" w:eastAsia="Calibri" w:hAnsi="Calibri" w:cs="Calibri"/>
          <w:b w:val="0"/>
          <w:sz w:val="26"/>
        </w:rPr>
        <w:t xml:space="preserve"> </w:t>
      </w:r>
    </w:p>
    <w:p w:rsidR="000A3B51" w:rsidRDefault="003D0A08">
      <w:pPr>
        <w:spacing w:after="0" w:line="382" w:lineRule="auto"/>
        <w:ind w:right="755"/>
      </w:pPr>
      <w:r>
        <w:t xml:space="preserve">При полиартрозе (генерализованном ОА) в патологический процесс вовлекается три и более групп суставов. Учитываются следующие локализации: коленные </w:t>
      </w:r>
      <w:r>
        <w:t xml:space="preserve">суставы, тазобедренные суставы, мелкие суставы кистей (ДМФС, ПМФС, I-ый межфаланговый сустав, I ЗПС), I- ый ПлФС, фасеточные суставы.  </w:t>
      </w:r>
    </w:p>
    <w:p w:rsidR="000A3B51" w:rsidRDefault="003D0A08">
      <w:pPr>
        <w:spacing w:after="0" w:line="367" w:lineRule="auto"/>
        <w:ind w:right="755"/>
      </w:pPr>
      <w:r>
        <w:t>Клиническая картина ОА описывается несколькими симптомами: боль, утренняя скованность в суставе менее 30 мин и нарушение</w:t>
      </w:r>
      <w:r>
        <w:t xml:space="preserve"> функции, постепенное начало боли, крепитация, тугоподвижность, атрофия окружающих мышц, деформация и увеличение объема сустава. Ведущий клинический признак ОА – боль в суставах на протяжении большинства дней предыдущего месяца. Причины суставной боли мног</w:t>
      </w:r>
      <w:r>
        <w:t>очисленны: источником могут быть синовиальная оболочка, капсула, связочный аппарат, периартикулярные мышцы, субхондральная кость и пр. Считается, что наиболее чувствительные болевые структуры располагаются в жировой клетчатке под надколенником, синовии и с</w:t>
      </w:r>
      <w:r>
        <w:t xml:space="preserve">вязках. Суставной хрящ не имеет иннервации и поэтому не может быть непосредственным источником боли. Однако инвазия сосудов в пораженные участки суставного хряща может приводить к появлению чувствительных нервных волокон в аневральном в норме хряще. Кроме </w:t>
      </w:r>
      <w:r>
        <w:t xml:space="preserve">того, изменения субхондральной кости при ОА: развитие остеосклероза, образование остеофитов, микропереломов, оcтеита и повышение интрамедуллярного давления также могут вызывать боль. Боль – субъективное ощущение, которое во многом формируется под влиянием </w:t>
      </w:r>
      <w:r>
        <w:t>психологических, социальных, демографических, генетических и других факторов. В последние годы доказано, что при ОА боль может носить не только ноцицептивный характер (причиной которой являются структурные и биохимические изменения в кости, синовии, мышцах</w:t>
      </w:r>
      <w:r>
        <w:t xml:space="preserve">, периартикулярных тканях), но и невропатический и/или ноципластический. </w:t>
      </w:r>
    </w:p>
    <w:p w:rsidR="000A3B51" w:rsidRDefault="003D0A08">
      <w:pPr>
        <w:spacing w:after="29" w:line="373" w:lineRule="auto"/>
        <w:ind w:right="755"/>
      </w:pPr>
      <w:r>
        <w:t xml:space="preserve">Клинические проявления ОА зависят от локализации патологического процесса. Так, для поражения </w:t>
      </w:r>
      <w:r>
        <w:rPr>
          <w:i/>
        </w:rPr>
        <w:t>коленного сустава</w:t>
      </w:r>
      <w:r>
        <w:t xml:space="preserve"> характерно возникновение боли при ходьбе, нарастание боли к концу дня,</w:t>
      </w:r>
      <w:r>
        <w:t xml:space="preserve"> уменьшение после отдыха, «стартовые» боли, непродолжительная утренняя скованность, ограничение функции сустава. Ночная боль встречается при более выраженных стадиях ОА. Симптомы ОА в начале заболевания чаще имеют эпизодический характер, но при прогрессиро</w:t>
      </w:r>
      <w:r>
        <w:t>вании болезни они становятся более продолжительными, иногда постоянными [27]. Нередко при ОА коленного сустава отмечаются слабость и атрофия четырехглавой мышцы, болезненность при пальпации в проекции суставной щели и/или периартикулярных областей (чаще вс</w:t>
      </w:r>
      <w:r>
        <w:t xml:space="preserve">его «гусиной лапки»). У 30–50% больных развиваются деформация коленного сустава с отклонением его кнаружи (genu varum), нестабильность сустава. </w:t>
      </w:r>
    </w:p>
    <w:p w:rsidR="000A3B51" w:rsidRDefault="003D0A08">
      <w:pPr>
        <w:spacing w:after="22" w:line="377" w:lineRule="auto"/>
        <w:ind w:right="755"/>
      </w:pPr>
      <w:r>
        <w:t>На ранних стадиях ОА чаще отмечается боль в коленных суставах, усиливающаяся при нагрузке, при приседании на ко</w:t>
      </w:r>
      <w:r>
        <w:t xml:space="preserve">рточки, при спуске/подъеме по лестнице и непродолжительная «стартовая» скованность. </w:t>
      </w:r>
      <w:r>
        <w:rPr>
          <w:i/>
        </w:rPr>
        <w:t xml:space="preserve"> </w:t>
      </w:r>
    </w:p>
    <w:p w:rsidR="000A3B51" w:rsidRDefault="003D0A08">
      <w:pPr>
        <w:spacing w:after="0" w:line="379" w:lineRule="auto"/>
        <w:ind w:right="755"/>
      </w:pPr>
      <w:r>
        <w:t xml:space="preserve">При ОА </w:t>
      </w:r>
      <w:r>
        <w:rPr>
          <w:i/>
        </w:rPr>
        <w:t>тазобедренных суставов</w:t>
      </w:r>
      <w:r>
        <w:t xml:space="preserve"> тоже характерно возникновение боли при ходьбе, чаще всего она локализуется в паховой области, может иррадиировать в ягодицу, по переднебоков</w:t>
      </w:r>
      <w:r>
        <w:t>ой поверхности бедра, в колено или голень, боль нарастает к концу дня и уменьшается после отдыха, бывают непродолжительная утренняя скованность, ограничение функции сустава [28]. В начале заболевания боль может возникать не в области пораженного сустава, а</w:t>
      </w:r>
      <w:r>
        <w:t xml:space="preserve"> в коленном суставе, по наружной поверхности бедра, ягодице, поясничной области, что затрудняет диагностику. В этих случаях можно выявить ограничение движений в суставе, боль при внутренней ротации ноги в согнутом положении, болезненность при пальпации пах</w:t>
      </w:r>
      <w:r>
        <w:t>овой области латеральнее места пульсации бедренной артерии. При длительном течении заболевания появляется атрофия мышц бедра и ягодичных мышц. Конечность принимает вынужденное положение – небольшое сгибание в тазобедренном суставе с нарушением ротации и от</w:t>
      </w:r>
      <w:r>
        <w:t>ведения, возникают компенсаторный поясничный лордоз, наклон таза в сторону пораженного сустава и сколиоз. Все это вызывать появление боли в спине. Поражение тазобедренных суставов приводит к изменению походки – вначале прихрамывание, затем укорочение конеч</w:t>
      </w:r>
      <w:r>
        <w:t xml:space="preserve">ности и хромота. При двустороннем поражении суставов формируется «утиная походка». </w:t>
      </w:r>
    </w:p>
    <w:p w:rsidR="000A3B51" w:rsidRDefault="003D0A08">
      <w:pPr>
        <w:spacing w:after="0" w:line="376" w:lineRule="auto"/>
        <w:ind w:right="755"/>
      </w:pPr>
      <w:r>
        <w:t xml:space="preserve">Основными симптомами ОА </w:t>
      </w:r>
      <w:r>
        <w:rPr>
          <w:i/>
        </w:rPr>
        <w:t xml:space="preserve">суставов кистей </w:t>
      </w:r>
      <w:r>
        <w:t>являются боль при движении и незначительная утренняя скованность (менее 30 минут) или тугоподвижность в одном или нескольких сустава</w:t>
      </w:r>
      <w:r>
        <w:t xml:space="preserve">х в любое время суток; симптомы обычно имеют интермиттирующее течение и возникают в ДМФС, ПМФС, ЗПС, реже поражаются I - III ПЯФС [28].  При поражении </w:t>
      </w:r>
      <w:r>
        <w:rPr>
          <w:i/>
        </w:rPr>
        <w:t xml:space="preserve">I ПлФС </w:t>
      </w:r>
      <w:r>
        <w:t>отмечается ограничение движений в нём, боль при движении, особенно при его сгибании. Со временем б</w:t>
      </w:r>
      <w:r>
        <w:t xml:space="preserve">оль может стать постоянной, ограничивает повседневную активность пациентов. Появляется деформация сустава [29,30].  </w:t>
      </w:r>
    </w:p>
    <w:p w:rsidR="000A3B51" w:rsidRDefault="003D0A08">
      <w:pPr>
        <w:spacing w:after="0" w:line="397" w:lineRule="auto"/>
        <w:ind w:right="755"/>
      </w:pPr>
      <w:r>
        <w:t xml:space="preserve">При ОА </w:t>
      </w:r>
      <w:r>
        <w:rPr>
          <w:i/>
        </w:rPr>
        <w:t xml:space="preserve">фасеточных суставов </w:t>
      </w:r>
      <w:r>
        <w:t>боль обычно носит двусторонний характер и локализуется в паравертебральной области, может иметь различную интенс</w:t>
      </w:r>
      <w:r>
        <w:t xml:space="preserve">ивность. </w:t>
      </w:r>
    </w:p>
    <w:p w:rsidR="000A3B51" w:rsidRDefault="003D0A08">
      <w:pPr>
        <w:spacing w:after="86" w:line="367" w:lineRule="auto"/>
        <w:ind w:right="755"/>
      </w:pPr>
      <w:r>
        <w:t>Она усиливается при движении, в определенных позах (часто при длительном стоянии и разгибании), при ходьбе, а уменьшается в состоянии покоя. Болевые ощущения могут носить как периодический характер (после нагрузки), так и постоянный. Остеоартрит фасеточных</w:t>
      </w:r>
      <w:r>
        <w:t xml:space="preserve"> суставов поясничных позвонков представляет собой одну из ведущих причин развития хронической неспецифической боли в нижней части спины [31]. </w:t>
      </w:r>
    </w:p>
    <w:p w:rsidR="000A3B51" w:rsidRDefault="003D0A08">
      <w:pPr>
        <w:pStyle w:val="Heading1"/>
        <w:spacing w:after="232" w:line="401" w:lineRule="auto"/>
        <w:ind w:left="634" w:right="749"/>
        <w:jc w:val="both"/>
      </w:pPr>
      <w:r>
        <w:t>2. Диагностика заболевания или состояния (группы заболеваний или состояний) медицинские показания и противопоказа</w:t>
      </w:r>
      <w:r>
        <w:t xml:space="preserve">ния к применению методов диагностики </w:t>
      </w:r>
    </w:p>
    <w:p w:rsidR="000A3B51" w:rsidRDefault="003D0A08">
      <w:pPr>
        <w:pStyle w:val="Heading2"/>
        <w:spacing w:after="232"/>
        <w:ind w:left="1063" w:right="749"/>
      </w:pPr>
      <w:r>
        <w:t xml:space="preserve">2.1 Критерии установления диагноза  </w:t>
      </w:r>
    </w:p>
    <w:p w:rsidR="000A3B51" w:rsidRDefault="003D0A08">
      <w:pPr>
        <w:spacing w:after="20" w:line="388" w:lineRule="auto"/>
        <w:ind w:left="1090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Рекомендуется диагноз ОА устанавливать на основании клинических и рентгенографических критериев с целью снижения риска диагностических ошибок</w:t>
      </w:r>
      <w:r>
        <w:rPr>
          <w:color w:val="FF0000"/>
        </w:rPr>
        <w:t xml:space="preserve"> </w:t>
      </w:r>
      <w:r>
        <w:t>(таблица 1-3) [32–34]</w:t>
      </w:r>
      <w:r>
        <w:rPr>
          <w:b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</w:t>
      </w:r>
      <w:r>
        <w:rPr>
          <w:b/>
        </w:rPr>
        <w:t xml:space="preserve">ельности рекомендаций В (уровень достоверности доказательств –2).  Комментарии: </w:t>
      </w:r>
      <w:r>
        <w:rPr>
          <w:i/>
        </w:rPr>
        <w:t>диагностика ОА коленных, тазобедренных суставов и суставов кистей базируется на классификационных критериях AКР (таблица 1-3). На сегодняшний день критерии ОА на ранних стадиях</w:t>
      </w:r>
      <w:r>
        <w:rPr>
          <w:i/>
        </w:rPr>
        <w:t xml:space="preserve"> коленного и тазобедренного суставов находятся в стадии разработки и не могут быть использованы в реальной клинической практике. Диагностика ОА 1-го ПлФС, фасеточных суставов основывается на клинических симптомах поражения обозначенных </w:t>
      </w:r>
      <w:r>
        <w:rPr>
          <w:i/>
        </w:rPr>
        <w:tab/>
        <w:t xml:space="preserve">суставов, </w:t>
      </w:r>
      <w:r>
        <w:rPr>
          <w:i/>
        </w:rPr>
        <w:tab/>
        <w:t>рентгено</w:t>
      </w:r>
      <w:r>
        <w:rPr>
          <w:i/>
        </w:rPr>
        <w:t xml:space="preserve">логических </w:t>
      </w:r>
      <w:r>
        <w:rPr>
          <w:i/>
        </w:rPr>
        <w:tab/>
        <w:t xml:space="preserve">и </w:t>
      </w:r>
      <w:r>
        <w:rPr>
          <w:i/>
        </w:rPr>
        <w:tab/>
        <w:t xml:space="preserve">лабораторных </w:t>
      </w:r>
      <w:r>
        <w:rPr>
          <w:i/>
        </w:rPr>
        <w:tab/>
        <w:t xml:space="preserve">признаках, подтверждающих диагноз ОА и исключающих специфические причины возникновения боли [35,36]. </w:t>
      </w:r>
    </w:p>
    <w:p w:rsidR="000A3B51" w:rsidRDefault="003D0A08">
      <w:pPr>
        <w:spacing w:after="0"/>
        <w:ind w:right="755"/>
      </w:pPr>
      <w:r>
        <w:t xml:space="preserve">Таблица 1. Классификационные критерии ОА коленных суставов (АКР) [32] </w:t>
      </w:r>
    </w:p>
    <w:tbl>
      <w:tblPr>
        <w:tblStyle w:val="TableGrid"/>
        <w:tblW w:w="9399" w:type="dxa"/>
        <w:tblInd w:w="331" w:type="dxa"/>
        <w:tblCellMar>
          <w:top w:w="0" w:type="dxa"/>
          <w:left w:w="29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977"/>
        <w:gridCol w:w="3120"/>
        <w:gridCol w:w="3302"/>
      </w:tblGrid>
      <w:tr w:rsidR="000A3B51">
        <w:trPr>
          <w:trHeight w:val="166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78" w:right="0" w:firstLine="0"/>
              <w:jc w:val="left"/>
            </w:pPr>
            <w:r>
              <w:rPr>
                <w:b/>
              </w:rPr>
              <w:t>Клинические критерии</w:t>
            </w:r>
            <w:r>
              <w:rPr>
                <w:b/>
                <w:vertAlign w:val="superscript"/>
              </w:rP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4" w:right="0" w:firstLine="0"/>
              <w:jc w:val="center"/>
            </w:pPr>
            <w:r>
              <w:rPr>
                <w:b/>
              </w:rPr>
              <w:t xml:space="preserve">Комбинация клинических и рентгенологических критериев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403" w:lineRule="auto"/>
              <w:ind w:left="0" w:right="0" w:firstLine="0"/>
              <w:jc w:val="center"/>
            </w:pPr>
            <w:r>
              <w:rPr>
                <w:b/>
              </w:rPr>
              <w:t>Комбинация клинических</w:t>
            </w:r>
            <w:r>
              <w:t xml:space="preserve">, </w:t>
            </w:r>
            <w:r>
              <w:rPr>
                <w:b/>
              </w:rPr>
              <w:t>лабораторных и</w:t>
            </w:r>
            <w:r>
              <w:t xml:space="preserve">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>рентгенологических критериев</w:t>
            </w:r>
            <w:r>
              <w:rPr>
                <w:b/>
                <w:vertAlign w:val="superscript"/>
              </w:rPr>
              <w:t xml:space="preserve"> </w:t>
            </w:r>
          </w:p>
        </w:tc>
      </w:tr>
      <w:tr w:rsidR="000A3B51">
        <w:trPr>
          <w:trHeight w:val="422"/>
        </w:trPr>
        <w:tc>
          <w:tcPr>
            <w:tcW w:w="93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>Коленные суставы</w:t>
            </w:r>
            <w:r>
              <w:rPr>
                <w:vertAlign w:val="superscript"/>
              </w:rPr>
              <w:t xml:space="preserve"> </w:t>
            </w:r>
          </w:p>
        </w:tc>
      </w:tr>
      <w:tr w:rsidR="000A3B51">
        <w:trPr>
          <w:trHeight w:val="1253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Боль в коленном суставе </w:t>
            </w:r>
            <w:r>
              <w:rPr>
                <w:i/>
              </w:rPr>
              <w:t>(большинство дней предыдущего месяца)</w:t>
            </w: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Боль в коленном суставе </w:t>
            </w:r>
            <w:r>
              <w:rPr>
                <w:i/>
              </w:rPr>
              <w:t xml:space="preserve">(большинство дней предыдущего месяца)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Боль в коленном суставе </w:t>
            </w:r>
            <w:r>
              <w:rPr>
                <w:i/>
              </w:rPr>
              <w:t xml:space="preserve">(большинство дней предыдущего месяца) </w:t>
            </w:r>
          </w:p>
        </w:tc>
      </w:tr>
      <w:tr w:rsidR="000A3B51">
        <w:trPr>
          <w:trHeight w:val="83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rPr>
                <w:i/>
              </w:rPr>
              <w:t>и не менее 3-х из 6-ти критериев*</w:t>
            </w: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62" w:right="0" w:firstLine="0"/>
              <w:jc w:val="left"/>
            </w:pPr>
            <w:r>
              <w:rPr>
                <w:i/>
              </w:rPr>
              <w:t xml:space="preserve">+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rPr>
                <w:i/>
              </w:rPr>
              <w:t xml:space="preserve">и не менее 5-ти из 9-ти критериев* </w:t>
            </w:r>
          </w:p>
        </w:tc>
      </w:tr>
      <w:tr w:rsidR="000A3B51">
        <w:trPr>
          <w:trHeight w:val="739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1. Возраст старше 50  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Остеофиты на рентгенограмме 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1. Возраст старше 50 лет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61" w:line="259" w:lineRule="auto"/>
              <w:ind w:left="79" w:right="0" w:firstLine="0"/>
              <w:jc w:val="left"/>
            </w:pPr>
            <w:r>
              <w:t xml:space="preserve">2. Утренняя скованность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(менее 30 мин.)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rPr>
                <w:i/>
              </w:rPr>
              <w:t>и не менее одного из 3-х критериев</w:t>
            </w: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41" w:line="259" w:lineRule="auto"/>
              <w:ind w:left="91" w:right="0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Утренняя скованность  </w:t>
            </w:r>
          </w:p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(менее 30 мин.) </w:t>
            </w:r>
          </w:p>
        </w:tc>
      </w:tr>
      <w:tr w:rsidR="000A3B51">
        <w:trPr>
          <w:trHeight w:val="742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3. Крепитация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1. Возраст старше 50 лет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Крепитация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739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4. Боль при пальпации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21" w:line="259" w:lineRule="auto"/>
              <w:ind w:left="91" w:right="0" w:firstLine="0"/>
              <w:jc w:val="left"/>
            </w:pPr>
            <w:r>
              <w:t xml:space="preserve">2. Утренняя скованность </w:t>
            </w:r>
          </w:p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(менее 30 мин.)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4.  Боль при пальпации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739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5. Костные разрастания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3. Крепитация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5.  Костные разрастания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80" w:firstLine="0"/>
              <w:jc w:val="left"/>
            </w:pPr>
            <w:r>
              <w:t xml:space="preserve">6. Отсутствие гипертермии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6. Отсутствие гипертермии </w:t>
            </w:r>
          </w:p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 </w:t>
            </w:r>
          </w:p>
        </w:tc>
      </w:tr>
      <w:tr w:rsidR="000A3B51">
        <w:trPr>
          <w:trHeight w:val="602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 xml:space="preserve">7. СОЭ &lt; 40 мм/ч (по </w:t>
            </w:r>
          </w:p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>Вестегрену)</w:t>
            </w:r>
            <w:r>
              <w:rPr>
                <w:color w:val="0000FF"/>
                <w:vertAlign w:val="superscript"/>
              </w:rPr>
              <w:t xml:space="preserve"> </w:t>
            </w:r>
          </w:p>
        </w:tc>
      </w:tr>
      <w:tr w:rsidR="000A3B51">
        <w:trPr>
          <w:trHeight w:val="425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1" w:right="0" w:firstLine="0"/>
              <w:jc w:val="left"/>
            </w:pPr>
            <w:r>
              <w:t>8. РФ &lt; 1:40</w:t>
            </w:r>
            <w:r>
              <w:rPr>
                <w:color w:val="0000FF"/>
                <w:vertAlign w:val="superscript"/>
              </w:rPr>
              <w:t xml:space="preserve"> </w:t>
            </w:r>
          </w:p>
        </w:tc>
      </w:tr>
      <w:tr w:rsidR="000A3B51">
        <w:trPr>
          <w:trHeight w:val="838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9" w:right="0" w:firstLine="0"/>
              <w:jc w:val="left"/>
            </w:pPr>
            <w:r>
              <w:t>9. Синовиальная жидкость, характерная для ОА</w:t>
            </w:r>
            <w:r>
              <w:rPr>
                <w:vertAlign w:val="superscript"/>
              </w:rPr>
              <w:t xml:space="preserve"> </w:t>
            </w:r>
          </w:p>
        </w:tc>
      </w:tr>
      <w:tr w:rsidR="000A3B51">
        <w:trPr>
          <w:trHeight w:val="425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Чувствительность – </w:t>
            </w:r>
            <w:r>
              <w:rPr>
                <w:b/>
              </w:rPr>
              <w:t>95%</w:t>
            </w: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0" w:firstLine="0"/>
              <w:jc w:val="right"/>
            </w:pPr>
            <w:r>
              <w:t xml:space="preserve">Чувствительность – </w:t>
            </w:r>
            <w:r>
              <w:rPr>
                <w:b/>
              </w:rPr>
              <w:t>91%</w:t>
            </w: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31" w:firstLine="0"/>
              <w:jc w:val="right"/>
            </w:pPr>
            <w:r>
              <w:t xml:space="preserve">Чувствительность – </w:t>
            </w:r>
            <w:r>
              <w:rPr>
                <w:b/>
              </w:rPr>
              <w:t>92%</w:t>
            </w:r>
            <w:r>
              <w:t xml:space="preserve"> </w:t>
            </w:r>
          </w:p>
        </w:tc>
      </w:tr>
      <w:tr w:rsidR="000A3B51">
        <w:trPr>
          <w:trHeight w:val="426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Специфичность – </w:t>
            </w:r>
            <w:r>
              <w:rPr>
                <w:b/>
              </w:rPr>
              <w:t>69%</w:t>
            </w:r>
            <w:r>
              <w:t xml:space="preserve">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0" w:firstLine="0"/>
              <w:jc w:val="right"/>
            </w:pPr>
            <w:r>
              <w:t xml:space="preserve">Специфичность – </w:t>
            </w:r>
            <w:r>
              <w:rPr>
                <w:b/>
              </w:rPr>
              <w:t>86%</w:t>
            </w:r>
            <w:r>
              <w:t xml:space="preserve"> </w:t>
            </w:r>
          </w:p>
        </w:tc>
        <w:tc>
          <w:tcPr>
            <w:tcW w:w="3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31" w:firstLine="0"/>
              <w:jc w:val="right"/>
            </w:pPr>
            <w:r>
              <w:t xml:space="preserve">Специфичность – </w:t>
            </w:r>
            <w:r>
              <w:rPr>
                <w:b/>
              </w:rPr>
              <w:t>75%</w:t>
            </w:r>
            <w:r>
              <w:t xml:space="preserve"> </w:t>
            </w:r>
          </w:p>
        </w:tc>
      </w:tr>
      <w:tr w:rsidR="000A3B51">
        <w:trPr>
          <w:trHeight w:val="416"/>
        </w:trPr>
        <w:tc>
          <w:tcPr>
            <w:tcW w:w="9399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>* При наличии 4 дополнительных критериев из 6-</w:t>
            </w:r>
            <w:r>
              <w:t xml:space="preserve">ти чувствительность составляет </w:t>
            </w:r>
            <w:r>
              <w:rPr>
                <w:b/>
              </w:rPr>
              <w:t>84%,</w:t>
            </w:r>
            <w:r>
              <w:t xml:space="preserve"> а </w:t>
            </w:r>
          </w:p>
        </w:tc>
      </w:tr>
    </w:tbl>
    <w:p w:rsidR="000A3B51" w:rsidRDefault="003D0A08">
      <w:pPr>
        <w:spacing w:after="151"/>
        <w:ind w:right="755"/>
      </w:pPr>
      <w:r>
        <w:t xml:space="preserve">специфичность - </w:t>
      </w:r>
      <w:r>
        <w:rPr>
          <w:b/>
        </w:rPr>
        <w:t xml:space="preserve">89%. </w:t>
      </w:r>
    </w:p>
    <w:p w:rsidR="000A3B51" w:rsidRDefault="003D0A08">
      <w:pPr>
        <w:ind w:right="755"/>
      </w:pPr>
      <w:r>
        <w:t xml:space="preserve">Таблица 2. Классификационные критерии ОА мелких суставов кистей (АКР) [34] </w:t>
      </w:r>
    </w:p>
    <w:tbl>
      <w:tblPr>
        <w:tblStyle w:val="TableGrid"/>
        <w:tblW w:w="9353" w:type="dxa"/>
        <w:tblInd w:w="361" w:type="dxa"/>
        <w:tblCellMar>
          <w:top w:w="83" w:type="dxa"/>
          <w:left w:w="117" w:type="dxa"/>
          <w:bottom w:w="0" w:type="dxa"/>
          <w:right w:w="237" w:type="dxa"/>
        </w:tblCellMar>
        <w:tblLook w:val="04A0" w:firstRow="1" w:lastRow="0" w:firstColumn="1" w:lastColumn="0" w:noHBand="0" w:noVBand="1"/>
      </w:tblPr>
      <w:tblGrid>
        <w:gridCol w:w="9353"/>
      </w:tblGrid>
      <w:tr w:rsidR="000A3B51">
        <w:trPr>
          <w:trHeight w:val="548"/>
        </w:trPr>
        <w:tc>
          <w:tcPr>
            <w:tcW w:w="9353" w:type="dxa"/>
            <w:tcBorders>
              <w:top w:val="single" w:sz="23" w:space="0" w:color="FFFFFF"/>
              <w:left w:val="single" w:sz="4" w:space="0" w:color="000000"/>
              <w:bottom w:val="single" w:sz="23" w:space="0" w:color="FFFFFF"/>
              <w:right w:val="single" w:sz="2" w:space="0" w:color="A0A0A0"/>
            </w:tcBorders>
          </w:tcPr>
          <w:p w:rsidR="000A3B51" w:rsidRDefault="003D0A08">
            <w:pPr>
              <w:spacing w:after="0" w:line="259" w:lineRule="auto"/>
              <w:ind w:left="588" w:right="0" w:firstLine="0"/>
              <w:jc w:val="left"/>
            </w:pPr>
            <w:r>
              <w:rPr>
                <w:b/>
              </w:rPr>
              <w:t xml:space="preserve">Клинические критерии </w:t>
            </w:r>
          </w:p>
        </w:tc>
      </w:tr>
      <w:tr w:rsidR="000A3B51">
        <w:trPr>
          <w:trHeight w:val="545"/>
        </w:trPr>
        <w:tc>
          <w:tcPr>
            <w:tcW w:w="9353" w:type="dxa"/>
            <w:tcBorders>
              <w:top w:val="single" w:sz="23" w:space="0" w:color="FFFFFF"/>
              <w:left w:val="single" w:sz="4" w:space="0" w:color="000000"/>
              <w:bottom w:val="single" w:sz="23" w:space="0" w:color="FFFFFF"/>
              <w:right w:val="single" w:sz="2" w:space="0" w:color="A0A0A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>1.  Боль</w:t>
            </w:r>
            <w:r>
              <w:rPr>
                <w:i/>
              </w:rPr>
              <w:t xml:space="preserve"> (большинство дней предыдущего месяца) </w:t>
            </w:r>
            <w:r>
              <w:t xml:space="preserve">или скованность </w:t>
            </w:r>
            <w:r>
              <w:rPr>
                <w:b/>
              </w:rPr>
              <w:t xml:space="preserve"> </w:t>
            </w:r>
          </w:p>
        </w:tc>
      </w:tr>
      <w:tr w:rsidR="000A3B51">
        <w:trPr>
          <w:trHeight w:val="522"/>
        </w:trPr>
        <w:tc>
          <w:tcPr>
            <w:tcW w:w="9353" w:type="dxa"/>
            <w:tcBorders>
              <w:top w:val="single" w:sz="23" w:space="0" w:color="FFFFFF"/>
              <w:left w:val="single" w:sz="4" w:space="0" w:color="000000"/>
              <w:bottom w:val="double" w:sz="23" w:space="0" w:color="FFFFFF"/>
              <w:right w:val="single" w:sz="2" w:space="0" w:color="A0A0A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>2.  Костные разрастания 2-</w:t>
            </w:r>
            <w:r>
              <w:t xml:space="preserve">х и более суставов из 10 оцениваемых* </w:t>
            </w:r>
          </w:p>
        </w:tc>
      </w:tr>
      <w:tr w:rsidR="000A3B51">
        <w:trPr>
          <w:trHeight w:val="545"/>
        </w:trPr>
        <w:tc>
          <w:tcPr>
            <w:tcW w:w="9353" w:type="dxa"/>
            <w:tcBorders>
              <w:top w:val="double" w:sz="23" w:space="0" w:color="FFFFFF"/>
              <w:left w:val="single" w:sz="4" w:space="0" w:color="000000"/>
              <w:bottom w:val="double" w:sz="23" w:space="0" w:color="FFFFFF"/>
              <w:right w:val="single" w:sz="2" w:space="0" w:color="A0A0A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3.  Менее 3-х припухших пястно-фаланговых суставов  </w:t>
            </w:r>
          </w:p>
        </w:tc>
      </w:tr>
      <w:tr w:rsidR="000A3B51">
        <w:trPr>
          <w:trHeight w:val="1396"/>
        </w:trPr>
        <w:tc>
          <w:tcPr>
            <w:tcW w:w="9353" w:type="dxa"/>
            <w:tcBorders>
              <w:top w:val="double" w:sz="23" w:space="0" w:color="FFFFFF"/>
              <w:left w:val="single" w:sz="4" w:space="0" w:color="000000"/>
              <w:bottom w:val="single" w:sz="23" w:space="0" w:color="FFFFFF"/>
              <w:right w:val="single" w:sz="2" w:space="0" w:color="A0A0A0"/>
            </w:tcBorders>
          </w:tcPr>
          <w:p w:rsidR="000A3B51" w:rsidRDefault="003D0A08">
            <w:pPr>
              <w:spacing w:after="3" w:line="394" w:lineRule="auto"/>
              <w:ind w:left="0" w:right="0" w:firstLine="0"/>
            </w:pPr>
            <w:r>
              <w:t xml:space="preserve">4а. Костные разрастания, включающие 2 и более дистальных межфаланговых суставов или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4б. Деформация 1-го и более суставов из 10 оцениваемых* </w:t>
            </w:r>
          </w:p>
        </w:tc>
      </w:tr>
      <w:tr w:rsidR="000A3B51">
        <w:trPr>
          <w:trHeight w:val="522"/>
        </w:trPr>
        <w:tc>
          <w:tcPr>
            <w:tcW w:w="9353" w:type="dxa"/>
            <w:tcBorders>
              <w:top w:val="single" w:sz="23" w:space="0" w:color="FFFFFF"/>
              <w:left w:val="single" w:sz="4" w:space="0" w:color="000000"/>
              <w:bottom w:val="double" w:sz="23" w:space="0" w:color="FFFFFF"/>
              <w:right w:val="single" w:sz="2" w:space="0" w:color="A0A0A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Чувствительность – </w:t>
            </w:r>
            <w:r>
              <w:rPr>
                <w:b/>
              </w:rPr>
              <w:t>92%</w:t>
            </w:r>
            <w:r>
              <w:t xml:space="preserve"> </w:t>
            </w:r>
          </w:p>
        </w:tc>
      </w:tr>
      <w:tr w:rsidR="000A3B51">
        <w:trPr>
          <w:trHeight w:val="546"/>
        </w:trPr>
        <w:tc>
          <w:tcPr>
            <w:tcW w:w="9353" w:type="dxa"/>
            <w:tcBorders>
              <w:top w:val="double" w:sz="23" w:space="0" w:color="FFFFFF"/>
              <w:left w:val="single" w:sz="4" w:space="0" w:color="000000"/>
              <w:bottom w:val="single" w:sz="2" w:space="0" w:color="A0A0A0"/>
              <w:right w:val="single" w:sz="2" w:space="0" w:color="A0A0A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Специфичность – </w:t>
            </w:r>
            <w:r>
              <w:rPr>
                <w:b/>
              </w:rPr>
              <w:t>98%</w:t>
            </w:r>
            <w:r>
              <w:t xml:space="preserve"> </w:t>
            </w:r>
          </w:p>
        </w:tc>
      </w:tr>
    </w:tbl>
    <w:p w:rsidR="000A3B51" w:rsidRDefault="003D0A08">
      <w:pPr>
        <w:spacing w:after="295"/>
        <w:ind w:right="755"/>
      </w:pPr>
      <w:r>
        <w:t xml:space="preserve">Примечание: * - 2-й и 3-й ДМФС; 2-й и 3-й ПМФС; 1-й ЗПС обеих кистей </w:t>
      </w:r>
    </w:p>
    <w:p w:rsidR="000A3B51" w:rsidRDefault="003D0A08">
      <w:pPr>
        <w:spacing w:after="0"/>
        <w:ind w:right="755"/>
      </w:pPr>
      <w:r>
        <w:t xml:space="preserve">Таблица 3. Классификационные критерии ОА тазобедренных суставов (АКР) [33] </w:t>
      </w:r>
    </w:p>
    <w:tbl>
      <w:tblPr>
        <w:tblStyle w:val="TableGrid"/>
        <w:tblW w:w="9357" w:type="dxa"/>
        <w:tblInd w:w="331" w:type="dxa"/>
        <w:tblCellMar>
          <w:top w:w="0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4679"/>
        <w:gridCol w:w="4678"/>
      </w:tblGrid>
      <w:tr w:rsidR="000A3B51">
        <w:trPr>
          <w:trHeight w:val="1253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5" w:firstLine="0"/>
              <w:jc w:val="center"/>
            </w:pPr>
            <w:r>
              <w:rPr>
                <w:b/>
              </w:rPr>
              <w:t>Клинические критерии</w:t>
            </w:r>
            <w:r>
              <w:rPr>
                <w:b/>
                <w:vertAlign w:val="superscript"/>
              </w:rP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68" w:line="259" w:lineRule="auto"/>
              <w:ind w:left="0" w:right="50" w:firstLine="0"/>
              <w:jc w:val="center"/>
            </w:pPr>
            <w:r>
              <w:rPr>
                <w:b/>
              </w:rPr>
              <w:t>Комбинация клинических</w:t>
            </w:r>
            <w:r>
              <w:t xml:space="preserve">, </w:t>
            </w:r>
          </w:p>
          <w:p w:rsidR="000A3B51" w:rsidRDefault="003D0A08">
            <w:pPr>
              <w:spacing w:after="133" w:line="259" w:lineRule="auto"/>
              <w:ind w:left="0" w:right="53" w:firstLine="0"/>
              <w:jc w:val="center"/>
            </w:pPr>
            <w:r>
              <w:rPr>
                <w:b/>
              </w:rPr>
              <w:t>лабораторных и</w:t>
            </w:r>
            <w:r>
              <w:t xml:space="preserve"> </w:t>
            </w:r>
            <w:r>
              <w:rPr>
                <w:b/>
              </w:rPr>
              <w:t xml:space="preserve">рентгенологических </w:t>
            </w:r>
          </w:p>
          <w:p w:rsidR="000A3B51" w:rsidRDefault="003D0A08">
            <w:pPr>
              <w:spacing w:after="0" w:line="259" w:lineRule="auto"/>
              <w:ind w:left="0" w:right="52" w:firstLine="0"/>
              <w:jc w:val="center"/>
            </w:pPr>
            <w:r>
              <w:rPr>
                <w:b/>
              </w:rPr>
              <w:t>критериев</w:t>
            </w:r>
            <w:r>
              <w:rPr>
                <w:b/>
                <w:vertAlign w:val="superscript"/>
              </w:rPr>
              <w:t xml:space="preserve"> </w:t>
            </w:r>
          </w:p>
        </w:tc>
      </w:tr>
      <w:tr w:rsidR="000A3B51">
        <w:trPr>
          <w:trHeight w:val="425"/>
        </w:trPr>
        <w:tc>
          <w:tcPr>
            <w:tcW w:w="935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>Тазобедренные</w:t>
            </w:r>
            <w:r>
              <w:t xml:space="preserve"> </w:t>
            </w:r>
            <w:r>
              <w:rPr>
                <w:b/>
              </w:rPr>
              <w:t>суставы</w:t>
            </w:r>
            <w:r>
              <w:rPr>
                <w:vertAlign w:val="superscript"/>
              </w:rPr>
              <w:t xml:space="preserve"> </w:t>
            </w:r>
          </w:p>
        </w:tc>
      </w:tr>
      <w:tr w:rsidR="000A3B51">
        <w:trPr>
          <w:trHeight w:val="838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9" w:line="259" w:lineRule="auto"/>
              <w:ind w:left="12" w:right="0" w:firstLine="0"/>
              <w:jc w:val="left"/>
            </w:pPr>
            <w:r>
              <w:t xml:space="preserve">Боль в тазобедренном суставе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i/>
              </w:rPr>
              <w:t>(большинство дней предыдущего месяца)</w:t>
            </w:r>
            <w: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9" w:line="259" w:lineRule="auto"/>
              <w:ind w:left="0" w:right="0" w:firstLine="0"/>
              <w:jc w:val="left"/>
            </w:pPr>
            <w:r>
              <w:t xml:space="preserve">Боль в тазобедренном суставе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i/>
              </w:rPr>
              <w:t xml:space="preserve">(большинство дней предыдущего месяца) </w:t>
            </w:r>
          </w:p>
        </w:tc>
      </w:tr>
      <w:tr w:rsidR="000A3B51">
        <w:trPr>
          <w:trHeight w:val="425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83" w:right="0" w:firstLine="0"/>
              <w:jc w:val="left"/>
            </w:pPr>
            <w:r>
              <w:t xml:space="preserve">+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83" w:right="0" w:firstLine="0"/>
              <w:jc w:val="left"/>
            </w:pPr>
            <w:r>
              <w:rPr>
                <w:i/>
              </w:rPr>
              <w:t xml:space="preserve">и не менее 2-х из 3 критериев </w:t>
            </w:r>
          </w:p>
        </w:tc>
      </w:tr>
      <w:tr w:rsidR="000A3B51">
        <w:trPr>
          <w:trHeight w:val="422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1. Внутренняя ротация &lt;15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1. СОЭ &lt;20 мм/ч (по Вестегрену) </w:t>
            </w:r>
          </w:p>
        </w:tc>
      </w:tr>
      <w:tr w:rsidR="000A3B51">
        <w:trPr>
          <w:trHeight w:val="838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2. СОЭ ≤45 мм/ч (по Вестегрену) (или сгибание в тазобедренном суставе ≤115°)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49" w:firstLine="0"/>
              <w:jc w:val="left"/>
            </w:pPr>
            <w:r>
              <w:t xml:space="preserve">2. Остеофиты в области бедренной головки и/или вертлужной впадине  </w:t>
            </w:r>
          </w:p>
        </w:tc>
      </w:tr>
      <w:tr w:rsidR="000A3B51">
        <w:trPr>
          <w:trHeight w:val="425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83" w:right="0" w:firstLine="0"/>
              <w:jc w:val="left"/>
            </w:pPr>
            <w:r>
              <w:t xml:space="preserve">или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>3. Сужение суставной щели</w:t>
            </w:r>
            <w:r>
              <w:rPr>
                <w:vertAlign w:val="superscript"/>
              </w:rPr>
              <w:t xml:space="preserve"> </w:t>
            </w:r>
          </w:p>
        </w:tc>
      </w:tr>
      <w:tr w:rsidR="000A3B51">
        <w:trPr>
          <w:trHeight w:val="1666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numPr>
                <w:ilvl w:val="0"/>
                <w:numId w:val="36"/>
              </w:numPr>
              <w:spacing w:after="158" w:line="259" w:lineRule="auto"/>
              <w:ind w:right="0" w:hanging="240"/>
              <w:jc w:val="left"/>
            </w:pPr>
            <w:r>
              <w:t xml:space="preserve">Внутренняя ротация ≥15° </w:t>
            </w:r>
          </w:p>
          <w:p w:rsidR="000A3B51" w:rsidRDefault="003D0A08">
            <w:pPr>
              <w:numPr>
                <w:ilvl w:val="0"/>
                <w:numId w:val="36"/>
              </w:numPr>
              <w:spacing w:after="159" w:line="259" w:lineRule="auto"/>
              <w:ind w:right="0" w:hanging="240"/>
              <w:jc w:val="left"/>
            </w:pPr>
            <w:r>
              <w:t xml:space="preserve">Утренняя скованность ≤60 мин </w:t>
            </w:r>
          </w:p>
          <w:p w:rsidR="000A3B51" w:rsidRDefault="003D0A08">
            <w:pPr>
              <w:numPr>
                <w:ilvl w:val="0"/>
                <w:numId w:val="36"/>
              </w:numPr>
              <w:spacing w:after="152" w:line="259" w:lineRule="auto"/>
              <w:ind w:right="0" w:hanging="240"/>
              <w:jc w:val="left"/>
            </w:pPr>
            <w:r>
              <w:t xml:space="preserve">Возраст &gt;50 лет </w:t>
            </w:r>
          </w:p>
          <w:p w:rsidR="000A3B51" w:rsidRDefault="003D0A08">
            <w:pPr>
              <w:numPr>
                <w:ilvl w:val="0"/>
                <w:numId w:val="36"/>
              </w:numPr>
              <w:spacing w:after="0" w:line="259" w:lineRule="auto"/>
              <w:ind w:right="0" w:hanging="240"/>
              <w:jc w:val="left"/>
            </w:pPr>
            <w:r>
              <w:t>Боль при внутренней ротации бедра</w:t>
            </w:r>
            <w:r>
              <w:rPr>
                <w:vertAlign w:val="superscript"/>
              </w:rP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6"/>
              </w:rPr>
              <w:t xml:space="preserve"> </w:t>
            </w:r>
          </w:p>
        </w:tc>
      </w:tr>
      <w:tr w:rsidR="000A3B51">
        <w:trPr>
          <w:trHeight w:val="425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Чувствительность </w:t>
            </w:r>
            <w:r>
              <w:rPr>
                <w:b/>
              </w:rPr>
              <w:t>86%</w:t>
            </w:r>
            <w: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Чувствительность </w:t>
            </w:r>
            <w:r>
              <w:rPr>
                <w:b/>
              </w:rPr>
              <w:t>89%</w:t>
            </w: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Специфичность </w:t>
            </w:r>
            <w:r>
              <w:rPr>
                <w:b/>
              </w:rPr>
              <w:t>75%</w:t>
            </w:r>
            <w:r>
              <w:t xml:space="preserve"> 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Специфичность </w:t>
            </w:r>
            <w:r>
              <w:rPr>
                <w:b/>
              </w:rPr>
              <w:t>91%</w:t>
            </w:r>
            <w:r>
              <w:t xml:space="preserve"> </w:t>
            </w:r>
          </w:p>
        </w:tc>
      </w:tr>
    </w:tbl>
    <w:p w:rsidR="000A3B51" w:rsidRDefault="003D0A08">
      <w:pPr>
        <w:pStyle w:val="Heading2"/>
        <w:spacing w:after="207"/>
        <w:ind w:left="1063" w:right="749"/>
      </w:pPr>
      <w:r>
        <w:t>2.2 Жалобы и анамнез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22" w:line="380" w:lineRule="auto"/>
        <w:ind w:left="936" w:right="755"/>
      </w:pPr>
      <w:r>
        <w:t xml:space="preserve">При обследовании пациента с подозрением на ОА рекомендуется </w:t>
      </w:r>
      <w:r>
        <w:t>тщательный сбор анамнеза и проведение полноценного клинического осмотра с целью точной диагностики заболевания и исключения других заболеваний опорно-двигательного аппарата [13]. Необходимо выяснить возраст дебюта заболевания, локализацию боли, ее характер</w:t>
      </w:r>
      <w:r>
        <w:t>, интенсивность, продолжительность, связь с движением, длительность, время появления, эффективность проводимой ранее терапии. Чрезвычайно важно уточнить характеристику боли, испытываемой больным, для проведения дифференциальной диагностики и уточнения ее г</w:t>
      </w:r>
      <w:r>
        <w:t>енеза.</w:t>
      </w:r>
      <w:r>
        <w:rPr>
          <w:color w:val="215E99"/>
        </w:rPr>
        <w:t xml:space="preserve"> </w:t>
      </w:r>
    </w:p>
    <w:p w:rsidR="000A3B51" w:rsidRDefault="003D0A08">
      <w:pPr>
        <w:spacing w:after="175"/>
        <w:ind w:left="1078" w:right="755"/>
      </w:pPr>
      <w:r>
        <w:t>Рекомендовано учитывать следующие особенности суставного синдрома при ОА:</w:t>
      </w:r>
      <w:r>
        <w:rPr>
          <w:b/>
          <w:i/>
        </w:rPr>
        <w:t xml:space="preserve"> </w:t>
      </w:r>
    </w:p>
    <w:p w:rsidR="000A3B51" w:rsidRDefault="003D0A08">
      <w:pPr>
        <w:numPr>
          <w:ilvl w:val="0"/>
          <w:numId w:val="8"/>
        </w:numPr>
        <w:spacing w:after="137"/>
        <w:ind w:right="755" w:hanging="708"/>
      </w:pPr>
      <w:r>
        <w:t xml:space="preserve">постепенное начало боли; </w:t>
      </w:r>
    </w:p>
    <w:p w:rsidR="000A3B51" w:rsidRDefault="003D0A08">
      <w:pPr>
        <w:numPr>
          <w:ilvl w:val="0"/>
          <w:numId w:val="8"/>
        </w:numPr>
        <w:spacing w:after="134"/>
        <w:ind w:right="755" w:hanging="708"/>
      </w:pPr>
      <w:r>
        <w:t xml:space="preserve">боль в течение большинства дней предыдущего месяца; </w:t>
      </w:r>
    </w:p>
    <w:p w:rsidR="000A3B51" w:rsidRDefault="003D0A08">
      <w:pPr>
        <w:numPr>
          <w:ilvl w:val="0"/>
          <w:numId w:val="8"/>
        </w:numPr>
        <w:spacing w:after="138"/>
        <w:ind w:right="755" w:hanging="708"/>
      </w:pPr>
      <w:r>
        <w:t xml:space="preserve">усиление боли при ходьбе/при нагрузке; </w:t>
      </w:r>
    </w:p>
    <w:p w:rsidR="000A3B51" w:rsidRDefault="003D0A08">
      <w:pPr>
        <w:numPr>
          <w:ilvl w:val="0"/>
          <w:numId w:val="8"/>
        </w:numPr>
        <w:spacing w:after="22" w:line="397" w:lineRule="auto"/>
        <w:ind w:right="755" w:hanging="708"/>
      </w:pPr>
      <w:r>
        <w:t xml:space="preserve">«стартовые боли», которые возникают после периодов покоя и проходят на фоне двигательной активности; </w:t>
      </w:r>
    </w:p>
    <w:p w:rsidR="000A3B51" w:rsidRDefault="003D0A08">
      <w:pPr>
        <w:numPr>
          <w:ilvl w:val="0"/>
          <w:numId w:val="8"/>
        </w:numPr>
        <w:spacing w:after="22" w:line="397" w:lineRule="auto"/>
        <w:ind w:right="755" w:hanging="708"/>
      </w:pPr>
      <w:r>
        <w:t xml:space="preserve">ночная боль (чаще при более выраженных стадиях ОА и свидетельствует о присоединении воспалительного компонента); </w:t>
      </w:r>
    </w:p>
    <w:p w:rsidR="000A3B51" w:rsidRDefault="003D0A08">
      <w:pPr>
        <w:numPr>
          <w:ilvl w:val="0"/>
          <w:numId w:val="8"/>
        </w:numPr>
        <w:spacing w:after="44" w:line="378" w:lineRule="auto"/>
        <w:ind w:right="755" w:hanging="708"/>
      </w:pPr>
      <w:r>
        <w:t xml:space="preserve">припухлость сустава (за счёт небольшого </w:t>
      </w:r>
      <w:r>
        <w:t xml:space="preserve">выпота или утолщения синовиальной оболочки). При ОА не свойственны выраженная припухлость и гипертермия сустава; </w:t>
      </w:r>
    </w:p>
    <w:p w:rsidR="000A3B51" w:rsidRDefault="003D0A08">
      <w:pPr>
        <w:numPr>
          <w:ilvl w:val="0"/>
          <w:numId w:val="8"/>
        </w:numPr>
        <w:spacing w:after="138"/>
        <w:ind w:right="755" w:hanging="708"/>
      </w:pPr>
      <w:r>
        <w:t xml:space="preserve">утренняя скованность продолжительностью менее 30 мин; </w:t>
      </w:r>
    </w:p>
    <w:p w:rsidR="000A3B51" w:rsidRDefault="003D0A08">
      <w:pPr>
        <w:numPr>
          <w:ilvl w:val="0"/>
          <w:numId w:val="8"/>
        </w:numPr>
        <w:spacing w:after="25" w:line="395" w:lineRule="auto"/>
        <w:ind w:right="755" w:hanging="708"/>
      </w:pPr>
      <w:r>
        <w:t>крепитация в суставе (хруст, треск или скрип) при активном движении как следствие наруш</w:t>
      </w:r>
      <w:r>
        <w:t xml:space="preserve">ения конгруэнтности суставных поверхностей; </w:t>
      </w:r>
    </w:p>
    <w:p w:rsidR="000A3B51" w:rsidRDefault="003D0A08">
      <w:pPr>
        <w:numPr>
          <w:ilvl w:val="0"/>
          <w:numId w:val="8"/>
        </w:numPr>
        <w:spacing w:after="0" w:line="364" w:lineRule="auto"/>
        <w:ind w:right="755" w:hanging="708"/>
      </w:pPr>
      <w:r>
        <w:t xml:space="preserve">ограничение движений в суставе;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изменение походки. </w:t>
      </w:r>
    </w:p>
    <w:p w:rsidR="000A3B51" w:rsidRDefault="003D0A08">
      <w:pPr>
        <w:spacing w:after="0" w:line="358" w:lineRule="auto"/>
        <w:ind w:left="1078" w:right="755"/>
      </w:pPr>
      <w:r>
        <w:t xml:space="preserve">Постепенно развиваются деформации конечностей (Hallux valgus, варусная или вальгусная деформации коленных суставов, «квадратная» кисть, узелки Гебердена и </w:t>
      </w:r>
    </w:p>
    <w:p w:rsidR="000A3B51" w:rsidRDefault="003D0A08">
      <w:pPr>
        <w:spacing w:after="37" w:line="371" w:lineRule="auto"/>
        <w:ind w:left="1078" w:right="755"/>
      </w:pPr>
      <w:r>
        <w:t xml:space="preserve">Бушара соответственно в дистальных и проксимальных межфаланговых суставах кистей) [13, 27, 32, 37–47].  </w:t>
      </w:r>
      <w:r>
        <w:rPr>
          <w:color w:val="FF0000"/>
        </w:rPr>
        <w:t xml:space="preserve"> </w:t>
      </w:r>
    </w:p>
    <w:p w:rsidR="000A3B51" w:rsidRDefault="003D0A08">
      <w:pPr>
        <w:spacing w:after="436" w:line="267" w:lineRule="auto"/>
        <w:ind w:left="355" w:right="753"/>
      </w:pPr>
      <w:r>
        <w:rPr>
          <w:b/>
        </w:rPr>
        <w:t xml:space="preserve">Уровень убедительности рекомендаций В (уровень достоверности доказательств – 2).  </w:t>
      </w:r>
    </w:p>
    <w:p w:rsidR="000A3B51" w:rsidRDefault="003D0A08">
      <w:pPr>
        <w:pStyle w:val="Heading2"/>
        <w:spacing w:after="158"/>
        <w:ind w:left="1063" w:right="749"/>
      </w:pPr>
      <w:r>
        <w:t>2.3 Физикальное обследование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0" w:line="396" w:lineRule="auto"/>
        <w:ind w:left="1078" w:right="755"/>
      </w:pPr>
      <w:r>
        <w:t>Рекомендуется обращать внимание на ос</w:t>
      </w:r>
      <w:r>
        <w:t>новные признаки ОА, выявляемые при осмотре: боль при пальпации сустава, крепитация, ограничение движений, увеличение объёма сустава, костные разрастания - для диагностики, в том числе дифференциальной, и определения стратегии лечения [27,28,33,48–54].</w:t>
      </w:r>
      <w:r>
        <w:rPr>
          <w:color w:val="0070C0"/>
        </w:rPr>
        <w:t xml:space="preserve">  </w:t>
      </w:r>
    </w:p>
    <w:p w:rsidR="000A3B51" w:rsidRDefault="003D0A08">
      <w:pPr>
        <w:spacing w:after="0" w:line="398" w:lineRule="auto"/>
        <w:ind w:left="1078" w:right="755"/>
      </w:pPr>
      <w:r>
        <w:t>Вс</w:t>
      </w:r>
      <w:r>
        <w:t>ем пациентам с генерализованным ОА рекомендовано оценивать интенсивность боли по визуально-аналоговой шкале (ВАШ, см. Приложение Г1. Визуальная аналоговая шкала) или числовой рейтинговой шкале (ЧРШ см. Приложение Г1. Числовая рейтинговая шкала), или вербал</w:t>
      </w:r>
      <w:r>
        <w:t xml:space="preserve">ьной ранговой шкале (ВРШ) (см. Приложение Г1. Вербальная ранговая шкала) в момент обращения и в динамике в наиболее болезненном суставе. </w:t>
      </w:r>
    </w:p>
    <w:p w:rsidR="000A3B51" w:rsidRDefault="003D0A08">
      <w:pPr>
        <w:spacing w:after="48" w:line="358" w:lineRule="auto"/>
        <w:ind w:left="1078" w:right="755"/>
      </w:pPr>
      <w:r>
        <w:t>Дополнительно рекомендовано определять деформации (сгибательные контрактуры, укорочение конечности, плоскостопие, вару</w:t>
      </w:r>
      <w:r>
        <w:t xml:space="preserve">сную или вальгусную деформации), нестабильность, отёк периартикулярных тканей, мышечную атрофию. </w:t>
      </w:r>
    </w:p>
    <w:p w:rsidR="000A3B51" w:rsidRDefault="003D0A08">
      <w:pPr>
        <w:spacing w:after="176"/>
        <w:ind w:left="1078" w:right="755"/>
      </w:pPr>
      <w:r>
        <w:t xml:space="preserve">Осмотр больного проводят в положениях больного стоя и лёжа. </w:t>
      </w:r>
    </w:p>
    <w:p w:rsidR="000A3B51" w:rsidRDefault="003D0A08">
      <w:pPr>
        <w:numPr>
          <w:ilvl w:val="0"/>
          <w:numId w:val="9"/>
        </w:numPr>
        <w:spacing w:after="49" w:line="376" w:lineRule="auto"/>
        <w:ind w:right="755" w:hanging="360"/>
      </w:pPr>
      <w:r>
        <w:t>Методом пальпации рекомендовано обнаруживать: болезненность сустава и периартикулярных тканей, кр</w:t>
      </w:r>
      <w:r>
        <w:t xml:space="preserve">епитацию в суставе, наличие синовита, состояние связочно-мышечного аппарата.  </w:t>
      </w:r>
    </w:p>
    <w:p w:rsidR="000A3B51" w:rsidRDefault="003D0A08">
      <w:pPr>
        <w:numPr>
          <w:ilvl w:val="0"/>
          <w:numId w:val="9"/>
        </w:numPr>
        <w:spacing w:after="6" w:line="397" w:lineRule="auto"/>
        <w:ind w:right="755" w:hanging="360"/>
      </w:pPr>
      <w:r>
        <w:t xml:space="preserve">Для определения функции суставов рекомендовано изучать объём и качество активных и пассивных движений.  </w:t>
      </w:r>
    </w:p>
    <w:p w:rsidR="000A3B51" w:rsidRDefault="003D0A08">
      <w:pPr>
        <w:spacing w:after="1" w:line="386" w:lineRule="auto"/>
        <w:ind w:left="355" w:right="753"/>
      </w:pPr>
      <w:r>
        <w:rPr>
          <w:b/>
        </w:rPr>
        <w:t xml:space="preserve">Уровень убедительности рекомендаций В </w:t>
      </w:r>
      <w:r>
        <w:rPr>
          <w:b/>
        </w:rPr>
        <w:t>(уровень достоверности доказательств –2).</w:t>
      </w:r>
      <w:r>
        <w:rPr>
          <w:i/>
        </w:rPr>
        <w:t xml:space="preserve">  </w:t>
      </w:r>
      <w:r>
        <w:rPr>
          <w:b/>
        </w:rPr>
        <w:t>Комментарии:</w:t>
      </w:r>
      <w:r>
        <w:t xml:space="preserve"> </w:t>
      </w:r>
      <w:r>
        <w:rPr>
          <w:i/>
        </w:rPr>
        <w:t>всех пациентов с болью в коленном суставе необходимо обследовать для выявления ограничения движений, крепитации, синовита – основных симптомов ОА коленного сустава. Нужно определять нарушение оси суст</w:t>
      </w:r>
      <w:r>
        <w:rPr>
          <w:i/>
        </w:rPr>
        <w:t xml:space="preserve">ава, нестабильность, боль при пальпации надколенника, периартикулярных тканей (их отек).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Характерными признаками ОА тазобедренных суставов при обследовании является ограничение движений в суставе (внутренняя ротация &lt;15° (чувствительность - 66%) и сгибани</w:t>
      </w:r>
      <w:r>
        <w:rPr>
          <w:i/>
        </w:rPr>
        <w:t>е &gt;115° (чувствительность - 96%), возникновение боли при внутренней ротации, болезненность при пальпации паховой области латеральнее места пульсации бедренной артерии. Необходимо обращать внимание на фиксированное сгибание и/или наружную ротацию сустава, у</w:t>
      </w:r>
      <w:r>
        <w:rPr>
          <w:i/>
        </w:rPr>
        <w:t xml:space="preserve">корочение ноги [33]. </w:t>
      </w:r>
      <w:r>
        <w:t xml:space="preserve">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>Типичные признаки ОА суставов кистей – узелки Гебердена и Бушара или костные разрастания с или без деформации (т.е. латеральная девиация межфаланговых суставов, подвывих и аддукция (приведение) основания 1 пальца кисти) с вовлечением</w:t>
      </w:r>
      <w:r>
        <w:rPr>
          <w:i/>
        </w:rPr>
        <w:t xml:space="preserve"> характерных суставов – ДМФС, ПМФС, основания 1 пальца кисти и ПЯФС 1, 2 и 3 пальцев [34].</w:t>
      </w:r>
      <w:r>
        <w:rPr>
          <w:color w:val="0070C0"/>
        </w:rPr>
        <w:t xml:space="preserve"> </w:t>
      </w:r>
      <w:r>
        <w:t xml:space="preserve"> </w:t>
      </w:r>
      <w:r>
        <w:rPr>
          <w:i/>
        </w:rPr>
        <w:t>При поражении 1 ПлФС необходимо оценивать наличие болезненности при пальпации сустава, объем движений в суставе (в норме - 70-90º тыльное сгибание и 30º подошвенное</w:t>
      </w:r>
      <w:r>
        <w:rPr>
          <w:i/>
        </w:rPr>
        <w:t xml:space="preserve"> сгибание. В начале заболевания чаще всего отмечается ограничение тыльного сгибания, при более продвинутых стадиях заболевания – подошвенное), наличие деформации, синовита.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Для ОА не характерен выраженный синовит, сопровождающийся гиперемией и гипертермие</w:t>
      </w:r>
      <w:r>
        <w:rPr>
          <w:i/>
        </w:rPr>
        <w:t xml:space="preserve">й [49].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Соматическое обследование проводится всем пациентам для исключения специфической причины боли в спине. Оно направлено на обнаружение переломов позвоночника, злокачественных новообразований, инфекционных процессов и соматических заболеваний, которы</w:t>
      </w:r>
      <w:r>
        <w:rPr>
          <w:i/>
        </w:rPr>
        <w:t>е могут проявляться болями в области позвоночника, и включает выявление лихорадки, похудания, изменения кожных покровов, аускультацию легких, пальпацию живота и лимфатических узлов.</w:t>
      </w:r>
      <w:r>
        <w:rPr>
          <w:rFonts w:ascii="Calibri" w:eastAsia="Calibri" w:hAnsi="Calibri" w:cs="Calibri"/>
          <w:sz w:val="23"/>
        </w:rPr>
        <w:t xml:space="preserve"> </w:t>
      </w:r>
      <w:r>
        <w:rPr>
          <w:i/>
        </w:rPr>
        <w:t>Локальная болезненность в проекции фасеточных суставов один из наиболее ин</w:t>
      </w:r>
      <w:r>
        <w:rPr>
          <w:i/>
        </w:rPr>
        <w:t>формативных тестов, который рекомендовано</w:t>
      </w:r>
      <w:r>
        <w:rPr>
          <w:rFonts w:ascii="Calibri" w:eastAsia="Calibri" w:hAnsi="Calibri" w:cs="Calibri"/>
          <w:sz w:val="23"/>
        </w:rPr>
        <w:t xml:space="preserve"> </w:t>
      </w:r>
      <w:r>
        <w:rPr>
          <w:i/>
        </w:rPr>
        <w:t xml:space="preserve">проводить в положении сидя и лежа на животе для исключения влияния мышечного тонуса на </w:t>
      </w:r>
      <w:r>
        <w:rPr>
          <w:i/>
        </w:rPr>
        <w:t xml:space="preserve">результаты теста; также частыми признаками ОА этой локализации является усиление боли при разгибании, ротации и боковом сгибании позвоночника, напряжение при пальпации паравертебральной области. </w:t>
      </w:r>
      <w:r>
        <w:rPr>
          <w:color w:val="0070C0"/>
        </w:rPr>
        <w:t xml:space="preserve"> </w:t>
      </w:r>
    </w:p>
    <w:p w:rsidR="000A3B51" w:rsidRDefault="003D0A08">
      <w:pPr>
        <w:spacing w:after="12" w:line="394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Всем пациентам с полиартрозом рекомендуется проводить общ</w:t>
      </w:r>
      <w:r>
        <w:t xml:space="preserve">етерапевтический осмотр для выявления ожирения, СД, сердечно-сосудистых заболеваний, патологии со стороны почек и органов пищеварения [55, 56]. </w:t>
      </w:r>
      <w:r>
        <w:rPr>
          <w:b/>
        </w:rPr>
        <w:t xml:space="preserve"> </w:t>
      </w:r>
    </w:p>
    <w:p w:rsidR="000A3B51" w:rsidRDefault="003D0A08">
      <w:pPr>
        <w:spacing w:after="305" w:line="386" w:lineRule="auto"/>
        <w:ind w:left="355" w:right="753"/>
      </w:pPr>
      <w:r>
        <w:rPr>
          <w:b/>
        </w:rPr>
        <w:t xml:space="preserve">Уровень убедительности рекомендаций - С (уровень достоверности доказательств - 4) </w:t>
      </w:r>
      <w:r>
        <w:rPr>
          <w:b/>
          <w:i/>
        </w:rPr>
        <w:t xml:space="preserve">Комментарии: </w:t>
      </w:r>
      <w:r>
        <w:rPr>
          <w:i/>
        </w:rPr>
        <w:t>наличие сопутст</w:t>
      </w:r>
      <w:r>
        <w:rPr>
          <w:i/>
        </w:rPr>
        <w:t xml:space="preserve">вующих заболеваний ассоциируются с более худшими исходами ОА, а их наличие или терапия могут определять противопоказания для назначения лекарственных средств для лечения ОА.  </w:t>
      </w:r>
    </w:p>
    <w:p w:rsidR="000A3B51" w:rsidRDefault="003D0A08">
      <w:pPr>
        <w:pStyle w:val="Heading2"/>
        <w:spacing w:after="204"/>
        <w:ind w:left="1063" w:right="749"/>
      </w:pPr>
      <w:r>
        <w:t>2.4 Лабораторные диагностические исследования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178"/>
        <w:ind w:right="755"/>
      </w:pPr>
      <w:r>
        <w:t>Специфичных для ОА лабораторных т</w:t>
      </w:r>
      <w:r>
        <w:t xml:space="preserve">естов в настоящее время нет.  </w:t>
      </w:r>
    </w:p>
    <w:p w:rsidR="000A3B51" w:rsidRDefault="003D0A08">
      <w:pPr>
        <w:spacing w:after="6" w:line="396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Рекомендовано всем пациентам проведение общего (клинического) анализа крови, анализа крови биохимического общетерапевтического (исследование уровня креатинина, глюкозы, мочевой кислоты в крови, определение активности аланин</w:t>
      </w:r>
      <w:r>
        <w:t xml:space="preserve">аминотрансферазы (АЛТ), аспартатаминотрансферазы (АСТ) в крови), анализ крови по оценке нарушений липидного обмена биохимический с целью дифференциальной диагностики и выявления возможных противопоказаний для назначения лекарственных средств [57–60]. </w:t>
      </w:r>
    </w:p>
    <w:p w:rsidR="000A3B51" w:rsidRDefault="003D0A08">
      <w:pPr>
        <w:spacing w:after="3" w:line="267" w:lineRule="auto"/>
        <w:ind w:left="355" w:right="753"/>
      </w:pPr>
      <w:r>
        <w:rPr>
          <w:b/>
        </w:rPr>
        <w:t>Уров</w:t>
      </w:r>
      <w:r>
        <w:rPr>
          <w:b/>
        </w:rPr>
        <w:t xml:space="preserve">ень убедительности рекомендаций </w:t>
      </w:r>
      <w:hyperlink r:id="rId16" w:anchor="100721">
        <w:r>
          <w:rPr>
            <w:b/>
          </w:rPr>
          <w:t>C</w:t>
        </w:r>
      </w:hyperlink>
      <w:hyperlink r:id="rId17" w:anchor="100721">
        <w:r>
          <w:rPr>
            <w:b/>
          </w:rPr>
          <w:t xml:space="preserve"> </w:t>
        </w:r>
      </w:hyperlink>
      <w:r>
        <w:rPr>
          <w:b/>
        </w:rPr>
        <w:t xml:space="preserve">(уровень достоверности доказательств – 4). </w:t>
      </w:r>
    </w:p>
    <w:p w:rsidR="000A3B51" w:rsidRDefault="003D0A08">
      <w:pPr>
        <w:spacing w:after="13" w:line="386" w:lineRule="auto"/>
        <w:ind w:left="355" w:right="753"/>
      </w:pPr>
      <w:r>
        <w:rPr>
          <w:b/>
          <w:i/>
        </w:rPr>
        <w:t>Комментарий:</w:t>
      </w:r>
      <w:r>
        <w:rPr>
          <w:i/>
        </w:rPr>
        <w:t xml:space="preserve"> лабораторные исследования крови не требуются для диагностики ОА, но назначаются преимущественно с целью:  </w:t>
      </w:r>
    </w:p>
    <w:p w:rsidR="000A3B51" w:rsidRDefault="003D0A08">
      <w:pPr>
        <w:numPr>
          <w:ilvl w:val="0"/>
          <w:numId w:val="10"/>
        </w:numPr>
        <w:spacing w:after="34" w:line="386" w:lineRule="auto"/>
        <w:ind w:right="1558"/>
      </w:pPr>
      <w:r>
        <w:rPr>
          <w:i/>
        </w:rPr>
        <w:t xml:space="preserve">идентификации потенциальных контр-индикаций к фармакотерапии;  – </w:t>
      </w:r>
      <w:r>
        <w:rPr>
          <w:i/>
        </w:rPr>
        <w:t xml:space="preserve">дифференциальной диагностики.  </w:t>
      </w:r>
    </w:p>
    <w:p w:rsidR="000A3B51" w:rsidRDefault="003D0A08">
      <w:pPr>
        <w:spacing w:after="6" w:line="397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Рекомендовано всем пациентам проведение общего (клинического) анализа мочи с целью целью дифференциальной диагностики и выявления возможных противопоказаний для назначения лекарственных средств [60]. </w:t>
      </w:r>
    </w:p>
    <w:p w:rsidR="000A3B51" w:rsidRDefault="003D0A08">
      <w:pPr>
        <w:spacing w:after="12" w:line="386" w:lineRule="auto"/>
        <w:ind w:left="355" w:right="753"/>
      </w:pPr>
      <w:r>
        <w:rPr>
          <w:b/>
        </w:rPr>
        <w:t>Уровень убедительност</w:t>
      </w:r>
      <w:r>
        <w:rPr>
          <w:b/>
        </w:rPr>
        <w:t xml:space="preserve">и рекомендаций </w:t>
      </w:r>
      <w:hyperlink r:id="rId18" w:anchor="100721">
        <w:r>
          <w:rPr>
            <w:b/>
          </w:rPr>
          <w:t>C</w:t>
        </w:r>
      </w:hyperlink>
      <w:hyperlink r:id="rId19" w:anchor="100721">
        <w:r>
          <w:rPr>
            <w:b/>
          </w:rPr>
          <w:t xml:space="preserve"> </w:t>
        </w:r>
      </w:hyperlink>
      <w:r>
        <w:rPr>
          <w:b/>
        </w:rPr>
        <w:t>(уровен</w:t>
      </w:r>
      <w:r>
        <w:rPr>
          <w:b/>
        </w:rPr>
        <w:t xml:space="preserve">ь достоверности доказательств – 5). </w:t>
      </w:r>
      <w:r>
        <w:rPr>
          <w:b/>
          <w:i/>
        </w:rPr>
        <w:t>Комментарий:</w:t>
      </w:r>
      <w:r>
        <w:rPr>
          <w:i/>
        </w:rPr>
        <w:t xml:space="preserve"> лабораторные исследования мочи не требуются для диагностики ОА, но назначаются преимущественно с целью: </w:t>
      </w:r>
    </w:p>
    <w:p w:rsidR="000A3B51" w:rsidRDefault="003D0A08">
      <w:pPr>
        <w:numPr>
          <w:ilvl w:val="0"/>
          <w:numId w:val="10"/>
        </w:numPr>
        <w:spacing w:after="34" w:line="386" w:lineRule="auto"/>
        <w:ind w:right="1558"/>
      </w:pPr>
      <w:r>
        <w:rPr>
          <w:i/>
        </w:rPr>
        <w:t xml:space="preserve">идентификации потенциальных контр-индикаций к фармакотерапии;  – дифференциальной диагностики. </w:t>
      </w:r>
    </w:p>
    <w:p w:rsidR="000A3B51" w:rsidRDefault="003D0A08">
      <w:pPr>
        <w:spacing w:after="3" w:line="396" w:lineRule="auto"/>
        <w:ind w:left="939" w:right="755" w:hanging="154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    </w:t>
      </w:r>
      <w:r>
        <w:t xml:space="preserve">При наличии синовита с целью дифференциальной диагностики рекомендовано выполнить: </w:t>
      </w:r>
    </w:p>
    <w:p w:rsidR="000A3B51" w:rsidRDefault="003D0A08">
      <w:pPr>
        <w:numPr>
          <w:ilvl w:val="0"/>
          <w:numId w:val="10"/>
        </w:numPr>
        <w:spacing w:after="8" w:line="395" w:lineRule="auto"/>
        <w:ind w:right="1558"/>
      </w:pPr>
      <w:r>
        <w:t>исследование уровня СРБ в сыворотке крови, определение содержания антител к циклическому цитрулиновому пептиду (анти-CCP) в крови (АЦЦП), определение содержания ревматоидно</w:t>
      </w:r>
      <w:r>
        <w:t xml:space="preserve">го фактора в крови (IgM РФ) [60–63]. </w:t>
      </w:r>
    </w:p>
    <w:p w:rsidR="000A3B51" w:rsidRDefault="003D0A08">
      <w:pPr>
        <w:spacing w:after="428" w:line="267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20" w:anchor="100721">
        <w:r>
          <w:rPr>
            <w:b/>
          </w:rPr>
          <w:t>C</w:t>
        </w:r>
      </w:hyperlink>
      <w:hyperlink r:id="rId21" w:anchor="100721">
        <w:r>
          <w:t xml:space="preserve"> </w:t>
        </w:r>
      </w:hyperlink>
      <w:r>
        <w:rPr>
          <w:b/>
        </w:rPr>
        <w:t>(уровень достоверности доказательств – 5)</w:t>
      </w:r>
      <w:r>
        <w:t xml:space="preserve"> </w:t>
      </w:r>
    </w:p>
    <w:p w:rsidR="000A3B51" w:rsidRDefault="003D0A08">
      <w:pPr>
        <w:numPr>
          <w:ilvl w:val="0"/>
          <w:numId w:val="10"/>
        </w:numPr>
        <w:spacing w:after="35" w:line="374" w:lineRule="auto"/>
        <w:ind w:right="1558"/>
      </w:pPr>
      <w:r>
        <w:t>исследование синовиальной жидкости (цитологическое исследование синовиальной жидкости, исследование химических свойств синовиальной жидкости, исследование уровня белка в синовиальной жидкости, исследование физических свойств синовиальной жидкости) рекоменд</w:t>
      </w:r>
      <w:r>
        <w:t xml:space="preserve">уется в качестве дополнительного метода обследования всем пациентам с синовитом с целью дифференциальной диагностики с РА, микрокристаллическими или септическими артритами [27,64–68].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22" w:anchor="100721">
        <w:r>
          <w:rPr>
            <w:b/>
          </w:rPr>
          <w:t>В</w:t>
        </w:r>
      </w:hyperlink>
      <w:hyperlink r:id="rId23" w:anchor="100721">
        <w:r>
          <w:t xml:space="preserve"> </w:t>
        </w:r>
      </w:hyperlink>
      <w:r>
        <w:rPr>
          <w:b/>
        </w:rPr>
        <w:t>(уровень достоверности доказательств – 3) Комментарии:</w:t>
      </w:r>
      <w:r>
        <w:t xml:space="preserve"> </w:t>
      </w:r>
      <w:r>
        <w:rPr>
          <w:i/>
        </w:rPr>
        <w:t>п</w:t>
      </w:r>
      <w:r>
        <w:rPr>
          <w:i/>
        </w:rPr>
        <w:t>ри наличии синовита коленного сустав необходимо проведение пункции сустава с эвакуацией синовиальной жидкости с ее последующем исследованием. Для ОА характерен не воспалительный характер синовиальной жидкости: стерильная, прозрачная или слегка мутная, вязк</w:t>
      </w:r>
      <w:r>
        <w:rPr>
          <w:i/>
        </w:rPr>
        <w:t>ая, с концентрацией лейкоцитов менее 2000/мм</w:t>
      </w:r>
      <w:r>
        <w:rPr>
          <w:i/>
          <w:vertAlign w:val="superscript"/>
        </w:rPr>
        <w:t>3</w:t>
      </w:r>
      <w:r>
        <w:rPr>
          <w:i/>
        </w:rPr>
        <w:t>. Более высокие показатели характерны для воспалительных заболеваний суставов. Цитоз свыше 100 000 клеток в мм</w:t>
      </w:r>
      <w:r>
        <w:rPr>
          <w:i/>
          <w:vertAlign w:val="superscript"/>
        </w:rPr>
        <w:t>3</w:t>
      </w:r>
      <w:r>
        <w:rPr>
          <w:i/>
        </w:rPr>
        <w:t xml:space="preserve"> позволяет заподозрить наличие инфекционного артрита. При ОА преимущественно не обнаруживаются РФ, и</w:t>
      </w:r>
      <w:r>
        <w:rPr>
          <w:i/>
        </w:rPr>
        <w:t xml:space="preserve"> особенно АЦЦП. </w:t>
      </w:r>
    </w:p>
    <w:p w:rsidR="000A3B51" w:rsidRDefault="003D0A08">
      <w:pPr>
        <w:pStyle w:val="Heading2"/>
        <w:spacing w:after="208"/>
        <w:ind w:left="1063" w:right="749"/>
      </w:pPr>
      <w:r>
        <w:t>2.5 Инструментальные диагностические исследования</w:t>
      </w:r>
      <w:r>
        <w:rPr>
          <w:rFonts w:ascii="Calibri" w:eastAsia="Calibri" w:hAnsi="Calibri" w:cs="Calibri"/>
          <w:b w:val="0"/>
        </w:rPr>
        <w:t xml:space="preserve"> </w:t>
      </w:r>
    </w:p>
    <w:p w:rsidR="000A3B51" w:rsidRDefault="003D0A08">
      <w:pPr>
        <w:spacing w:after="8" w:line="388" w:lineRule="auto"/>
        <w:ind w:left="360" w:right="755" w:firstLine="708"/>
      </w:pPr>
      <w:r>
        <w:t xml:space="preserve">Рентгенологическое исследование — наиболее изученный и достоверный метод инструментальной диагностики ОА. Одним из самых важных рентгенологических симптомов, позволяющих косвенно судить о </w:t>
      </w:r>
      <w:r>
        <w:t xml:space="preserve">состоянии суставного хряща, является ширина суставной щели. Согласно рекомендациям WHO/ILAR, ширину суставной щели необходимо измерять в наиболее суженном участке.  </w:t>
      </w:r>
    </w:p>
    <w:p w:rsidR="000A3B51" w:rsidRDefault="003D0A08">
      <w:pPr>
        <w:spacing w:after="150"/>
        <w:ind w:right="755"/>
      </w:pPr>
      <w:r>
        <w:t xml:space="preserve">Нормы рентгенологической суставной щели у взрослых (по Шинцу–Фридлеру) [69]: </w:t>
      </w:r>
    </w:p>
    <w:p w:rsidR="000A3B51" w:rsidRDefault="003D0A08">
      <w:pPr>
        <w:numPr>
          <w:ilvl w:val="0"/>
          <w:numId w:val="11"/>
        </w:numPr>
        <w:spacing w:after="152"/>
        <w:ind w:right="755" w:hanging="144"/>
      </w:pPr>
      <w:r>
        <w:t xml:space="preserve">плечевой сустав – 2,0–4,0 мм; </w:t>
      </w:r>
    </w:p>
    <w:p w:rsidR="000A3B51" w:rsidRDefault="003D0A08">
      <w:pPr>
        <w:numPr>
          <w:ilvl w:val="0"/>
          <w:numId w:val="11"/>
        </w:numPr>
        <w:spacing w:after="151"/>
        <w:ind w:right="755" w:hanging="144"/>
      </w:pPr>
      <w:r>
        <w:t xml:space="preserve">пястно-фаланговые и межфаланговые суставы – 1,5 мм;  </w:t>
      </w:r>
    </w:p>
    <w:p w:rsidR="000A3B51" w:rsidRDefault="003D0A08">
      <w:pPr>
        <w:numPr>
          <w:ilvl w:val="0"/>
          <w:numId w:val="11"/>
        </w:numPr>
        <w:spacing w:after="149"/>
        <w:ind w:right="755" w:hanging="144"/>
      </w:pPr>
      <w:r>
        <w:t xml:space="preserve">тазобедренный сустав – 4,0–5,0 мм;  </w:t>
      </w:r>
    </w:p>
    <w:p w:rsidR="000A3B51" w:rsidRDefault="003D0A08">
      <w:pPr>
        <w:numPr>
          <w:ilvl w:val="0"/>
          <w:numId w:val="11"/>
        </w:numPr>
        <w:spacing w:after="152"/>
        <w:ind w:right="755" w:hanging="144"/>
      </w:pPr>
      <w:r>
        <w:t xml:space="preserve">коленный сустав – 6,0–8,0 мм; </w:t>
      </w:r>
    </w:p>
    <w:p w:rsidR="000A3B51" w:rsidRDefault="003D0A08">
      <w:pPr>
        <w:numPr>
          <w:ilvl w:val="0"/>
          <w:numId w:val="11"/>
        </w:numPr>
        <w:ind w:right="755" w:hanging="144"/>
      </w:pPr>
      <w:r>
        <w:t xml:space="preserve">плюснефаланговые суставы – 2,0–2,5 мм.  </w:t>
      </w:r>
    </w:p>
    <w:p w:rsidR="000A3B51" w:rsidRDefault="003D0A08">
      <w:pPr>
        <w:spacing w:after="47" w:line="377" w:lineRule="auto"/>
        <w:ind w:right="755"/>
      </w:pPr>
      <w:r>
        <w:t xml:space="preserve">В зависимости от степени выраженности сужения суставной щели, </w:t>
      </w:r>
      <w:r>
        <w:t xml:space="preserve">субхондрального остеосклероза и размеров краевых костных разрастаний определяется стадия ОА (см. классификацию Келлгрена и Лоуренса). </w:t>
      </w:r>
    </w:p>
    <w:p w:rsidR="000A3B51" w:rsidRDefault="003D0A08">
      <w:pPr>
        <w:numPr>
          <w:ilvl w:val="1"/>
          <w:numId w:val="11"/>
        </w:numPr>
        <w:spacing w:after="9" w:line="395" w:lineRule="auto"/>
        <w:ind w:right="755"/>
      </w:pPr>
      <w:r>
        <w:t>При подозрении и ОА коленных суставов рекомендовано выполнять рентгенографию коленных суставов в передне-задней и боковой</w:t>
      </w:r>
      <w:r>
        <w:t xml:space="preserve"> проекциях в положении стоя, для исследования пателлофеморального сустава – в боковой проекции при сгибании с целью диагностики, определения рентгенологической стадии и оценки прогрессирования [27,45,70–72]. </w:t>
      </w:r>
      <w:r>
        <w:rPr>
          <w:b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С (уровень</w:t>
      </w:r>
      <w:r>
        <w:rPr>
          <w:b/>
        </w:rPr>
        <w:t xml:space="preserve"> достоверности доказательств –5). Комментарии:</w:t>
      </w:r>
      <w:r>
        <w:t xml:space="preserve"> </w:t>
      </w:r>
      <w:r>
        <w:rPr>
          <w:i/>
        </w:rPr>
        <w:t>обзорная рентгенография коленных суставов в прямой проекции (с захватом обоих коленных суставов, в положении стоя с полусогнутыми коленными суставами) и дополнительно боковой проекции является «золотым стандар</w:t>
      </w:r>
      <w:r>
        <w:rPr>
          <w:i/>
        </w:rPr>
        <w:t>том» диагностики ОА коленных суставов. Классическими рентгенологическими характеристиками считаются сужение суставной щели, остеофиты, субхондральный склероз кости и субхондральные кисты. При наличии указанных признаков дальнейшего инструментального обслед</w:t>
      </w:r>
      <w:r>
        <w:rPr>
          <w:i/>
        </w:rPr>
        <w:t xml:space="preserve">ования (магнитно-резонансная томография, УЗИ, КТ) для диагностики ОА не требуется. Целесообразно раз в 1-2 года проводить рентгенографию коленных суставов для оценки эффективности терапии, исключения </w:t>
      </w:r>
    </w:p>
    <w:p w:rsidR="000A3B51" w:rsidRDefault="003D0A08">
      <w:pPr>
        <w:spacing w:after="181" w:line="259" w:lineRule="auto"/>
        <w:ind w:left="355" w:right="753"/>
      </w:pPr>
      <w:r>
        <w:rPr>
          <w:i/>
        </w:rPr>
        <w:t>«быстропрогрессирующей» формы заболевания</w:t>
      </w:r>
      <w:r>
        <w:t xml:space="preserve">. </w:t>
      </w:r>
    </w:p>
    <w:p w:rsidR="000A3B51" w:rsidRDefault="003D0A08">
      <w:pPr>
        <w:numPr>
          <w:ilvl w:val="1"/>
          <w:numId w:val="11"/>
        </w:numPr>
        <w:spacing w:line="393" w:lineRule="auto"/>
        <w:ind w:right="755"/>
      </w:pPr>
      <w:r>
        <w:t>При подозре</w:t>
      </w:r>
      <w:r>
        <w:t xml:space="preserve">нии и ОА тазобедренных суставов  рекомендовано проводить рентгенографию таза с целью диагностики, определения рентгенологической стадии и оценки прогрессирования  [33,73,74]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 xml:space="preserve">Уровень убедительности рекомендаций С (уровень достоверности доказательств – 5). </w:t>
      </w:r>
      <w:r>
        <w:rPr>
          <w:b/>
        </w:rPr>
        <w:t xml:space="preserve"> Комментарии</w:t>
      </w:r>
      <w:r>
        <w:t xml:space="preserve">: </w:t>
      </w:r>
      <w:r>
        <w:rPr>
          <w:i/>
        </w:rPr>
        <w:t>целесообразно обзорную рентгенографию таза выполнять в переднезадней проекции с внутренней ротацией стоп до 20° всем пациентам с подозрением на ОА тазобедренного сустава. Классическими рентгенологическими характеристиками считаются сужение су</w:t>
      </w:r>
      <w:r>
        <w:rPr>
          <w:i/>
        </w:rPr>
        <w:t>ставной щели, остеофиты, субхондральный склероз кости и субхондральные кисты (чувствительность 61 – 91%, специфичность 60-90% для отдельных признаков) [33].</w:t>
      </w:r>
      <w:r>
        <w:rPr>
          <w:color w:val="212121"/>
        </w:rPr>
        <w:t xml:space="preserve">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Прицельная рентгенография тазобедренных суставов в положении стоя или лежа используется только как дополнительная, в целях уточнения диагноза или перед планируемым хирургическом вмешательстве на данном суставе [74]</w:t>
      </w:r>
      <w:r>
        <w:t xml:space="preserve">.  </w:t>
      </w:r>
    </w:p>
    <w:p w:rsidR="000A3B51" w:rsidRDefault="003D0A08">
      <w:pPr>
        <w:spacing w:after="21" w:line="387" w:lineRule="auto"/>
        <w:ind w:right="755"/>
      </w:pPr>
      <w:r>
        <w:rPr>
          <w:i/>
        </w:rPr>
        <w:t>Необходимо раз в 1-2 года проводить об</w:t>
      </w:r>
      <w:r>
        <w:rPr>
          <w:i/>
        </w:rPr>
        <w:t>зорную рентгенографию таза для оценки эффективности терапии, исключения «быстропрогрессирующей» формы заболевания</w:t>
      </w:r>
      <w:r>
        <w:t xml:space="preserve">.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При подозрении и ОА мелких суставов рекомендовано проводить рентгенографию кистей с целью диагностики, определения рентгенологической стади</w:t>
      </w:r>
      <w:r>
        <w:t xml:space="preserve">и и оценки прогрессирования  [28, 75]. </w:t>
      </w:r>
    </w:p>
    <w:p w:rsidR="000A3B51" w:rsidRDefault="003D0A08">
      <w:pPr>
        <w:spacing w:after="9" w:line="386" w:lineRule="auto"/>
        <w:ind w:left="355" w:right="753"/>
      </w:pPr>
      <w:r>
        <w:rPr>
          <w:b/>
        </w:rPr>
        <w:t>Уровень убедительности рекомендаций С (уровень достоверности доказательств – 5). Комментарии</w:t>
      </w:r>
      <w:r>
        <w:t xml:space="preserve">: </w:t>
      </w:r>
      <w:r>
        <w:rPr>
          <w:i/>
        </w:rPr>
        <w:t xml:space="preserve">рентгенографию суставов двух </w:t>
      </w:r>
      <w:r>
        <w:rPr>
          <w:i/>
        </w:rPr>
        <w:t xml:space="preserve">кистей в прямой проекции на одной пленке рекомендуется выполнять при проведении диагностики, в том числе дифференциальной. Типичные признаки – сужение суставной щели, образование остеофитов, субхондральный склероз кости и субхондральные кисты. Для ОА этой </w:t>
      </w:r>
      <w:r>
        <w:rPr>
          <w:i/>
        </w:rPr>
        <w:t xml:space="preserve">локализации не характерны поражение лучезапястных суставов, подвывихи в ПЯФС [76, 77]. </w:t>
      </w:r>
      <w: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У части пациентов с ОА суставов кистей встречается эрозивная форма: в межфаланговых суставах определяется деформации по типу «крыла чайки» или «зубьев пилы». Этот фено</w:t>
      </w:r>
      <w:r>
        <w:rPr>
          <w:i/>
        </w:rPr>
        <w:t>тип ОА характеризуется частым вовлечением в патологический процесс межфаланговых суставов кистей [78].</w:t>
      </w:r>
      <w:r>
        <w:t xml:space="preserve"> </w:t>
      </w:r>
    </w:p>
    <w:p w:rsidR="000A3B51" w:rsidRDefault="003D0A08">
      <w:pPr>
        <w:tabs>
          <w:tab w:val="center" w:pos="1123"/>
          <w:tab w:val="center" w:pos="5746"/>
        </w:tabs>
        <w:spacing w:after="102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Не рекомендовано для диагностики ОА 1 ПлФС выполнять рентгенографию </w:t>
      </w:r>
    </w:p>
    <w:p w:rsidR="000A3B51" w:rsidRDefault="003D0A08">
      <w:pPr>
        <w:spacing w:after="163"/>
        <w:ind w:left="1078" w:right="755"/>
      </w:pPr>
      <w:r>
        <w:t xml:space="preserve">I пальца стопы [36, 79].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С (уровень достов</w:t>
      </w:r>
      <w:r>
        <w:rPr>
          <w:b/>
        </w:rPr>
        <w:t>ерности доказательств – 4). Комментарии</w:t>
      </w:r>
      <w:r>
        <w:t xml:space="preserve">: </w:t>
      </w:r>
      <w:r>
        <w:rPr>
          <w:i/>
        </w:rPr>
        <w:t>рентгенографию стоп в двух проекциях целесообраззно выполнять только при проведении дифференциальной диагностики, перед консультацией врача- травматолога-ортопеда или планируемым хирургическим вмешательством. Прямая</w:t>
      </w:r>
      <w:r>
        <w:rPr>
          <w:i/>
        </w:rPr>
        <w:t xml:space="preserve"> проекция выполняется следующим образом: расстояние от рентгеновской трубки до обследуемой стопы должно быть равно 1 метру, что позволяет точно определить размеры плюсневых костей и делается под углом 15 градусов относительно вертикальной плоскости, что в </w:t>
      </w:r>
      <w:r>
        <w:rPr>
          <w:i/>
        </w:rPr>
        <w:t xml:space="preserve">конечном итоге позволяет получить строгую перпендикулярную проекцию к плюсневым костям [49, 80, 81].  </w:t>
      </w:r>
    </w:p>
    <w:p w:rsidR="000A3B51" w:rsidRDefault="003D0A08">
      <w:pPr>
        <w:numPr>
          <w:ilvl w:val="0"/>
          <w:numId w:val="12"/>
        </w:numPr>
        <w:spacing w:after="12" w:line="394" w:lineRule="auto"/>
        <w:ind w:right="755"/>
      </w:pPr>
      <w:r>
        <w:t xml:space="preserve">Не рекомендовано для диагностики ОА дугоотростчатых (фасеточных) суставов выполнять рентгенографию позвоночника [31]. 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>Уровень убедительности рекомендац</w:t>
      </w:r>
      <w:r>
        <w:rPr>
          <w:b/>
        </w:rPr>
        <w:t>ий С (уровень достоверности доказательств - 5). Комментарии:</w:t>
      </w:r>
      <w:r>
        <w:rPr>
          <w:i/>
        </w:rPr>
        <w:t xml:space="preserve"> рентгенографию одного отдела позвоночника, при необходимости с функциональными пробами, целесообразно выполнять при наличии у пациента подострой или хронической боли в позвоночнике для исключения</w:t>
      </w:r>
      <w:r>
        <w:rPr>
          <w:i/>
        </w:rPr>
        <w:t xml:space="preserve"> специфического характера заболевания [82, 83].</w:t>
      </w:r>
      <w:r>
        <w:rPr>
          <w:b/>
          <w:i/>
        </w:rPr>
        <w:t xml:space="preserve"> </w:t>
      </w:r>
      <w:r>
        <w:rPr>
          <w:color w:val="212121"/>
        </w:rPr>
        <w:t xml:space="preserve">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Рентгенография позвоночника позволяет выявить врожденные аномалии и деформации, переломы позвонков, спондилолистез, а при проведении функциональных проб – нестабильность. Классические рентгенологические пр</w:t>
      </w:r>
      <w:r>
        <w:rPr>
          <w:i/>
        </w:rPr>
        <w:t xml:space="preserve">изнаки ОА ФС включают: сужение суставной щели, остеофиты, субхондральные кисты и/или эрозии, гипертрофию суставного отростка [31]. </w:t>
      </w:r>
    </w:p>
    <w:p w:rsidR="000A3B51" w:rsidRDefault="003D0A08">
      <w:pPr>
        <w:numPr>
          <w:ilvl w:val="0"/>
          <w:numId w:val="12"/>
        </w:numPr>
        <w:spacing w:after="39" w:line="369" w:lineRule="auto"/>
        <w:ind w:right="755"/>
      </w:pPr>
      <w:r>
        <w:t>В качестве дополнительного метода выявления остеонекроза, остеита, синовита, повреждение сухожилий, связок и/или мышц рекоме</w:t>
      </w:r>
      <w:r>
        <w:t xml:space="preserve">ндовано проведение МРТ суставов [52, 84, 85] </w:t>
      </w:r>
    </w:p>
    <w:p w:rsidR="000A3B51" w:rsidRDefault="003D0A08">
      <w:pPr>
        <w:spacing w:after="13" w:line="386" w:lineRule="auto"/>
        <w:ind w:left="355" w:right="753"/>
      </w:pPr>
      <w:r>
        <w:rPr>
          <w:b/>
        </w:rPr>
        <w:t xml:space="preserve">Уровень убедительности рекомендаций С (уровень достоверности доказательств - 4)  </w:t>
      </w:r>
      <w:r>
        <w:rPr>
          <w:b/>
          <w:i/>
        </w:rPr>
        <w:t>Комментарии:</w:t>
      </w:r>
      <w:r>
        <w:t xml:space="preserve"> </w:t>
      </w:r>
      <w:r>
        <w:rPr>
          <w:i/>
        </w:rPr>
        <w:t>показания к проведению МРТ коленных, тазобедренных суставов (один сустав) и стопы - подозрение на развитие остеонекр</w:t>
      </w:r>
      <w:r>
        <w:rPr>
          <w:i/>
        </w:rPr>
        <w:t xml:space="preserve">оза, остеита, синовита, повреждение менисков (при ОА коленных суставов), сухожилий, связок и/или мышц. МРТ коленных суставов помогает выявить ранние структурные повреждения, которые помогают уточнить диагноз при заболевании на ранних стадиях.  </w:t>
      </w:r>
    </w:p>
    <w:p w:rsidR="000A3B51" w:rsidRDefault="003D0A08">
      <w:pPr>
        <w:numPr>
          <w:ilvl w:val="0"/>
          <w:numId w:val="13"/>
        </w:numPr>
        <w:spacing w:after="34" w:line="386" w:lineRule="auto"/>
        <w:ind w:right="753" w:firstLine="708"/>
      </w:pPr>
      <w:r>
        <w:rPr>
          <w:i/>
        </w:rPr>
        <w:t>При ОА суставов кистей МРТ целесообразно выполнять у пациентов только с эрозивным ОА для определения выраженности воспалительного процесса. МРТ при данном фенотипе заболевания позволяет чаще, чем стандартная рентгенография, обнаруживать ассоциированные с О</w:t>
      </w:r>
      <w:r>
        <w:rPr>
          <w:i/>
        </w:rPr>
        <w:t xml:space="preserve">А эрозии в проксимальных межфаланговых и кортикальные дефекты в ПЯФС.   </w:t>
      </w:r>
    </w:p>
    <w:p w:rsidR="000A3B51" w:rsidRDefault="003D0A08">
      <w:pPr>
        <w:numPr>
          <w:ilvl w:val="0"/>
          <w:numId w:val="13"/>
        </w:numPr>
        <w:spacing w:after="34" w:line="386" w:lineRule="auto"/>
        <w:ind w:right="753" w:firstLine="708"/>
      </w:pPr>
      <w:r>
        <w:rPr>
          <w:i/>
        </w:rPr>
        <w:t>МРТ, КТ, ОФЭКТ одного отдела позвоночника используются в основном при наличии признаков «опасных» заболеваний, «красных флажков» для исключения травмы, опухоли, септического поражения</w:t>
      </w:r>
      <w:r>
        <w:rPr>
          <w:i/>
        </w:rPr>
        <w:t xml:space="preserve">, спондилоартрита и т.д.  </w:t>
      </w:r>
    </w:p>
    <w:p w:rsidR="000A3B51" w:rsidRDefault="003D0A08">
      <w:pPr>
        <w:spacing w:after="12" w:line="393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В качестве дополнительного метода для выявления синовита, повреждения сухожилий, связок и/или мышц рекомендовано проведение УЗИ суставов[52, 84–87] </w:t>
      </w:r>
    </w:p>
    <w:p w:rsidR="000A3B51" w:rsidRDefault="003D0A08">
      <w:pPr>
        <w:spacing w:after="247" w:line="388" w:lineRule="auto"/>
        <w:ind w:left="360" w:right="0" w:firstLine="0"/>
        <w:jc w:val="left"/>
      </w:pPr>
      <w:r>
        <w:rPr>
          <w:b/>
        </w:rPr>
        <w:t>Уровень убедительности рекомендаций С (уровень достоверности доказательств - 5</w:t>
      </w:r>
      <w:r>
        <w:rPr>
          <w:b/>
        </w:rPr>
        <w:t>)</w:t>
      </w:r>
      <w:r>
        <w:rPr>
          <w:b/>
          <w:i/>
        </w:rPr>
        <w:t xml:space="preserve"> </w:t>
      </w:r>
      <w:r>
        <w:rPr>
          <w:i/>
        </w:rPr>
        <w:t xml:space="preserve"> </w:t>
      </w:r>
      <w:r>
        <w:rPr>
          <w:b/>
          <w:i/>
        </w:rPr>
        <w:t>Комментарии:</w:t>
      </w:r>
      <w:r>
        <w:t xml:space="preserve"> </w:t>
      </w:r>
      <w:r>
        <w:rPr>
          <w:i/>
        </w:rPr>
        <w:t>показания к проведению УЗИ коленных и тазобедренных суставов при ОА - диагностика синовита; подозрение на повреждение менисков (для коленных суставов), сухожилий, связок, мышц; подозрение на наличие/разрыв кисты Бейкера (для коленных сустав</w:t>
      </w:r>
      <w:r>
        <w:rPr>
          <w:i/>
        </w:rPr>
        <w:t xml:space="preserve">ов), выявление бурсита; во время внутрисуставного введения лекарственных препаратов или зарегистрированных изделий для медицинского назначения при ОА. </w:t>
      </w:r>
    </w:p>
    <w:p w:rsidR="000A3B51" w:rsidRDefault="003D0A08">
      <w:pPr>
        <w:pStyle w:val="Heading1"/>
        <w:spacing w:line="356" w:lineRule="auto"/>
        <w:ind w:left="319" w:right="319"/>
      </w:pPr>
      <w:r>
        <w:t>3. Лечение, включая медикаментозную и немедикаментозную терапии, медицинские показания и противопоказани</w:t>
      </w:r>
      <w:r>
        <w:t>я к применению методов лечения</w:t>
      </w:r>
      <w:r>
        <w:rPr>
          <w:b w:val="0"/>
          <w:sz w:val="24"/>
        </w:rPr>
        <w:t xml:space="preserve"> </w:t>
      </w:r>
    </w:p>
    <w:p w:rsidR="000A3B51" w:rsidRDefault="003D0A08">
      <w:pPr>
        <w:pStyle w:val="Heading2"/>
        <w:spacing w:after="161" w:line="259" w:lineRule="auto"/>
        <w:ind w:left="355" w:right="0"/>
        <w:jc w:val="left"/>
      </w:pPr>
      <w:r>
        <w:rPr>
          <w:b w:val="0"/>
          <w:sz w:val="24"/>
          <w:u w:val="single" w:color="000000"/>
        </w:rPr>
        <w:t>Основные методы ведения пациентов с ОА</w:t>
      </w:r>
      <w:r>
        <w:rPr>
          <w:b w:val="0"/>
          <w:sz w:val="24"/>
        </w:rPr>
        <w:t xml:space="preserve">  </w:t>
      </w:r>
    </w:p>
    <w:p w:rsidR="000A3B51" w:rsidRDefault="003D0A08">
      <w:pPr>
        <w:numPr>
          <w:ilvl w:val="0"/>
          <w:numId w:val="14"/>
        </w:numPr>
        <w:spacing w:after="16" w:line="385" w:lineRule="auto"/>
        <w:ind w:right="755"/>
      </w:pPr>
      <w:r>
        <w:t>ОА – потенциально тяжелое [88] гетерогенное заболевание с разнообразными фенотипами (метаболический, воспалительный, «остеопоротический», смешанный и др.), обычно требующее мультидисц</w:t>
      </w:r>
      <w:r>
        <w:t xml:space="preserve">иплинарного терапевтического подхода [56, 89–95] </w:t>
      </w:r>
    </w:p>
    <w:p w:rsidR="000A3B51" w:rsidRDefault="003D0A08">
      <w:pPr>
        <w:numPr>
          <w:ilvl w:val="0"/>
          <w:numId w:val="14"/>
        </w:numPr>
        <w:spacing w:after="12" w:line="388" w:lineRule="auto"/>
        <w:ind w:right="755"/>
      </w:pPr>
      <w:r>
        <w:t xml:space="preserve">Терапия должна быть оптимальной и основываться на совместном принятии решения врачом и пациентом [96, 97].  </w:t>
      </w:r>
    </w:p>
    <w:p w:rsidR="000A3B51" w:rsidRDefault="003D0A08">
      <w:pPr>
        <w:numPr>
          <w:ilvl w:val="0"/>
          <w:numId w:val="14"/>
        </w:numPr>
        <w:spacing w:after="15" w:line="387" w:lineRule="auto"/>
        <w:ind w:right="755"/>
      </w:pPr>
      <w:r>
        <w:t>Оптимальная терапия ОА базируется на комбинации нефармакологических, медикаментозных и хирургичес</w:t>
      </w:r>
      <w:r>
        <w:t xml:space="preserve">ких методов лечения [50, 51, 98–102]. </w:t>
      </w:r>
      <w:r>
        <w:rPr>
          <w:color w:val="FF0000"/>
        </w:rPr>
        <w:t xml:space="preserve"> </w:t>
      </w:r>
    </w:p>
    <w:p w:rsidR="000A3B51" w:rsidRDefault="003D0A08">
      <w:pPr>
        <w:numPr>
          <w:ilvl w:val="0"/>
          <w:numId w:val="14"/>
        </w:numPr>
        <w:spacing w:after="13" w:line="393" w:lineRule="auto"/>
        <w:ind w:right="755"/>
      </w:pPr>
      <w:r>
        <w:t xml:space="preserve">Рекомендовано проводить лечение пациентов с ОА персонифицированно (согласно общему клиническому статусу и наличию сопутствующих заболеваний), учитывая индивидуальные потребности пациента с </w:t>
      </w:r>
      <w:r>
        <w:t xml:space="preserve">целью достижения оптимальных результатов лечения [103–106].  </w:t>
      </w:r>
    </w:p>
    <w:p w:rsidR="000A3B51" w:rsidRDefault="003D0A08">
      <w:pPr>
        <w:spacing w:after="258" w:line="386" w:lineRule="auto"/>
        <w:ind w:left="355" w:right="753"/>
      </w:pPr>
      <w:r>
        <w:rPr>
          <w:b/>
        </w:rPr>
        <w:t>Уровень убедительности рекомендаций - С (уровень достоверности доказательств- 5) Комментарии:</w:t>
      </w:r>
      <w:r>
        <w:t xml:space="preserve"> </w:t>
      </w:r>
      <w:r>
        <w:rPr>
          <w:i/>
        </w:rPr>
        <w:t>длительное время терапия при ОА была направлена исключительно на уменьшение боли, улучшение качества</w:t>
      </w:r>
      <w:r>
        <w:rPr>
          <w:i/>
        </w:rPr>
        <w:t xml:space="preserve"> жизни и функционального состояния суставов, предотвращение/ограничение рентгенологического прогрессирования заболевания. В последние годы подходы к лечению ОА существенно расширились: большое внимание уделяется коррекции воспалительных, биомеханических и </w:t>
      </w:r>
      <w:r>
        <w:rPr>
          <w:i/>
        </w:rPr>
        <w:t>метаболических изменений, устранению социальной изоляции, депрессии и тревоги. Сегодня для эффективного контроля боли при ОА необходимо учитывать не только ее вид (ноцицептивная, невропатическая и/или ноципластическая), но и психологические (настроение, де</w:t>
      </w:r>
      <w:r>
        <w:rPr>
          <w:i/>
        </w:rPr>
        <w:t>прессия, катастрофизация, негативные поведенческие реакции и др.) и демографические (возраст, пол и др.) особенности пациента, факторы окружающей среды и социальные условия, образ жизни, физическое благополучие, биологические и медицинские аспекты, убежден</w:t>
      </w:r>
      <w:r>
        <w:rPr>
          <w:i/>
        </w:rPr>
        <w:t xml:space="preserve">ия и ценности больного. Только признавая важность комплексного, пациенториентированного подхода в лечении ОА, врачи могут эффективно лечить больных с ОА.  </w:t>
      </w:r>
    </w:p>
    <w:p w:rsidR="000A3B51" w:rsidRDefault="003D0A08">
      <w:pPr>
        <w:pStyle w:val="Heading2"/>
        <w:spacing w:after="164"/>
        <w:ind w:left="370" w:right="749"/>
      </w:pPr>
      <w:r>
        <w:t xml:space="preserve">3.1 Консервативное лечение </w:t>
      </w:r>
    </w:p>
    <w:p w:rsidR="000A3B51" w:rsidRDefault="003D0A08">
      <w:pPr>
        <w:spacing w:after="0" w:line="369" w:lineRule="auto"/>
        <w:ind w:right="755"/>
      </w:pPr>
      <w:r>
        <w:t>Существенный прогресс в понимании патогенетических механизмов ОА привел к разработке стратегий выявления его на ранних стадиях, а также междисциплинарного и мультимодального лечения [102,107,108]. Длительное время терапия при ОА была направлена исключитель</w:t>
      </w:r>
      <w:r>
        <w:t>но на уменьшение боли, улучшение качества жизни и функционального состояния суставов, предотвращение/ограничение прогрессирования заболевания. В последние годы подходы к лечению ОА существенно расширились: большое внимание уделяется коррекции воспалительны</w:t>
      </w:r>
      <w:r>
        <w:t>х, биомеханических и метаболических изменений, устранению социальной изоляции, депрессии и тревоги. Сегодня для эффективного контроля боли при ОА необходимо учитывать не только ее вид (ноцицептивная, невропатическая и/или ноципластическая), но и психологич</w:t>
      </w:r>
      <w:r>
        <w:t>еские (настроение, депрессия, катастрофизация, негативные поведенческие реакции и др.) и демографические (возраст, пол и др.) особенности пациента, факторы окружающей среды и социальные условия, образ жизни, физическое благополучие, биологические и медицин</w:t>
      </w:r>
      <w:r>
        <w:t>ские аспекты, убеждения и ценности больного. Благодаря пониманию необходимости комплексного и пациент-ориентированного подхода при лечении ОА, становится возможным создание более персонализированных и эффективных планов, ориентированных на индивидуальные п</w:t>
      </w:r>
      <w:r>
        <w:t>отребности пациентов.</w:t>
      </w:r>
      <w:r>
        <w:rPr>
          <w:color w:val="FF0000"/>
        </w:rPr>
        <w:t xml:space="preserve"> </w:t>
      </w:r>
    </w:p>
    <w:p w:rsidR="000A3B51" w:rsidRDefault="003D0A08">
      <w:pPr>
        <w:spacing w:after="0" w:line="374" w:lineRule="auto"/>
        <w:ind w:right="755"/>
      </w:pPr>
      <w:r>
        <w:t>Перед назначением лекарств, важно обсудить с пациентом все «за» и «против» каждого варианта, включая возможные побочные эффекты. Это повысит приверженность лечению, снизит тревожность и позволит учесть индивидуальные особенности паци</w:t>
      </w:r>
      <w:r>
        <w:t xml:space="preserve">ента. Открытый диалог укрепляет доверие и способствует эффективному лечению. При этом принципиальную позицию в терапии ОА занимают болезнь-модифицирующие препараты при ОА (Disease-Modifying Osteoarthritis Drugs, DMOADs) [109].  </w:t>
      </w:r>
    </w:p>
    <w:p w:rsidR="000A3B51" w:rsidRDefault="003D0A08">
      <w:pPr>
        <w:spacing w:line="391" w:lineRule="auto"/>
        <w:ind w:right="755"/>
      </w:pPr>
      <w:r>
        <w:t>Ранее медикаменты, входящие</w:t>
      </w:r>
      <w:r>
        <w:t xml:space="preserve"> в эту группу, называли симптоматическими средствами замедленного действия (SYSADOA), или «хондропротекторами», которые по международной классификации </w:t>
      </w:r>
      <w:hyperlink r:id="rId24">
        <w:r>
          <w:t>лекарственных средств</w:t>
        </w:r>
      </w:hyperlink>
      <w:hyperlink r:id="rId25">
        <w:r>
          <w:t xml:space="preserve"> </w:t>
        </w:r>
      </w:hyperlink>
      <w:r>
        <w:t>АТХ (относят к группе М01 – «Противовоспалительные и противоревматические препараты».</w:t>
      </w:r>
      <w:r>
        <w:rPr>
          <w:i/>
          <w:color w:val="FF0000"/>
        </w:rPr>
        <w:t xml:space="preserve"> </w:t>
      </w:r>
      <w:r>
        <w:t xml:space="preserve"> В настоящее время их относят к средствам базисной терапии данного заболевания, и в соответствии с международными и национальными алгоритмами лечения ОА он</w:t>
      </w:r>
      <w:r>
        <w:t xml:space="preserve">и должны назначаться сразу после установления диагноза.  </w:t>
      </w:r>
    </w:p>
    <w:p w:rsidR="000A3B51" w:rsidRDefault="003D0A08">
      <w:pPr>
        <w:pStyle w:val="Heading3"/>
        <w:spacing w:after="234"/>
        <w:ind w:left="1063" w:right="749"/>
      </w:pPr>
      <w:r>
        <w:t xml:space="preserve">3.1.1 Базисная терапия остеоартрита </w:t>
      </w:r>
    </w:p>
    <w:p w:rsidR="000A3B51" w:rsidRDefault="003D0A08">
      <w:pPr>
        <w:numPr>
          <w:ilvl w:val="0"/>
          <w:numId w:val="15"/>
        </w:numPr>
        <w:spacing w:after="3" w:line="393" w:lineRule="auto"/>
        <w:ind w:right="755"/>
      </w:pPr>
      <w:r>
        <w:t>Рекомендовано всем больным с первичным генерализованным ОА сразу после установления диагноза назначение болезнь-модифицирующих препаратов (хондроитина сульфат и/</w:t>
      </w:r>
      <w:r>
        <w:t>или глюкозамин, или неомыляемые соединения авокадо и сои, или диацереиин, биоактивный концентрат из мелких морских рыб или гликозаминогликан-пептидный комплекс)</w:t>
      </w:r>
      <w:r>
        <w:rPr>
          <w:color w:val="FF0000"/>
        </w:rPr>
        <w:t xml:space="preserve"> </w:t>
      </w:r>
      <w:r>
        <w:t xml:space="preserve">[50, 51,60,98,100,108–123]. </w:t>
      </w:r>
    </w:p>
    <w:p w:rsidR="000A3B51" w:rsidRDefault="003D0A08">
      <w:pPr>
        <w:spacing w:after="0" w:line="395" w:lineRule="auto"/>
        <w:ind w:left="936" w:right="755"/>
      </w:pPr>
      <w:r>
        <w:t>Таблица 4. Коды АТХ и фармакотерапевтические группы болезнь-модифи</w:t>
      </w:r>
      <w:r>
        <w:t xml:space="preserve">цирующих препаратов  </w:t>
      </w:r>
    </w:p>
    <w:p w:rsidR="000A3B51" w:rsidRDefault="003D0A08">
      <w:pPr>
        <w:spacing w:after="0" w:line="259" w:lineRule="auto"/>
        <w:ind w:left="320" w:right="0" w:firstLine="0"/>
        <w:jc w:val="left"/>
      </w:pPr>
      <w:r>
        <w:rPr>
          <w:noProof/>
        </w:rPr>
        <w:drawing>
          <wp:inline distT="0" distB="0" distL="0" distR="0">
            <wp:extent cx="6108193" cy="6894576"/>
            <wp:effectExtent l="0" t="0" r="0" b="0"/>
            <wp:docPr id="225430" name="Picture 2254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430" name="Picture 22543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08193" cy="689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Комментарии:</w:t>
      </w:r>
      <w:r>
        <w:t xml:space="preserve"> </w:t>
      </w:r>
      <w:r>
        <w:rPr>
          <w:i/>
        </w:rPr>
        <w:t>симптоматический эффект у болезнь-модифицирующих препаратов при ОА развивается через 4-12 недель после начала приема, для структурно-модифицирующего действия препаратов продолжительность лечения должна составлять не мен</w:t>
      </w:r>
      <w:r>
        <w:rPr>
          <w:i/>
        </w:rPr>
        <w:t>ее 2-х лет. В отличие от НПВП после прекращения лечения они обладают эффектом последействия в течение 2-4-х месяцев. Однако последние исследования показывают, что положительные результаты, полученные при применении фармакологически обоснованных и хорошо из</w:t>
      </w:r>
      <w:r>
        <w:rPr>
          <w:i/>
        </w:rPr>
        <w:t>ученных лекарственных препаратов, нельзя распространять на биологически активные добавки (БАДы) и другие вещества, не имеющих доказательную базу [100,124,125]. Следует подчеркнуть, что доказательная база эффективности болезнь-модифицирующих препаратов варь</w:t>
      </w:r>
      <w:r>
        <w:rPr>
          <w:i/>
        </w:rPr>
        <w:t>ирует в зависимости от локализации поражения.</w:t>
      </w:r>
      <w:r>
        <w:t xml:space="preserve"> </w:t>
      </w:r>
      <w:r>
        <w:rPr>
          <w:i/>
          <w:color w:val="FF0000"/>
        </w:rPr>
        <w:t xml:space="preserve">  </w:t>
      </w:r>
    </w:p>
    <w:p w:rsidR="000A3B51" w:rsidRDefault="003D0A08">
      <w:pPr>
        <w:numPr>
          <w:ilvl w:val="0"/>
          <w:numId w:val="15"/>
        </w:numPr>
        <w:spacing w:after="137" w:line="388" w:lineRule="auto"/>
        <w:ind w:right="755"/>
      </w:pPr>
      <w:r>
        <w:t>Рекомендованы препараты хондроитина сульфата, глюкозамина, а также их комбинация для эффективного облегчения симптоматики ОА различных локализаций и получения структурно-модифицирующего эффекта при длительно</w:t>
      </w:r>
      <w:r>
        <w:t xml:space="preserve">м их использовании [48,100,109,110,120,121,123,126–132]. </w:t>
      </w:r>
    </w:p>
    <w:p w:rsidR="000A3B51" w:rsidRDefault="003D0A08">
      <w:pPr>
        <w:spacing w:after="2" w:line="386" w:lineRule="auto"/>
        <w:ind w:left="355" w:right="753"/>
      </w:pPr>
      <w:r>
        <w:rPr>
          <w:b/>
        </w:rPr>
        <w:t>Уровень убедительности рекомендаций В</w:t>
      </w:r>
      <w:r>
        <w:t xml:space="preserve"> </w:t>
      </w:r>
      <w:r>
        <w:rPr>
          <w:b/>
        </w:rPr>
        <w:t xml:space="preserve">(уровень достоверности доказательств –1). Комментарии: </w:t>
      </w:r>
      <w:r>
        <w:rPr>
          <w:i/>
        </w:rPr>
        <w:t>глюкозамин, хондроитина сульфат и их комбинации наиболее изучены при лечении генерализованного ОА. Они об</w:t>
      </w:r>
      <w:r>
        <w:rPr>
          <w:i/>
        </w:rPr>
        <w:t>ладают обезболивающим действием, замедляют прогрессирование заболевания (доказательства получены при ОА коленных, тазобедренных суставов, а также при ОА суставов кистей, в том числе при эрозивной форме заболевания) и уменьшают риски в необходимости эндопро</w:t>
      </w:r>
      <w:r>
        <w:rPr>
          <w:i/>
        </w:rPr>
        <w:t xml:space="preserve">тезирования коленных и тазобедренных суставов [133–135].  </w:t>
      </w:r>
    </w:p>
    <w:p w:rsidR="000A3B51" w:rsidRDefault="003D0A08">
      <w:pPr>
        <w:spacing w:after="4" w:line="386" w:lineRule="auto"/>
        <w:ind w:left="355" w:right="753"/>
      </w:pPr>
      <w:r>
        <w:rPr>
          <w:i/>
        </w:rPr>
        <w:t xml:space="preserve">Выраженный эффект наступает через 4–12 недель. Рекомендуемые суточные дозы: 1500 мг/сутки для глюкозамина и 1000 мг/сутки - хондроитина </w:t>
      </w:r>
      <w:r>
        <w:rPr>
          <w:i/>
        </w:rPr>
        <w:t>сульфата. При комбинированном применении дозировки глюкозамина и хондроитина сульфат могут корректироваться изза синергического эффекта. Высокий профиль безопасности позволяет назначать эти препараты пациентам с различными сопутствующими заболеваниями [136</w:t>
      </w:r>
      <w:r>
        <w:rPr>
          <w:i/>
        </w:rPr>
        <w:t>–138].</w:t>
      </w:r>
      <w:r>
        <w:rPr>
          <w:i/>
          <w:color w:val="FF0000"/>
        </w:rPr>
        <w:t xml:space="preserve"> </w:t>
      </w:r>
      <w:r>
        <w:rPr>
          <w:i/>
        </w:rPr>
        <w:t xml:space="preserve">Кроме того, накапливаются данные о благоприятных плейотропных эффектах этих препаратов, обусловливающих возможность их применения не только при ОА, но и при других значимых сопутствующих состояниях [139].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В начале терапии для повышения биодоступно</w:t>
      </w:r>
      <w:r>
        <w:rPr>
          <w:i/>
        </w:rPr>
        <w:t>сти и достижения более быстрого обезболивающего эффекта препараты хондроитина сульфата, глюкозамина могут назначаться парентерально в виде внутримышечных инъекций [119,140]</w:t>
      </w:r>
      <w:r>
        <w:t xml:space="preserve">.  </w:t>
      </w:r>
    </w:p>
    <w:p w:rsidR="000A3B51" w:rsidRDefault="003D0A08">
      <w:pPr>
        <w:numPr>
          <w:ilvl w:val="0"/>
          <w:numId w:val="15"/>
        </w:numPr>
        <w:spacing w:after="15" w:line="396" w:lineRule="auto"/>
        <w:ind w:right="755"/>
      </w:pPr>
      <w:r>
        <w:t xml:space="preserve">Рекомендованы препараты на основе неомыляемых соединений плодов авокадо и масел </w:t>
      </w:r>
      <w:r>
        <w:t>соевых бобов (НСАС) для эффективного облегчения симптомов при ОА различных локализациях и структурно-модифицирующего воздействия при ОА тазобедренных суставов [118].</w:t>
      </w:r>
      <w:r>
        <w:rPr>
          <w:color w:val="FF0000"/>
        </w:rPr>
        <w:t xml:space="preserve">  </w:t>
      </w:r>
    </w:p>
    <w:p w:rsidR="000A3B51" w:rsidRDefault="003D0A08">
      <w:pPr>
        <w:spacing w:after="13" w:line="386" w:lineRule="auto"/>
        <w:ind w:left="355" w:right="753"/>
      </w:pPr>
      <w:r>
        <w:rPr>
          <w:b/>
        </w:rPr>
        <w:t>Уровень убедительности рекомендаций В (уровень достоверности доказательств 1)</w:t>
      </w:r>
      <w:r>
        <w:rPr>
          <w:b/>
          <w:color w:val="FF0000"/>
        </w:rPr>
        <w:t xml:space="preserve">  </w:t>
      </w:r>
      <w:r>
        <w:rPr>
          <w:b/>
        </w:rPr>
        <w:t>Комментар</w:t>
      </w:r>
      <w:r>
        <w:rPr>
          <w:b/>
        </w:rPr>
        <w:t>ии:</w:t>
      </w:r>
      <w:r>
        <w:t xml:space="preserve"> </w:t>
      </w:r>
      <w:r>
        <w:rPr>
          <w:i/>
        </w:rPr>
        <w:t>НСАС в дозе 300 мг/сут обладают доказанной эффективностью в отношении снижения интенсивности боли при ОА коленных и тазобедренных суставов [141–143]</w:t>
      </w:r>
      <w:r>
        <w:t xml:space="preserve">; </w:t>
      </w:r>
      <w:r>
        <w:rPr>
          <w:i/>
        </w:rPr>
        <w:t>единичные исследования подтверждают анальгетическое действие препарата при ОА суставов кистей и позвон</w:t>
      </w:r>
      <w:r>
        <w:rPr>
          <w:i/>
        </w:rPr>
        <w:t xml:space="preserve">очника [144,145]. Двух- и трёхлетние исследования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продемонстрировали структурно-модифицирующий эффект</w:t>
      </w:r>
      <w:r>
        <w:rPr>
          <w:color w:val="FF0000"/>
        </w:rPr>
        <w:t xml:space="preserve"> </w:t>
      </w:r>
      <w:r>
        <w:rPr>
          <w:i/>
        </w:rPr>
        <w:t>НСАС при ОА тазобедренных суставов [146,147]</w:t>
      </w:r>
      <w:r>
        <w:t xml:space="preserve">. </w:t>
      </w:r>
      <w:r>
        <w:rPr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Данное лекарственное средство характеризуется</w:t>
      </w:r>
      <w:r>
        <w:rPr>
          <w:i/>
          <w:color w:val="FF0000"/>
        </w:rPr>
        <w:t xml:space="preserve"> </w:t>
      </w:r>
      <w:r>
        <w:rPr>
          <w:i/>
        </w:rPr>
        <w:t xml:space="preserve">высокой безопасностью: частота НР </w:t>
      </w:r>
      <w:r>
        <w:rPr>
          <w:i/>
        </w:rPr>
        <w:t>на фоне его применения сопоставима с плацебо [117,118]</w:t>
      </w:r>
      <w:r>
        <w:t xml:space="preserve">. </w:t>
      </w:r>
      <w:r>
        <w:rPr>
          <w:color w:val="FF0000"/>
        </w:rPr>
        <w:t xml:space="preserve"> </w:t>
      </w:r>
    </w:p>
    <w:p w:rsidR="000A3B51" w:rsidRDefault="003D0A08">
      <w:pPr>
        <w:numPr>
          <w:ilvl w:val="0"/>
          <w:numId w:val="15"/>
        </w:numPr>
        <w:spacing w:after="13" w:line="391" w:lineRule="auto"/>
        <w:ind w:right="755"/>
      </w:pPr>
      <w:r>
        <w:t xml:space="preserve">Рекомендовано назначение диацереина для эффективного облегчения симптомов ОА при различных локализациях [148–155] и структурно-модифицирующего эффекта при ОА тазобедренных суставов [156].  </w:t>
      </w:r>
    </w:p>
    <w:p w:rsidR="000A3B51" w:rsidRDefault="003D0A08">
      <w:pPr>
        <w:spacing w:after="12" w:line="386" w:lineRule="auto"/>
        <w:ind w:left="355" w:right="753"/>
      </w:pPr>
      <w:r>
        <w:rPr>
          <w:b/>
        </w:rPr>
        <w:t xml:space="preserve">Уровень </w:t>
      </w:r>
      <w:r>
        <w:rPr>
          <w:b/>
        </w:rPr>
        <w:t>убедительности рекомендаций А (уровень достоверности доказательств 1). Комментарии:</w:t>
      </w:r>
      <w:r>
        <w:rPr>
          <w:i/>
        </w:rPr>
        <w:t xml:space="preserve"> диацереин обладает доказанной эффективностью при ОА коленных суставов, а также единичные исследования подтверждают анальгетическое действие препарата при ОА тазобедренных с</w:t>
      </w:r>
      <w:r>
        <w:rPr>
          <w:i/>
        </w:rPr>
        <w:t>уставов, суставов кистей и позвоночника [157–161]. Трехлетнее исследование показало наличие структурно-модифицирующего эффекта у диацереина при ОА тазобедренных суставов [156]. Диацереин имеет эффективность сопоставимую с НПВП, но в отличие от последних об</w:t>
      </w:r>
      <w:r>
        <w:rPr>
          <w:i/>
        </w:rPr>
        <w:t>ладает эффектом «последействия» [154,155,162].</w:t>
      </w:r>
      <w:r>
        <w:t xml:space="preserve"> </w:t>
      </w:r>
      <w:r>
        <w:rPr>
          <w:i/>
        </w:rPr>
        <w:t xml:space="preserve">Является препаратом выбора у пациентов с ОА и МС [157,163–168].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Назначается по 1 капсуле (50 мг) в течение 4 нед, затем при хорошей переносимости – по 1 капсуле 2 раза/сут курсом не менее 4 мес. Профиль безоп</w:t>
      </w:r>
      <w:r>
        <w:rPr>
          <w:i/>
        </w:rPr>
        <w:t xml:space="preserve">асности диацереина характеризуется как хороший, наиболее частой НР является учащение актов дефекации[169,170]. Может быть окрашивание мочи от желтого до коричневого цвета (в зависимости от рН), что не требует снижения дозы (отмены) препарата. </w:t>
      </w:r>
    </w:p>
    <w:p w:rsidR="000A3B51" w:rsidRDefault="003D0A08">
      <w:pPr>
        <w:numPr>
          <w:ilvl w:val="0"/>
          <w:numId w:val="15"/>
        </w:numPr>
        <w:spacing w:after="17" w:line="390" w:lineRule="auto"/>
        <w:ind w:right="755"/>
      </w:pPr>
      <w:r>
        <w:t>Рекомендован</w:t>
      </w:r>
      <w:r>
        <w:t xml:space="preserve"> препарат на основе рыбы морской мелкой биоактивный концентрат (Алфлутоп) для эффективного облегчения симптоматики генерализованного ОА и получения структурно-модифицирующего эффекта при длительном его использовании [108,116,171–177]. </w:t>
      </w:r>
      <w:r>
        <w:rPr>
          <w:color w:val="FF0000"/>
        </w:rPr>
        <w:t xml:space="preserve"> </w:t>
      </w:r>
    </w:p>
    <w:p w:rsidR="000A3B51" w:rsidRDefault="003D0A08">
      <w:pPr>
        <w:spacing w:after="147" w:line="267" w:lineRule="auto"/>
        <w:ind w:left="355" w:right="753"/>
      </w:pPr>
      <w:r>
        <w:rPr>
          <w:b/>
        </w:rPr>
        <w:t>Уровень убедительно</w:t>
      </w:r>
      <w:r>
        <w:rPr>
          <w:b/>
        </w:rPr>
        <w:t>сти рекомендаций С (уровень достоверности доказательств – 2)</w:t>
      </w:r>
      <w:r>
        <w:t xml:space="preserve"> </w:t>
      </w:r>
    </w:p>
    <w:p w:rsidR="000A3B51" w:rsidRDefault="003D0A08">
      <w:pPr>
        <w:spacing w:after="158" w:line="259" w:lineRule="auto"/>
        <w:ind w:left="355" w:right="753"/>
      </w:pPr>
      <w:r>
        <w:rPr>
          <w:b/>
        </w:rPr>
        <w:t xml:space="preserve">Комментарии: </w:t>
      </w:r>
      <w:r>
        <w:rPr>
          <w:i/>
        </w:rPr>
        <w:t xml:space="preserve">препарат обладает обезболивающим действием при генерализованном ОА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 xml:space="preserve">[175], </w:t>
      </w:r>
      <w:r>
        <w:rPr>
          <w:i/>
        </w:rPr>
        <w:tab/>
        <w:t xml:space="preserve">замедляет </w:t>
      </w:r>
      <w:r>
        <w:rPr>
          <w:i/>
        </w:rPr>
        <w:tab/>
        <w:t xml:space="preserve">прогрессирование </w:t>
      </w:r>
      <w:r>
        <w:rPr>
          <w:i/>
        </w:rPr>
        <w:tab/>
        <w:t xml:space="preserve">заболевания </w:t>
      </w:r>
      <w:r>
        <w:rPr>
          <w:i/>
        </w:rPr>
        <w:tab/>
        <w:t xml:space="preserve">при </w:t>
      </w:r>
      <w:r>
        <w:rPr>
          <w:i/>
        </w:rPr>
        <w:tab/>
        <w:t xml:space="preserve">ОА </w:t>
      </w:r>
      <w:r>
        <w:rPr>
          <w:i/>
        </w:rPr>
        <w:tab/>
        <w:t xml:space="preserve">коленных </w:t>
      </w:r>
      <w:r>
        <w:rPr>
          <w:i/>
        </w:rPr>
        <w:tab/>
        <w:t>суставов (доказательства получены в двухлетн</w:t>
      </w:r>
      <w:r>
        <w:rPr>
          <w:i/>
        </w:rPr>
        <w:t>ем двойном слепом плацебо-контролируемом исследовании). При применении биоактивного концентрата из мелких морских рыб отмечается более быстрое развитие анальгетического эффекта по сравнению с пероральными средствами. Назначается в/м по 1 мл ежедневно №20 и</w:t>
      </w:r>
      <w:r>
        <w:rPr>
          <w:i/>
        </w:rPr>
        <w:t>ли по 2 мл через день №10 – 2 курса в год. Препарат также может вводиться внутрисуставно. Данное лекарственное средство характеризуется хорошей безопасностью, в том числе у пациентов с коморбидностью [175,178]. Частота НР на фоне его применения сопоставима</w:t>
      </w:r>
      <w:r>
        <w:rPr>
          <w:i/>
        </w:rPr>
        <w:t xml:space="preserve"> с плацебо.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0"/>
          <w:numId w:val="15"/>
        </w:numPr>
        <w:spacing w:after="8" w:line="395" w:lineRule="auto"/>
        <w:ind w:right="755"/>
      </w:pPr>
      <w:r>
        <w:t xml:space="preserve">Рекомендован гликозаминогликан-пептидный комплекс для эффективного облегчения симптомов ОА при различных локализациях и структурномодифицирующего эффекта при длительном его использовании [179–187]. </w:t>
      </w:r>
      <w:r>
        <w:rPr>
          <w:color w:val="FF0000"/>
        </w:rPr>
        <w:t xml:space="preserve"> </w:t>
      </w:r>
    </w:p>
    <w:p w:rsidR="000A3B51" w:rsidRDefault="003D0A08">
      <w:pPr>
        <w:spacing w:after="13" w:line="386" w:lineRule="auto"/>
        <w:ind w:left="355" w:right="753"/>
      </w:pPr>
      <w:r>
        <w:rPr>
          <w:b/>
        </w:rPr>
        <w:t>Уровень убедительности рекомендаций С (</w:t>
      </w:r>
      <w:r>
        <w:rPr>
          <w:b/>
        </w:rPr>
        <w:t>уровень достоверности доказательств – 2)</w:t>
      </w:r>
      <w:r>
        <w:t xml:space="preserve"> </w:t>
      </w:r>
      <w:r>
        <w:rPr>
          <w:b/>
        </w:rPr>
        <w:t xml:space="preserve">Комментарии: </w:t>
      </w:r>
      <w:r>
        <w:rPr>
          <w:i/>
        </w:rPr>
        <w:t>гликозаминогликан-пептидный комплекс</w:t>
      </w:r>
      <w:r>
        <w:rPr>
          <w:b/>
        </w:rPr>
        <w:t xml:space="preserve"> </w:t>
      </w:r>
      <w:r>
        <w:rPr>
          <w:i/>
        </w:rPr>
        <w:t>обладает симптоматическим действием при генерализованном ОА, также продемонстрирован его структурномодифицирующий эффект в длительных исследованиях при ОА тазобедрен</w:t>
      </w:r>
      <w:r>
        <w:rPr>
          <w:i/>
        </w:rPr>
        <w:t>ных и коленных суставов. Препарат характеризуется хорошим профилем безопасности, в том числе у пациентов с выраженной коморбидностью [187]. Назначается по следующей схеме: 1-й день – 0,3 мл внутримышечно, 2-й день – 0,5 мл внутримышечно, начиная с 3-его дн</w:t>
      </w:r>
      <w:r>
        <w:rPr>
          <w:i/>
        </w:rPr>
        <w:t xml:space="preserve">я – по 1 мл через день. Полный курс терапии – 25 внутримышечных инъекций по 1 мл (в течение 8 недель) или 15 инъекций по 2 мл (в течение 5 недель), повторяют 2–4 раза в год. 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 При отсутствии значимого клинического эффекта (снижение боли менее 40 мм по ВА</w:t>
      </w:r>
      <w:r>
        <w:t xml:space="preserve">Ш) на фоне монотерапии одним из болезнь-модифицирующих препаратов возможно рекомендовать комбинацию препаратов из разных фармакологических групп [188–191]. </w:t>
      </w:r>
    </w:p>
    <w:p w:rsidR="000A3B51" w:rsidRDefault="003D0A08">
      <w:pPr>
        <w:spacing w:after="299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r>
        <w:t>С</w:t>
      </w:r>
      <w:r>
        <w:rPr>
          <w:b/>
        </w:rPr>
        <w:t xml:space="preserve"> (уровень достоверности доказательств – 2). Комментарии: </w:t>
      </w:r>
      <w:r>
        <w:rPr>
          <w:i/>
        </w:rPr>
        <w:t>сущес</w:t>
      </w:r>
      <w:r>
        <w:rPr>
          <w:i/>
        </w:rPr>
        <w:t xml:space="preserve">твует ограниченное количество доказательств, подтверждающих преимущество комбинированной терапии перед монотерапией при лечении ОА: чаще всего в качестве комбинаций рассматривается диацереин плюс глюкозамин, диацереин плюс комбинация хондроитина сульфат и </w:t>
      </w:r>
      <w:r>
        <w:rPr>
          <w:i/>
        </w:rPr>
        <w:t xml:space="preserve">глюкозамина, диацереин плюс гликозаминогликанпептидный комплекс. </w:t>
      </w:r>
    </w:p>
    <w:p w:rsidR="000A3B51" w:rsidRDefault="003D0A08">
      <w:pPr>
        <w:pStyle w:val="Heading3"/>
        <w:ind w:left="1063" w:right="749"/>
      </w:pPr>
      <w:r>
        <w:t xml:space="preserve">3.1.2 Симптоматические лекарственные средства при ОА </w:t>
      </w:r>
    </w:p>
    <w:p w:rsidR="000A3B51" w:rsidRDefault="003D0A08">
      <w:pPr>
        <w:tabs>
          <w:tab w:val="center" w:pos="1123"/>
          <w:tab w:val="center" w:pos="5743"/>
        </w:tabs>
        <w:spacing w:after="69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Пациентам с генерализованным ОА рекомендовано назначение локальных </w:t>
      </w:r>
    </w:p>
    <w:p w:rsidR="000A3B51" w:rsidRDefault="003D0A08">
      <w:pPr>
        <w:spacing w:after="33" w:line="374" w:lineRule="auto"/>
        <w:ind w:left="1078" w:right="755"/>
      </w:pPr>
      <w:r>
        <w:t>(топических) форм НПВП, которые способствуют эффективному облегч</w:t>
      </w:r>
      <w:r>
        <w:t xml:space="preserve">ению симптомов ОА [39,95,98–100,132,192–202]. </w:t>
      </w:r>
    </w:p>
    <w:p w:rsidR="000A3B51" w:rsidRDefault="003D0A08">
      <w:pPr>
        <w:spacing w:after="8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27" w:anchor="100717">
        <w:r>
          <w:rPr>
            <w:b/>
          </w:rPr>
          <w:t>В</w:t>
        </w:r>
      </w:hyperlink>
      <w:hyperlink r:id="rId28" w:anchor="100717">
        <w:r>
          <w:rPr>
            <w:b/>
          </w:rPr>
          <w:t xml:space="preserve"> </w:t>
        </w:r>
      </w:hyperlink>
      <w:r>
        <w:rPr>
          <w:b/>
        </w:rPr>
        <w:t>(уровень достоверности доказательств – 1).</w:t>
      </w:r>
      <w:r>
        <w:t xml:space="preserve"> </w:t>
      </w:r>
      <w:r>
        <w:rPr>
          <w:b/>
        </w:rPr>
        <w:t>Комментарии:</w:t>
      </w:r>
      <w:r>
        <w:t xml:space="preserve"> </w:t>
      </w:r>
      <w:r>
        <w:rPr>
          <w:i/>
        </w:rPr>
        <w:t xml:space="preserve">локальные формы НПВП обладают доказанной анальгетической эффективностью при ОА коленных суставов и суставов кистей [201]. При ОА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 xml:space="preserve">тазобедренных суставов их использование нецелесообразно, при других локализациях эффективность не изучена. Данные средства следует применять длительностью до 2 недель с кратностью не менее 3-4 раз в сутки.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>При слабой боли (менее 40 мм по ВАШ) они могут ис</w:t>
      </w:r>
      <w:r>
        <w:rPr>
          <w:i/>
        </w:rPr>
        <w:t>пользоваться самостоятельно. При более интенсивной боли (более 40 мм по ВАШ) для достижения лучшего эффекта целесообразно назначение топических НПВП с таблетированными формами, что позволяет повысить эффективность и снизить потенциальные риски от системных</w:t>
      </w:r>
      <w:r>
        <w:rPr>
          <w:i/>
        </w:rPr>
        <w:t xml:space="preserve"> НПВП [195].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НПВП для местного использования, благодаря низкой системной абсорбции (менее 10% концентрации, достигнутой после приема препарата внутрь) [203], обладают хорошим профилем безопасности, что дает возможность их назначать пациентам с выраженной</w:t>
      </w:r>
      <w:r>
        <w:rPr>
          <w:i/>
        </w:rPr>
        <w:t xml:space="preserve"> мультиморбидностью.  Частота системных НР при местном применении НПВП крайне мала и сопоставима с таковой плацебо [198]. Подавляющее большинство НР представлено локальными реакциями со стороны кожных покровов: покраснением, высыпаниями и/или зудом [204,20</w:t>
      </w:r>
      <w:r>
        <w:rPr>
          <w:i/>
        </w:rPr>
        <w:t xml:space="preserve">5], которые быстро купируются после отмены препарата.  </w:t>
      </w:r>
    </w:p>
    <w:p w:rsidR="000A3B51" w:rsidRDefault="003D0A08">
      <w:pPr>
        <w:spacing w:after="8" w:line="389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Пациентам с генерализованным ОА при умеренной или выраженной боли рекомендовано назначение системных НПВП (производные уксусной кислоты и родственные соединения (диклофенак**, ацеклофенак, этодолак,</w:t>
      </w:r>
      <w:r>
        <w:t xml:space="preserve"> кеторолак** и др.), оксикамы (мелоксикам, теноксикам, лорноксикам и др.), производные пропионовой кислоты (ибупрофен**, напроксен, кетопрофен**, флурбипрофен, декскетопрофен** и др.), коксибы (целекоксиб, эторикоксиб и др.) и другие нестероидные противово</w:t>
      </w:r>
      <w:r>
        <w:t xml:space="preserve">спалительные и противоревматические препараты (нимесулид) с учетом коморбидности пациентов  [98–102,132,195,206–208]. </w:t>
      </w:r>
    </w:p>
    <w:p w:rsidR="000A3B51" w:rsidRDefault="003D0A08">
      <w:pPr>
        <w:spacing w:after="149"/>
        <w:ind w:left="1078" w:right="755"/>
      </w:pPr>
      <w:r>
        <w:t xml:space="preserve">Таблица 5.  Коды АТХ и фармакотерапевтические группы системных и локальных </w:t>
      </w:r>
    </w:p>
    <w:p w:rsidR="000A3B51" w:rsidRDefault="003D0A08">
      <w:pPr>
        <w:spacing w:after="0"/>
        <w:ind w:left="1078" w:right="755"/>
      </w:pPr>
      <w:r>
        <w:t xml:space="preserve">НПВП  </w:t>
      </w:r>
    </w:p>
    <w:tbl>
      <w:tblPr>
        <w:tblStyle w:val="TableGrid"/>
        <w:tblW w:w="8762" w:type="dxa"/>
        <w:tblInd w:w="1068" w:type="dxa"/>
        <w:tblCellMar>
          <w:top w:w="55" w:type="dxa"/>
          <w:left w:w="106" w:type="dxa"/>
          <w:bottom w:w="0" w:type="dxa"/>
          <w:right w:w="101" w:type="dxa"/>
        </w:tblCellMar>
        <w:tblLook w:val="04A0" w:firstRow="1" w:lastRow="0" w:firstColumn="1" w:lastColumn="0" w:noHBand="0" w:noVBand="1"/>
      </w:tblPr>
      <w:tblGrid>
        <w:gridCol w:w="1957"/>
        <w:gridCol w:w="2696"/>
        <w:gridCol w:w="2835"/>
        <w:gridCol w:w="1274"/>
      </w:tblGrid>
      <w:tr w:rsidR="000A3B51">
        <w:trPr>
          <w:trHeight w:val="840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МНН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Лекарственная форма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>Фармако</w:t>
            </w:r>
            <w:r>
              <w:t xml:space="preserve">терапевтическая группа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7" w:line="259" w:lineRule="auto"/>
              <w:ind w:left="0" w:right="0" w:firstLine="0"/>
              <w:jc w:val="left"/>
            </w:pPr>
            <w:r>
              <w:t xml:space="preserve">Коды </w:t>
            </w:r>
          </w:p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АТХ ВОЗ </w:t>
            </w:r>
          </w:p>
        </w:tc>
      </w:tr>
    </w:tbl>
    <w:p w:rsidR="000A3B51" w:rsidRDefault="000A3B51">
      <w:pPr>
        <w:spacing w:after="0" w:line="259" w:lineRule="auto"/>
        <w:ind w:left="-1342" w:right="648" w:firstLine="0"/>
        <w:jc w:val="left"/>
      </w:pPr>
    </w:p>
    <w:tbl>
      <w:tblPr>
        <w:tblStyle w:val="TableGrid"/>
        <w:tblW w:w="8762" w:type="dxa"/>
        <w:tblInd w:w="1068" w:type="dxa"/>
        <w:tblCellMar>
          <w:top w:w="9" w:type="dxa"/>
          <w:left w:w="106" w:type="dxa"/>
          <w:bottom w:w="0" w:type="dxa"/>
          <w:right w:w="70" w:type="dxa"/>
        </w:tblCellMar>
        <w:tblLook w:val="04A0" w:firstRow="1" w:lastRow="0" w:firstColumn="1" w:lastColumn="0" w:noHBand="0" w:noVBand="1"/>
      </w:tblPr>
      <w:tblGrid>
        <w:gridCol w:w="1957"/>
        <w:gridCol w:w="2696"/>
        <w:gridCol w:w="2835"/>
        <w:gridCol w:w="1274"/>
      </w:tblGrid>
      <w:tr w:rsidR="000A3B51">
        <w:trPr>
          <w:trHeight w:val="1253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Государственного реестра лекарственных средств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Диклофенак**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Капсулы; таблетки; раствор для внутримышечного введения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уксусной кислоты и родственные соединения  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M01AB05 </w:t>
            </w:r>
          </w:p>
        </w:tc>
      </w:tr>
      <w:tr w:rsidR="000A3B51">
        <w:trPr>
          <w:trHeight w:val="3737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Диклофенак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34" w:firstLine="0"/>
              <w:jc w:val="left"/>
            </w:pPr>
            <w:r>
              <w:t xml:space="preserve">Порошок для приготовления раствора для приема внутрь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0" w:firstLine="0"/>
              <w:jc w:val="left"/>
            </w:pPr>
            <w:r>
              <w:t xml:space="preserve">противовоспалительные и противоревматические препараты; нестероидные противовоспалительные и противоревматические препараты; производные уксусной кислоты и родственные соединения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M01AB05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Диклофенак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Гель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M02AA15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Ацеклофенак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порошок для приготовления суспензии для приема внутрь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уксусной кислоты и родственные соединения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M01AB16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Ацеклофенак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Крем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M02AA25 </w:t>
            </w:r>
          </w:p>
        </w:tc>
      </w:tr>
      <w:tr w:rsidR="000A3B51">
        <w:trPr>
          <w:trHeight w:val="1253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Этодолак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уксусной кислоты и родственные соединения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M01AB08 </w:t>
            </w:r>
          </w:p>
        </w:tc>
      </w:tr>
      <w:tr w:rsidR="000A3B51">
        <w:trPr>
          <w:trHeight w:val="1250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Кеторолак**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раствор для внутривенного, внутримышечного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уксусной кислоты и родственные соединения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M01AB15 </w:t>
            </w:r>
          </w:p>
        </w:tc>
      </w:tr>
    </w:tbl>
    <w:p w:rsidR="000A3B51" w:rsidRDefault="000A3B51">
      <w:pPr>
        <w:spacing w:after="0" w:line="259" w:lineRule="auto"/>
        <w:ind w:left="-1342" w:right="648" w:firstLine="0"/>
        <w:jc w:val="left"/>
      </w:pPr>
    </w:p>
    <w:tbl>
      <w:tblPr>
        <w:tblStyle w:val="TableGrid"/>
        <w:tblW w:w="8762" w:type="dxa"/>
        <w:tblInd w:w="1068" w:type="dxa"/>
        <w:tblCellMar>
          <w:top w:w="9" w:type="dxa"/>
          <w:left w:w="106" w:type="dxa"/>
          <w:bottom w:w="0" w:type="dxa"/>
          <w:right w:w="82" w:type="dxa"/>
        </w:tblCellMar>
        <w:tblLook w:val="04A0" w:firstRow="1" w:lastRow="0" w:firstColumn="1" w:lastColumn="0" w:noHBand="0" w:noVBand="1"/>
      </w:tblPr>
      <w:tblGrid>
        <w:gridCol w:w="1957"/>
        <w:gridCol w:w="2696"/>
        <w:gridCol w:w="2835"/>
        <w:gridCol w:w="1274"/>
      </w:tblGrid>
      <w:tr w:rsidR="000A3B51">
        <w:trPr>
          <w:trHeight w:val="425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введения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2081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Мелоксикам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суспензия для приема внутрь; раствор для внутримышечного введения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Оксикамы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M01AС06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Мелоксикам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Гель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M02AA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Мелоксикам+Хо ндроитина сульфат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Крем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M02AA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15" w:line="259" w:lineRule="auto"/>
              <w:ind w:left="2" w:right="0" w:firstLine="0"/>
              <w:jc w:val="left"/>
            </w:pPr>
            <w:r>
              <w:t>Мелоксикам+Пе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рца стручкового плодов настойка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Крем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Другие препараты для местного применения при мышечных и суставных болях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M02AX </w:t>
            </w:r>
          </w:p>
        </w:tc>
      </w:tr>
      <w:tr w:rsidR="000A3B51">
        <w:trPr>
          <w:trHeight w:val="2494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Теноксикам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лиофилизат для приготовления раствора для внутривенного и внутримышечного введения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 Оксикамы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M01AС02 </w:t>
            </w:r>
          </w:p>
        </w:tc>
      </w:tr>
      <w:tr w:rsidR="000A3B51">
        <w:trPr>
          <w:trHeight w:val="83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Теноксикам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Гель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Оксикамы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M01AC02 </w:t>
            </w:r>
          </w:p>
        </w:tc>
      </w:tr>
      <w:tr w:rsidR="000A3B51">
        <w:trPr>
          <w:trHeight w:val="2494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Лорноксикам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лиофилизат для приготовления раствора для внутривенного и внутримышечного введения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Оксикамы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M01AС05 </w:t>
            </w:r>
          </w:p>
        </w:tc>
      </w:tr>
      <w:tr w:rsidR="000A3B51">
        <w:trPr>
          <w:trHeight w:val="840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Ибупрофен**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M01AE01 </w:t>
            </w:r>
          </w:p>
        </w:tc>
      </w:tr>
    </w:tbl>
    <w:p w:rsidR="000A3B51" w:rsidRDefault="000A3B51">
      <w:pPr>
        <w:spacing w:after="0" w:line="259" w:lineRule="auto"/>
        <w:ind w:left="-1342" w:right="648" w:firstLine="0"/>
        <w:jc w:val="left"/>
      </w:pPr>
    </w:p>
    <w:tbl>
      <w:tblPr>
        <w:tblStyle w:val="TableGrid"/>
        <w:tblW w:w="8762" w:type="dxa"/>
        <w:tblInd w:w="1068" w:type="dxa"/>
        <w:tblCellMar>
          <w:top w:w="9" w:type="dxa"/>
          <w:left w:w="106" w:type="dxa"/>
          <w:bottom w:w="0" w:type="dxa"/>
          <w:right w:w="70" w:type="dxa"/>
        </w:tblCellMar>
        <w:tblLook w:val="04A0" w:firstRow="1" w:lastRow="0" w:firstColumn="1" w:lastColumn="0" w:noHBand="0" w:noVBand="1"/>
      </w:tblPr>
      <w:tblGrid>
        <w:gridCol w:w="1957"/>
        <w:gridCol w:w="2696"/>
        <w:gridCol w:w="2835"/>
        <w:gridCol w:w="1274"/>
      </w:tblGrid>
      <w:tr w:rsidR="000A3B51">
        <w:trPr>
          <w:trHeight w:val="166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Ибупрофен**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Крем, гель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M02AA13 </w:t>
            </w:r>
          </w:p>
        </w:tc>
      </w:tr>
      <w:tr w:rsidR="000A3B51">
        <w:trPr>
          <w:trHeight w:val="83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Напроксен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M01AE02 </w:t>
            </w:r>
          </w:p>
        </w:tc>
      </w:tr>
      <w:tr w:rsidR="000A3B51">
        <w:trPr>
          <w:trHeight w:val="2079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Кетопрофен**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Таблетки, капсулы, раствор для внутримышечного и внутривенного введения 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M01AE03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Кетопрофен 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34" w:firstLine="0"/>
              <w:jc w:val="left"/>
            </w:pPr>
            <w:r>
              <w:t xml:space="preserve">Гранулы для приготовления раствора для приема внутрь; гранулы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397" w:lineRule="auto"/>
              <w:ind w:left="0" w:right="0" w:firstLine="0"/>
              <w:jc w:val="left"/>
            </w:pPr>
            <w:r>
              <w:t xml:space="preserve">Производные пропионовой кислоты;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НПВП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M01AE03 </w:t>
            </w:r>
          </w:p>
        </w:tc>
      </w:tr>
      <w:tr w:rsidR="000A3B51">
        <w:trPr>
          <w:trHeight w:val="166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Кетопрофен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Крем, гель для наружного 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M02AA10 </w:t>
            </w:r>
          </w:p>
        </w:tc>
      </w:tr>
      <w:tr w:rsidR="000A3B51">
        <w:trPr>
          <w:trHeight w:val="83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Флурбипрофен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M01AE09 </w:t>
            </w:r>
          </w:p>
        </w:tc>
      </w:tr>
      <w:tr w:rsidR="000A3B51">
        <w:trPr>
          <w:trHeight w:val="838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</w:pPr>
            <w:r>
              <w:t xml:space="preserve">Декскетопрофен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M01AE17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12" w:line="259" w:lineRule="auto"/>
              <w:ind w:left="2" w:right="0" w:firstLine="0"/>
              <w:jc w:val="left"/>
            </w:pPr>
            <w:r>
              <w:t>Декскетопрофен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**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Раствор для внутримышечного и внутривенного введения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Производные пропионовой кислоты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M01AE17 </w:t>
            </w:r>
          </w:p>
        </w:tc>
      </w:tr>
      <w:tr w:rsidR="000A3B51">
        <w:trPr>
          <w:trHeight w:val="425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Целекоксиб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Капсулы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Коксибы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M01AH01 </w:t>
            </w:r>
          </w:p>
        </w:tc>
      </w:tr>
      <w:tr w:rsidR="000A3B51">
        <w:trPr>
          <w:trHeight w:val="423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Эторикоксиб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Коксибы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M01AH05 </w:t>
            </w:r>
          </w:p>
        </w:tc>
      </w:tr>
      <w:tr w:rsidR="000A3B51">
        <w:trPr>
          <w:trHeight w:val="1666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Нимесулид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Таблетки; гранулы для приготовления суспензии для приема внутрь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Другие нестероидные противовоспалительные и противоревматические препараты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M01AX17 </w:t>
            </w:r>
          </w:p>
        </w:tc>
      </w:tr>
      <w:tr w:rsidR="000A3B51">
        <w:trPr>
          <w:trHeight w:val="425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Нимесулид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Гель для наружного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Нестероидные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M02AA26 </w:t>
            </w:r>
          </w:p>
        </w:tc>
      </w:tr>
      <w:tr w:rsidR="000A3B51">
        <w:trPr>
          <w:trHeight w:val="1253"/>
        </w:trPr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применения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противовоспалительные препараты для местного применения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</w:tbl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29" w:anchor="100717">
        <w:r>
          <w:rPr>
            <w:b/>
          </w:rPr>
          <w:t>С</w:t>
        </w:r>
      </w:hyperlink>
      <w:hyperlink r:id="rId30" w:anchor="100717">
        <w:r>
          <w:rPr>
            <w:b/>
          </w:rPr>
          <w:t xml:space="preserve"> </w:t>
        </w:r>
      </w:hyperlink>
      <w:r>
        <w:rPr>
          <w:b/>
        </w:rPr>
        <w:t>(уровень достоверности д</w:t>
      </w:r>
      <w:r>
        <w:rPr>
          <w:b/>
        </w:rPr>
        <w:t>оказательств – 5).</w:t>
      </w:r>
      <w:r>
        <w:t xml:space="preserve"> </w:t>
      </w:r>
      <w:r>
        <w:rPr>
          <w:b/>
        </w:rPr>
        <w:t>Комментарии:</w:t>
      </w:r>
      <w:r>
        <w:t xml:space="preserve"> </w:t>
      </w:r>
      <w:r>
        <w:rPr>
          <w:i/>
        </w:rPr>
        <w:t>НПВП занимают центральное место в фармакотерапии боли при ОА любой локализации, обладая хорошим анальгетическим потенциалом [207]. Однако в рутинной клинической практике назначение НПВП сопряжено с рядом сложностей, в частно</w:t>
      </w:r>
      <w:r>
        <w:rPr>
          <w:i/>
        </w:rPr>
        <w:t>сти с отсутствием мониторинга НР и учета сопутствующих состояний, неоправданно длительными курсами лечения, одновременным назначением пациенту нескольких препаратов этой группы, что приводит к значимому увеличению риска осложнений без увеличения эффективно</w:t>
      </w:r>
      <w:r>
        <w:rPr>
          <w:i/>
        </w:rPr>
        <w:t xml:space="preserve">сти. При лечении пациентов с ОА целесообразно ограничивать прием НПВП не только в плане дозировки, но и продолжительности приема.  </w:t>
      </w:r>
    </w:p>
    <w:p w:rsidR="000A3B51" w:rsidRDefault="003D0A08">
      <w:pPr>
        <w:spacing w:after="267" w:line="259" w:lineRule="auto"/>
        <w:ind w:left="355" w:right="753"/>
      </w:pPr>
      <w:r>
        <w:rPr>
          <w:i/>
        </w:rPr>
        <w:t xml:space="preserve">Важно знать, что: </w:t>
      </w:r>
    </w:p>
    <w:p w:rsidR="000A3B51" w:rsidRDefault="003D0A08">
      <w:pPr>
        <w:numPr>
          <w:ilvl w:val="0"/>
          <w:numId w:val="16"/>
        </w:numPr>
        <w:spacing w:after="135" w:line="386" w:lineRule="auto"/>
        <w:ind w:right="753"/>
      </w:pPr>
      <w:r>
        <w:rPr>
          <w:i/>
        </w:rPr>
        <w:t>эффективность большинства как селективных (сНПВП) (M01AH01, M01AH05), так и неселективных НПВП (нНПВП) (M</w:t>
      </w:r>
      <w:r>
        <w:rPr>
          <w:i/>
        </w:rPr>
        <w:t xml:space="preserve">01AB05, M01AB16, M01AB08, M01AB15, M01AС06, M01AС02, M01AС05, M01AE01, M01AE02, M01AE03, M01AE09, M01AE17, M01AX17) сопоставима и зависит от дозы, а таже индивидуальной реакции пациентов на конкретный препарат. </w:t>
      </w:r>
    </w:p>
    <w:p w:rsidR="000A3B51" w:rsidRDefault="003D0A08">
      <w:pPr>
        <w:numPr>
          <w:ilvl w:val="0"/>
          <w:numId w:val="16"/>
        </w:numPr>
        <w:spacing w:after="133" w:line="386" w:lineRule="auto"/>
        <w:ind w:right="753"/>
      </w:pPr>
      <w:r>
        <w:rPr>
          <w:i/>
        </w:rPr>
        <w:t>Применение инъекционных форм НПВП, а также б</w:t>
      </w:r>
      <w:r>
        <w:rPr>
          <w:i/>
        </w:rPr>
        <w:t xml:space="preserve">ыстрорастворимых препаратов для приема внутрь может иметь преимущество в скорости наступления обезболивающего эффекта по сравнению с пероральным приемом. </w:t>
      </w:r>
    </w:p>
    <w:p w:rsidR="000A3B51" w:rsidRDefault="003D0A08">
      <w:pPr>
        <w:numPr>
          <w:ilvl w:val="0"/>
          <w:numId w:val="16"/>
        </w:numPr>
        <w:spacing w:after="133" w:line="386" w:lineRule="auto"/>
        <w:ind w:right="753"/>
      </w:pPr>
      <w:r>
        <w:rPr>
          <w:i/>
        </w:rPr>
        <w:t>Основными факторами риска развития НР со стороны ЖКТ являются возраст &gt;65 лет, язвенная болезнь желуд</w:t>
      </w:r>
      <w:r>
        <w:rPr>
          <w:i/>
        </w:rPr>
        <w:t xml:space="preserve">ка и двенадцатиперстной кишки, а также кровотечение из верхних отделов ЖКТ в анамнезе, сопутствующий прием антитромботических средств [206].  </w:t>
      </w:r>
    </w:p>
    <w:p w:rsidR="000A3B51" w:rsidRDefault="003D0A08">
      <w:pPr>
        <w:numPr>
          <w:ilvl w:val="0"/>
          <w:numId w:val="16"/>
        </w:numPr>
        <w:spacing w:after="134" w:line="386" w:lineRule="auto"/>
        <w:ind w:right="753"/>
      </w:pPr>
      <w:r>
        <w:rPr>
          <w:i/>
        </w:rPr>
        <w:t>Основными факторами риска развития НР со стороны ССС являются кардиоваскулярные заболевания (ИБС, ГБ, ХСН и др.),</w:t>
      </w:r>
      <w:r>
        <w:rPr>
          <w:i/>
        </w:rPr>
        <w:t xml:space="preserve"> а также высокий кардиоваскулярный риск [209].</w:t>
      </w:r>
      <w:r>
        <w:t xml:space="preserve"> 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0"/>
          <w:numId w:val="16"/>
        </w:numPr>
        <w:spacing w:after="133" w:line="386" w:lineRule="auto"/>
        <w:ind w:right="753"/>
      </w:pPr>
      <w:r>
        <w:rPr>
          <w:i/>
        </w:rPr>
        <w:t xml:space="preserve">Необходим дифференцированный подход к выбору НПВП в зависимости от наличия у пациента сопутствующих заболеваний; </w:t>
      </w:r>
    </w:p>
    <w:p w:rsidR="000A3B51" w:rsidRDefault="003D0A08">
      <w:pPr>
        <w:numPr>
          <w:ilvl w:val="0"/>
          <w:numId w:val="16"/>
        </w:numPr>
        <w:spacing w:after="34" w:line="386" w:lineRule="auto"/>
        <w:ind w:right="753"/>
      </w:pPr>
      <w:r>
        <w:rPr>
          <w:i/>
        </w:rPr>
        <w:t>Пациентам с высоким риском развития НР со стороны ЖКТ рекомендуется использовать НПВП, механизм которых связан с преимущественным ингибированием ЦОГ-2 [210].</w:t>
      </w:r>
      <w:r>
        <w:rPr>
          <w:i/>
          <w:color w:val="FF0000"/>
        </w:rPr>
        <w:t xml:space="preserve">  </w:t>
      </w:r>
    </w:p>
    <w:p w:rsidR="000A3B51" w:rsidRDefault="003D0A08">
      <w:pPr>
        <w:numPr>
          <w:ilvl w:val="0"/>
          <w:numId w:val="16"/>
        </w:numPr>
        <w:spacing w:after="136" w:line="386" w:lineRule="auto"/>
        <w:ind w:right="753"/>
      </w:pPr>
      <w:r>
        <w:rPr>
          <w:i/>
        </w:rPr>
        <w:t xml:space="preserve">При наличии факторов риска развития НПВП-гастропатии и/или энтеропатии возможно назначать нНПВП </w:t>
      </w:r>
      <w:r>
        <w:rPr>
          <w:i/>
        </w:rPr>
        <w:t xml:space="preserve">с ингибиторами протонного насоса (A02BC) и/или ребамипид (A02BX14) [210]. </w:t>
      </w:r>
    </w:p>
    <w:p w:rsidR="000A3B51" w:rsidRDefault="003D0A08">
      <w:pPr>
        <w:numPr>
          <w:ilvl w:val="0"/>
          <w:numId w:val="16"/>
        </w:numPr>
        <w:spacing w:after="133" w:line="386" w:lineRule="auto"/>
        <w:ind w:right="753"/>
      </w:pPr>
      <w:r>
        <w:rPr>
          <w:i/>
        </w:rPr>
        <w:t xml:space="preserve">При наличии сердечно-сосудистых заболеваний НПВП применяются в минимальной эффективной дозе на короткие сроки. НЯ со стороны сердечно-сосудистой системы свойственны всем препаратам </w:t>
      </w:r>
      <w:r>
        <w:rPr>
          <w:i/>
        </w:rPr>
        <w:t>НПВП. Риск их развития зависит от индивидуальных характеристик препарата и используемой дозы, но не от селективности в отношении циклооксигеназы-2 (ЦОГ-2). Противопоказанием для назначения любых НПВП является очень высокий риск кардиоваскулярных осложнений</w:t>
      </w:r>
      <w:r>
        <w:rPr>
          <w:i/>
        </w:rPr>
        <w:t>, прием двойной/тройной антикоагулянтной терапии. При умеренном/высоком риске кардиоваскулярных осложнений рекомендуется кратковременное использование производных пропионовой кислоты (напроксен (M01AE02), ибупрофен** (M02AA13), целекоксиб (M01AH01), произв</w:t>
      </w:r>
      <w:r>
        <w:rPr>
          <w:i/>
        </w:rPr>
        <w:t>одные уксусной кислоты и родственные соединения (ацеклофенак (M01AB16), оксикамы (лорноксикам (M01AС05) и теносикам (M01AС02) [60,206,209,211].</w:t>
      </w:r>
      <w:r>
        <w:t xml:space="preserve"> 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0"/>
          <w:numId w:val="16"/>
        </w:numPr>
        <w:spacing w:after="137" w:line="386" w:lineRule="auto"/>
        <w:ind w:right="753"/>
      </w:pPr>
      <w:r>
        <w:rPr>
          <w:i/>
        </w:rPr>
        <w:t>Прием любых НПВП может спровоцировать развитие острой почечной недостаточности, особенно в первый месяц лечени</w:t>
      </w:r>
      <w:r>
        <w:rPr>
          <w:i/>
        </w:rPr>
        <w:t>я. Этот риск снижен у пациентов с нормальной функцией почек. НПВП могут вызывать и другие ренальные осложнения, такие как мембранозная нефропатия, интерстициальный нефрит с нефротическим синдромом, острый папиллярный некроз, развитие и прогрессирование хро</w:t>
      </w:r>
      <w:r>
        <w:rPr>
          <w:i/>
        </w:rPr>
        <w:t>нической болезни почек, особенно у пациентов с СД 2-го типа или с гипертонической болезнью. В связи с этим важно измерять скорость клубочковой фильтрации у пациентов, которым планируется назначение препарата из этой группы. Пациентам со скоростью клубочков</w:t>
      </w:r>
      <w:r>
        <w:rPr>
          <w:i/>
        </w:rPr>
        <w:t xml:space="preserve">ой фильтрации менее 30 мл/мин прием НПВП не рекомендован.  </w:t>
      </w:r>
    </w:p>
    <w:p w:rsidR="000A3B51" w:rsidRDefault="003D0A08">
      <w:pPr>
        <w:numPr>
          <w:ilvl w:val="0"/>
          <w:numId w:val="16"/>
        </w:numPr>
        <w:spacing w:after="130" w:line="386" w:lineRule="auto"/>
        <w:ind w:right="753"/>
      </w:pPr>
      <w:r>
        <w:rPr>
          <w:i/>
        </w:rPr>
        <w:t xml:space="preserve">При назначении НПВП следует учитывать возможность лекарственных взаимодействий. Не рекомендован одновременный прием НПВП из различных групп, так как при этом значимо повышается риск развития НР. </w:t>
      </w:r>
    </w:p>
    <w:p w:rsidR="000A3B51" w:rsidRDefault="003D0A08">
      <w:pPr>
        <w:numPr>
          <w:ilvl w:val="0"/>
          <w:numId w:val="16"/>
        </w:numPr>
        <w:spacing w:after="130" w:line="386" w:lineRule="auto"/>
        <w:ind w:right="753"/>
      </w:pPr>
      <w:r>
        <w:rPr>
          <w:i/>
        </w:rPr>
        <w:t>Принимать решение об изменении НПВП-терапии необходимо через 5-7 дней от начала лечения препаратами этой группы [209].</w:t>
      </w:r>
      <w:r>
        <w:t xml:space="preserve"> </w:t>
      </w:r>
      <w:r>
        <w:rPr>
          <w:i/>
        </w:rPr>
        <w:t xml:space="preserve"> </w:t>
      </w:r>
    </w:p>
    <w:p w:rsidR="000A3B51" w:rsidRDefault="003D0A08">
      <w:pPr>
        <w:numPr>
          <w:ilvl w:val="0"/>
          <w:numId w:val="16"/>
        </w:numPr>
        <w:spacing w:after="131" w:line="386" w:lineRule="auto"/>
        <w:ind w:right="753"/>
      </w:pPr>
      <w:r>
        <w:rPr>
          <w:i/>
        </w:rPr>
        <w:t xml:space="preserve">При использовании НПВП целесообразно мониторировать состояние желудочнокишечного тракта, функцию печени и почек, артериальное давление </w:t>
      </w:r>
      <w:r>
        <w:rPr>
          <w:i/>
        </w:rPr>
        <w:t>[206,212].</w:t>
      </w:r>
      <w:r>
        <w:t xml:space="preserve"> </w:t>
      </w:r>
      <w:r>
        <w:rPr>
          <w:i/>
        </w:rPr>
        <w:t xml:space="preserve"> </w:t>
      </w:r>
    </w:p>
    <w:p w:rsidR="000A3B51" w:rsidRDefault="003D0A08">
      <w:pPr>
        <w:numPr>
          <w:ilvl w:val="0"/>
          <w:numId w:val="16"/>
        </w:numPr>
        <w:spacing w:after="34" w:line="386" w:lineRule="auto"/>
        <w:ind w:right="753"/>
      </w:pPr>
      <w:r>
        <w:rPr>
          <w:i/>
        </w:rPr>
        <w:t>Не рекомендуется одновременное использование двух и более разных препаратов из группы НПВП, так как это увеличивает риск развития НЯ [206].</w:t>
      </w:r>
      <w:r>
        <w:rPr>
          <w:i/>
          <w:color w:val="FF0000"/>
        </w:rPr>
        <w:t xml:space="preserve"> </w:t>
      </w:r>
      <w:r>
        <w:t xml:space="preserve"> </w:t>
      </w:r>
    </w:p>
    <w:p w:rsidR="000A3B51" w:rsidRDefault="003D0A08">
      <w:pPr>
        <w:numPr>
          <w:ilvl w:val="1"/>
          <w:numId w:val="16"/>
        </w:numPr>
        <w:spacing w:after="37" w:line="371" w:lineRule="auto"/>
        <w:ind w:right="755"/>
      </w:pPr>
      <w:r>
        <w:t xml:space="preserve">Парацетамол** (N02BE01) условно рекомендуется использовать короткими курсами при генерализованном ОА </w:t>
      </w:r>
      <w:r>
        <w:t xml:space="preserve">при слабых болях в суставах или при наличии противопоказаний к применению НПВП [13,100,132,192,213–222] </w:t>
      </w:r>
    </w:p>
    <w:p w:rsidR="000A3B51" w:rsidRDefault="003D0A08">
      <w:pPr>
        <w:spacing w:after="131" w:line="386" w:lineRule="auto"/>
        <w:ind w:left="355" w:right="753"/>
      </w:pPr>
      <w:r>
        <w:rPr>
          <w:b/>
        </w:rPr>
        <w:t xml:space="preserve">Уровень убедительности рекомендаций А (уровень достоверности доказательств – 1)  Комментарии: </w:t>
      </w:r>
      <w:r>
        <w:rPr>
          <w:i/>
        </w:rPr>
        <w:t>парацетомол** не должен назначаться длительно при ОА, мож</w:t>
      </w:r>
      <w:r>
        <w:rPr>
          <w:i/>
        </w:rPr>
        <w:t>ет использоваться короткими курсами при слабых болях в суставах или при наличии противопоказаний к применению НПВП в дозе менее 3 г/сутки. Результаты последних метаанализов свидетельствуют об его невысокой эффективности при ОА [214,219].  Согласно этим исс</w:t>
      </w:r>
      <w:r>
        <w:rPr>
          <w:i/>
        </w:rPr>
        <w:t xml:space="preserve">ледованиям, парацетомол** не является действенным для большинства пациентов с ОА различных локализаций [98]. В рекомендациях OARSI (2019 г.) [101] при генерализованном ОА препарат не назначается, в связи с низкой эффективностью и риском развития НР. </w:t>
      </w:r>
    </w:p>
    <w:p w:rsidR="000A3B51" w:rsidRDefault="003D0A08">
      <w:pPr>
        <w:spacing w:after="155" w:line="386" w:lineRule="auto"/>
        <w:ind w:left="355" w:right="753"/>
      </w:pPr>
      <w:r>
        <w:rPr>
          <w:i/>
        </w:rPr>
        <w:t>В тер</w:t>
      </w:r>
      <w:r>
        <w:rPr>
          <w:i/>
        </w:rPr>
        <w:t>апевтических дозах побочные эффекты парацетомола** редки и ограничиваются, главным образом, возможными аллергическими кожными реакциями [223]. Однако высокие дозы и длительный приём препарата могут привести к осложнениям со стороны ЖКТ (в том числе тяжелой</w:t>
      </w:r>
      <w:r>
        <w:rPr>
          <w:i/>
        </w:rPr>
        <w:t xml:space="preserve"> гепатотоксичности) [218,224–226]</w:t>
      </w:r>
      <w:r>
        <w:t>,</w:t>
      </w:r>
      <w:r>
        <w:rPr>
          <w:rFonts w:ascii="Calibri" w:eastAsia="Calibri" w:hAnsi="Calibri" w:cs="Calibri"/>
          <w:sz w:val="25"/>
        </w:rPr>
        <w:t xml:space="preserve"> </w:t>
      </w:r>
      <w:r>
        <w:rPr>
          <w:i/>
        </w:rPr>
        <w:t>почек [226]</w:t>
      </w:r>
      <w:r>
        <w:rPr>
          <w:color w:val="FF0000"/>
        </w:rPr>
        <w:t xml:space="preserve"> </w:t>
      </w:r>
      <w:r>
        <w:rPr>
          <w:i/>
        </w:rPr>
        <w:t>и CCC [215,227,228]. Препарат не следует назначать больным с поражениями печени и хроническим алкоголизмом.</w:t>
      </w:r>
      <w:r>
        <w:rPr>
          <w:color w:val="FF0000"/>
        </w:rPr>
        <w:t xml:space="preserve"> </w:t>
      </w:r>
    </w:p>
    <w:p w:rsidR="000A3B51" w:rsidRDefault="003D0A08">
      <w:pPr>
        <w:numPr>
          <w:ilvl w:val="1"/>
          <w:numId w:val="16"/>
        </w:numPr>
        <w:spacing w:after="21" w:line="385" w:lineRule="auto"/>
        <w:ind w:right="755"/>
      </w:pPr>
      <w:r>
        <w:t>Трамадол** (N02AX02, фармако-терапевтическая группа ГРЛС: анальгетики; опиоиды; другие опиоиды) усло</w:t>
      </w:r>
      <w:r>
        <w:t xml:space="preserve">вно рекомендуется использовать короткими курсами при генерализованном ОА для контроля сильной боли, резистентной к предшествующей консервативной терапии, или при наличии медицинских противопоказаний к ее проведению [98,100,229–232].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31" w:anchor="100719">
        <w:r>
          <w:rPr>
            <w:b/>
          </w:rPr>
          <w:t>В</w:t>
        </w:r>
      </w:hyperlink>
      <w:hyperlink r:id="rId32" w:anchor="100719">
        <w:r>
          <w:rPr>
            <w:b/>
          </w:rPr>
          <w:t xml:space="preserve"> </w:t>
        </w:r>
      </w:hyperlink>
      <w:r>
        <w:rPr>
          <w:b/>
        </w:rPr>
        <w:t>(уровень достоверности доказательств – 1).</w:t>
      </w:r>
      <w:r>
        <w:t xml:space="preserve"> </w:t>
      </w:r>
      <w:r>
        <w:rPr>
          <w:b/>
        </w:rPr>
        <w:t>Комментарий</w:t>
      </w:r>
      <w:r>
        <w:t xml:space="preserve">: </w:t>
      </w:r>
      <w:r>
        <w:rPr>
          <w:i/>
        </w:rPr>
        <w:t>трамадол** рекомендовано применять для купирования сильной боли в течение короткого периода времени при неэффективности НПВП и парацетамола**, а также невозможности назначения оптимальны</w:t>
      </w:r>
      <w:r>
        <w:rPr>
          <w:i/>
        </w:rPr>
        <w:t>х доз этих лекарственных средств. Отсутствие прямого ульцерогенного и протромботического влияния трамадола** делает возможным его назначение у больных с высоким ЖКТ и кардиоваскулярным риском. В первые дни приема рекомендована доза 50 мг в день с последующ</w:t>
      </w:r>
      <w:r>
        <w:rPr>
          <w:i/>
        </w:rPr>
        <w:t>им увеличением при необходимости до 200-300 мг в сутки. Препарат оказывает дозозависимое анальгетическое действие при ОА, так максимальное обезболивающее действие отмечено при его приеме в дозе 300 мг. Однако с увеличением дозы наблюдается нарастание риско</w:t>
      </w:r>
      <w:r>
        <w:rPr>
          <w:i/>
        </w:rPr>
        <w:t xml:space="preserve">в развития НР, особенно со стороны ЖКТ и центральной нервной системы (тошнота, запоры, нарушения сна, головокружение, возможность развития привыкания и т.д.). Существуют также опасения относительно использования трамадола** при ОА из-за повышенного уровня </w:t>
      </w:r>
      <w:r>
        <w:rPr>
          <w:i/>
        </w:rPr>
        <w:t>смертности, венозной тромбоэмболии и переломов бедра по сравнению с обычно назначаемыми НПВП [233,234]. Интоксикация трамадолом**, хотя и является редким явлением, может сопровождаться серьезными побочными эффектами, включая нарушения сознания (до 30%), су</w:t>
      </w:r>
      <w:r>
        <w:rPr>
          <w:i/>
        </w:rPr>
        <w:t>дороги (около 15%), возбуждение (до 10%) и угнетение дыхания (до 5%) [235,236]. Также при применении трамадола** возможен риск развития серотонинового синдрома, связанного с избыточной серотонинергической активностью в ЦНС [237].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1"/>
          <w:numId w:val="16"/>
        </w:numPr>
        <w:spacing w:after="27" w:line="382" w:lineRule="auto"/>
        <w:ind w:right="755"/>
      </w:pPr>
      <w:r>
        <w:t>Дулоксетин (N06AX21, фарм</w:t>
      </w:r>
      <w:r>
        <w:t>ако-терапевтическая группа ГРЛС: психоаналептики; антидепрессанты; другие антидепрессанты) условно рекомендуется для контроля хронической боли при генерализованном ОА, при неэффективности предшествующей консервативной терапии и при наличии признаков центра</w:t>
      </w:r>
      <w:r>
        <w:t xml:space="preserve">льной сенситизации, невропатической боли и/или депрессии [98,100,101,232,238–245]. 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33" w:anchor="100719">
        <w:r>
          <w:rPr>
            <w:b/>
          </w:rPr>
          <w:t>А</w:t>
        </w:r>
      </w:hyperlink>
      <w:hyperlink r:id="rId34" w:anchor="100719">
        <w:r>
          <w:rPr>
            <w:b/>
          </w:rPr>
          <w:t xml:space="preserve"> </w:t>
        </w:r>
      </w:hyperlink>
      <w:r>
        <w:rPr>
          <w:b/>
        </w:rPr>
        <w:t>(уровень достоверности доказательств – 1). Комментарии:</w:t>
      </w:r>
      <w:r>
        <w:t xml:space="preserve"> </w:t>
      </w:r>
      <w:r>
        <w:rPr>
          <w:i/>
        </w:rPr>
        <w:t>дулоксетин относится к группе селективных ингибиторов обратного захвата серотонина и норадреналина, с</w:t>
      </w:r>
      <w:r>
        <w:rPr>
          <w:i/>
        </w:rPr>
        <w:t>пособствует также слабому подавлению захвата дофамина.</w:t>
      </w:r>
      <w:r>
        <w:rPr>
          <w:b/>
        </w:rPr>
        <w:t xml:space="preserve"> </w:t>
      </w:r>
      <w:r>
        <w:rPr>
          <w:i/>
        </w:rPr>
        <w:t xml:space="preserve">Препарат рассматривается как альтернативный метод терапии у пациентов с признаками центральной сенситизации, депрессии и распространенной/хронической боли.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Результаты последних метаанализов демонстри</w:t>
      </w:r>
      <w:r>
        <w:rPr>
          <w:i/>
        </w:rPr>
        <w:t>руют неоднозначные результаты в отношении эффективности дулоксетина при ОА [238,239,244].</w:t>
      </w:r>
      <w:r>
        <w:t xml:space="preserve"> </w:t>
      </w:r>
      <w:r>
        <w:rPr>
          <w:i/>
        </w:rPr>
        <w:t>Анализ краткосрочного применения препарата (до 2 недель) выявляет отсутствие значимого анальгетического эффекта, в то время как более длительные курсы терапии (от 6 недель до года) демонстрируют статистически значимое, хотя и клинически невыраженное улучше</w:t>
      </w:r>
      <w:r>
        <w:rPr>
          <w:i/>
        </w:rPr>
        <w:t>ние [238]. Большинство исследований, изучающих эффективность дулоксетина, были проведены при ОА коленного сустава, данные о его применении при поражении тазобедренного сустава, хронической боли в нижней части спины носят ограниченный характер. В связи с эт</w:t>
      </w:r>
      <w:r>
        <w:rPr>
          <w:i/>
        </w:rPr>
        <w:t>им, в рекомендациях OARSI (2019) дулоксетин не включен в перечень рекомендуемых препаратов для лечения генерализованного ОА [101]. В то же время, АКР (2019) признает, что, несмотря на преобладание данных при поражении коленных суставов, потенциальный эффек</w:t>
      </w:r>
      <w:r>
        <w:rPr>
          <w:i/>
        </w:rPr>
        <w:t>т дулоксетина может быть аналогичным при ОА тазобедренных суставов и суставов кистей [98]. При терапии дулоксетином наблюдается высокий риск возникновения НР, таких как тошнота, запор, гипергидроз, кашель, миалгия, артралгия, тахикардия, сухость во рту и п</w:t>
      </w:r>
      <w:r>
        <w:rPr>
          <w:i/>
        </w:rPr>
        <w:t>р.</w:t>
      </w:r>
      <w:r>
        <w:t xml:space="preserve"> Э</w:t>
      </w:r>
      <w:r>
        <w:rPr>
          <w:i/>
        </w:rPr>
        <w:t xml:space="preserve">то обуславливает необходимость тщательного мониторинга со стороны медицинского персонала и осторожного увеличения дозы препарата, начиная с минимальной – 30 мг в сутки [238]. 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1"/>
          <w:numId w:val="16"/>
        </w:numPr>
        <w:spacing w:after="20" w:line="383" w:lineRule="auto"/>
        <w:ind w:right="755"/>
      </w:pPr>
      <w:r>
        <w:t>Противоэпилептические препараты (прегабалин** (N02BF02, фармакотерапевтичес</w:t>
      </w:r>
      <w:r>
        <w:t>кая группа ГРЛС: анальгетики; другие анальгетики и антипиретики), габапентин (N03AX12, фармако-терапевтическая группа ГРЛС: противоэпилептические препараты; другие противоэпилептические препараты) условно рекомендуется для контроля хронической боли при ген</w:t>
      </w:r>
      <w:r>
        <w:t xml:space="preserve">ерализованном ОА, при неэффективности предшествующей консервативной терапии и при наличии признаков центральной сенситизации и нейропатической боли [246–249]. </w:t>
      </w:r>
    </w:p>
    <w:p w:rsidR="000A3B51" w:rsidRDefault="003D0A08">
      <w:pPr>
        <w:spacing w:after="10" w:line="386" w:lineRule="auto"/>
        <w:ind w:left="355" w:right="753"/>
      </w:pPr>
      <w:r>
        <w:rPr>
          <w:b/>
        </w:rPr>
        <w:t>Уровень убедительности рекомендации- B (уровень достоверности доказательст - 2) Комментарии:</w:t>
      </w:r>
      <w:r>
        <w:rPr>
          <w:i/>
        </w:rPr>
        <w:t xml:space="preserve"> пре</w:t>
      </w:r>
      <w:r>
        <w:rPr>
          <w:i/>
        </w:rPr>
        <w:t>габалин** или габапентин может быть рекомендован пациентам с генерализованным ОА, при наличиии невропатической боли и/или центральной сенситизации, резистентной к предшествующей консервативной терапии. В ряде работ было показано, что включение одного из эт</w:t>
      </w:r>
      <w:r>
        <w:rPr>
          <w:i/>
        </w:rPr>
        <w:t xml:space="preserve">их препаратов в комплексную терапию у пациентов с ОА коленных суставов и суставов кистей приводило не только к снижению интенсивности боли, но и улучшению их функционального состояния [250–252]. </w:t>
      </w:r>
    </w:p>
    <w:p w:rsidR="000A3B51" w:rsidRDefault="003D0A08">
      <w:pPr>
        <w:spacing w:after="300" w:line="386" w:lineRule="auto"/>
        <w:ind w:left="355" w:right="753"/>
      </w:pPr>
      <w:r>
        <w:rPr>
          <w:i/>
        </w:rPr>
        <w:t>Следует начинать терапию с минимальных доз (прегабалин** – 7</w:t>
      </w:r>
      <w:r>
        <w:rPr>
          <w:i/>
        </w:rPr>
        <w:t>5 мг, габапентин – 300 мг), постепенно титруя дозу до развития обезболивающего эффекта (максимальные дозы в РКИ для прегабалина** – 600 мг, габапентин – 1800 мг) [368–371]. Назначение препарата, титрование дозы и длительность приема должен определять врач-</w:t>
      </w:r>
      <w:r>
        <w:rPr>
          <w:i/>
        </w:rPr>
        <w:t>невролог.  При применении прегабалина** и габапентина возможно развитие различных НР, включая головокружение, сонливость, периферические отеки и тошноту. Учитывая также потенциальную возможность возникновения суицидального поведения и летальных исходов[253</w:t>
      </w:r>
      <w:r>
        <w:rPr>
          <w:i/>
        </w:rPr>
        <w:t xml:space="preserve">–256], требуется строгий медицинский контроль за пациентами, принимающими данные препараты. </w:t>
      </w:r>
      <w:r>
        <w:rPr>
          <w:color w:val="FF0000"/>
        </w:rPr>
        <w:t xml:space="preserve"> </w:t>
      </w:r>
    </w:p>
    <w:p w:rsidR="000A3B51" w:rsidRDefault="003D0A08">
      <w:pPr>
        <w:pStyle w:val="Heading3"/>
        <w:spacing w:after="232"/>
        <w:ind w:left="1063" w:right="749"/>
      </w:pPr>
      <w:r>
        <w:t xml:space="preserve">3.1.3 Внутрисуставные инъекции </w:t>
      </w:r>
    </w:p>
    <w:p w:rsidR="000A3B51" w:rsidRDefault="003D0A08">
      <w:pPr>
        <w:spacing w:after="39" w:line="371" w:lineRule="auto"/>
        <w:ind w:left="720" w:right="755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В случаях наличия синовита при генерализованном ОА, который не купируются другими методами консервативной терапии, рекомендуется</w:t>
      </w:r>
      <w:r>
        <w:t xml:space="preserve"> внутрисуставное введение глюкокортикоидов [102, 104, 105, 354], но не чаще 2-3 раз в год в один сустав. </w:t>
      </w:r>
    </w:p>
    <w:p w:rsidR="000A3B51" w:rsidRDefault="003D0A08">
      <w:pPr>
        <w:spacing w:after="3" w:line="267" w:lineRule="auto"/>
        <w:ind w:left="355" w:right="753"/>
      </w:pPr>
      <w:r>
        <w:rPr>
          <w:b/>
        </w:rPr>
        <w:t>Уровень убедительности рекомендаций С (уровень достоверности доказательств – 5).</w:t>
      </w:r>
      <w:r>
        <w:t xml:space="preserve"> </w:t>
      </w:r>
    </w:p>
    <w:p w:rsidR="000A3B51" w:rsidRDefault="003D0A08">
      <w:pPr>
        <w:spacing w:after="2" w:line="386" w:lineRule="auto"/>
        <w:ind w:left="355" w:right="753"/>
      </w:pPr>
      <w:r>
        <w:rPr>
          <w:b/>
        </w:rPr>
        <w:t>Комментарии:</w:t>
      </w:r>
      <w:r>
        <w:t xml:space="preserve"> </w:t>
      </w:r>
      <w:r>
        <w:rPr>
          <w:i/>
        </w:rPr>
        <w:t>внутрисуставное введение ГК рекомендованы при наличии с</w:t>
      </w:r>
      <w:r>
        <w:rPr>
          <w:i/>
        </w:rPr>
        <w:t>иновита и отсутствии ответа на предшествующую терапию при ОА коленных суставов большинством руководств по лечению этого заболевания [98,100,101,232].</w:t>
      </w:r>
      <w:r>
        <w:rPr>
          <w:color w:val="FF0000"/>
        </w:rPr>
        <w:t xml:space="preserve"> </w:t>
      </w:r>
      <w:r>
        <w:rPr>
          <w:i/>
        </w:rPr>
        <w:t>При ОА суставов кистей или тазобедренных суставов локальное применение ГК условно рекомендовано [132,232].</w:t>
      </w:r>
      <w:r>
        <w:rPr>
          <w:i/>
        </w:rPr>
        <w:t xml:space="preserve"> Данные разногласия связаны с тем, что имеется ограниченное количество публикаций по эффективности и безопасности внутрисуставных введений ГК при этих локализациях заболевания [257].</w:t>
      </w:r>
      <w:r>
        <w:t xml:space="preserve"> </w:t>
      </w:r>
      <w:r>
        <w:rPr>
          <w:i/>
          <w:color w:val="FF0000"/>
        </w:rPr>
        <w:t xml:space="preserve">  </w:t>
      </w:r>
    </w:p>
    <w:p w:rsidR="000A3B51" w:rsidRDefault="003D0A08">
      <w:pPr>
        <w:spacing w:after="129" w:line="386" w:lineRule="auto"/>
        <w:ind w:left="355" w:right="753"/>
      </w:pPr>
      <w:r>
        <w:rPr>
          <w:i/>
        </w:rPr>
        <w:t>ГК обладает большей эффективностью по сравнению с плацебо, однако их действие в основном кратковременно, и наибольшая их эффективность отмечена через 1–2 нед. после инъекции [258].</w:t>
      </w:r>
      <w:r>
        <w:t xml:space="preserve">    </w:t>
      </w:r>
    </w:p>
    <w:p w:rsidR="000A3B51" w:rsidRDefault="003D0A08">
      <w:pPr>
        <w:spacing w:after="134" w:line="386" w:lineRule="auto"/>
        <w:ind w:left="355" w:right="753"/>
      </w:pPr>
      <w:r>
        <w:rPr>
          <w:i/>
        </w:rPr>
        <w:t>В настоящее время доступны следующие ГК для внутрисуставного применения</w:t>
      </w:r>
      <w:r>
        <w:rPr>
          <w:i/>
        </w:rPr>
        <w:t>: триамцинолон (40 мг/мл)</w:t>
      </w:r>
      <w:r>
        <w:t xml:space="preserve"> </w:t>
      </w:r>
      <w:r>
        <w:rPr>
          <w:i/>
        </w:rPr>
        <w:t xml:space="preserve">(H02AB08, фармакотерапевтическая группа ГРЛС: кортикостероиды системного действия; глюкокортикоиды), бетаметазон (0,25 – 2 мл) (H02AB, Глюкокортикоиды) и гидрокортизона ацетат+лидокаин (25 мг+5 мг/мл) (H02AB09, Глюкокортикоиды).  </w:t>
      </w:r>
    </w:p>
    <w:p w:rsidR="000A3B51" w:rsidRDefault="003D0A08">
      <w:pPr>
        <w:spacing w:after="2" w:line="386" w:lineRule="auto"/>
        <w:ind w:left="355" w:right="753"/>
      </w:pPr>
      <w:r>
        <w:rPr>
          <w:i/>
        </w:rPr>
        <w:t>Не следует выполнять более 2-3 инъекций в год в один и тот же сустав в связи с риском развития остеонекроза [259]</w:t>
      </w:r>
      <w:r>
        <w:rPr>
          <w:i/>
          <w:color w:val="FF0000"/>
        </w:rPr>
        <w:t xml:space="preserve"> </w:t>
      </w:r>
      <w:r>
        <w:rPr>
          <w:i/>
        </w:rPr>
        <w:t xml:space="preserve">и уменьшения объема хрящевой ткани [260,261] Проведение </w:t>
      </w:r>
    </w:p>
    <w:p w:rsidR="000A3B51" w:rsidRDefault="003D0A08">
      <w:pPr>
        <w:spacing w:after="156" w:line="386" w:lineRule="auto"/>
        <w:ind w:left="355" w:right="753"/>
      </w:pPr>
      <w:r>
        <w:rPr>
          <w:i/>
        </w:rPr>
        <w:t>данных инъекций показано под визуальным контролем (УЗИ), что повышает терапевтическу</w:t>
      </w:r>
      <w:r>
        <w:rPr>
          <w:i/>
        </w:rPr>
        <w:t xml:space="preserve">ю эффективность и снижает риск развития НР. </w:t>
      </w:r>
    </w:p>
    <w:p w:rsidR="000A3B51" w:rsidRDefault="003D0A08">
      <w:pPr>
        <w:spacing w:after="3" w:line="398" w:lineRule="auto"/>
        <w:ind w:left="712" w:right="751"/>
        <w:jc w:val="right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Внутрисуставное </w:t>
      </w:r>
      <w:r>
        <w:tab/>
        <w:t xml:space="preserve">введение </w:t>
      </w:r>
      <w:r>
        <w:tab/>
        <w:t xml:space="preserve">средств </w:t>
      </w:r>
      <w:r>
        <w:tab/>
        <w:t xml:space="preserve">для </w:t>
      </w:r>
      <w:r>
        <w:tab/>
        <w:t xml:space="preserve">замещения </w:t>
      </w:r>
      <w:r>
        <w:tab/>
        <w:t>синовиальной жидкости*** (протезов синовиальной жидкости) на основе гиалуроновой кислоты условно рекомендуется при генерализованном ОА в наиболее пораженный</w:t>
      </w:r>
      <w:r>
        <w:t xml:space="preserve"> крупный сустав для контроля боли, резистентной к предшествующей консервативной терапии или при наличии медицинских противопоказаний к ее проведению [262–269].</w:t>
      </w:r>
      <w:r>
        <w:rPr>
          <w:i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B (уровень достоверности доказательств – 1). Комментарии:</w:t>
      </w:r>
      <w:r>
        <w:rPr>
          <w:i/>
        </w:rPr>
        <w:t xml:space="preserve"> в</w:t>
      </w:r>
      <w:r>
        <w:rPr>
          <w:i/>
        </w:rPr>
        <w:t>нутрисуставное применение производных гиалуроната натрия показано при неэффективности предыдущих методов лечения и отсутствии синовита («сухой» сустав). Целесообразно введение этих лекарственных препаратов под ультразвуковой навигацией или, по крайней мере</w:t>
      </w:r>
      <w:r>
        <w:rPr>
          <w:i/>
        </w:rPr>
        <w:t xml:space="preserve">, проведение данного исследования перед этой процедурой [270,271].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 xml:space="preserve">Препараты на основе гиалуроната при ОА коленных или тазобедренных суставов способствуют уменьшению боли, улучшению функции сустава и качества жизни пациента [264,272,273].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134" w:line="386" w:lineRule="auto"/>
        <w:ind w:left="355" w:right="753"/>
      </w:pPr>
      <w:r>
        <w:rPr>
          <w:i/>
        </w:rPr>
        <w:t xml:space="preserve">Максимальный </w:t>
      </w:r>
      <w:r>
        <w:rPr>
          <w:i/>
        </w:rPr>
        <w:t xml:space="preserve">клинический эффект достигается в среднем через 8 недель после их применения, после чего к 6 месяцам наблюдается постепенное снижение терапевтической эффективности [273].  </w:t>
      </w:r>
    </w:p>
    <w:p w:rsidR="000A3B51" w:rsidRDefault="003D0A08">
      <w:pPr>
        <w:spacing w:after="85" w:line="386" w:lineRule="auto"/>
        <w:ind w:left="355" w:right="753"/>
      </w:pPr>
      <w:r>
        <w:rPr>
          <w:i/>
        </w:rPr>
        <w:t>Cуществует ограниченное количество работ, подтверждающих эффективность этих средст п</w:t>
      </w:r>
      <w:r>
        <w:rPr>
          <w:i/>
        </w:rPr>
        <w:t>ри ОА суставов кистей (1 ЗПС) [274–277],</w:t>
      </w:r>
      <w:r>
        <w:rPr>
          <w:i/>
          <w:color w:val="FF0000"/>
        </w:rPr>
        <w:t xml:space="preserve"> </w:t>
      </w:r>
      <w:r>
        <w:rPr>
          <w:i/>
        </w:rPr>
        <w:t>и нет доказательств при поражении первого плюснефалангового сустава [278].</w:t>
      </w:r>
      <w:r>
        <w:rPr>
          <w:i/>
          <w:color w:val="FF0000"/>
        </w:rPr>
        <w:t xml:space="preserve">  </w:t>
      </w:r>
    </w:p>
    <w:p w:rsidR="000A3B51" w:rsidRDefault="003D0A08">
      <w:pPr>
        <w:spacing w:after="88" w:line="386" w:lineRule="auto"/>
        <w:ind w:left="355" w:right="753"/>
      </w:pPr>
      <w:r>
        <w:rPr>
          <w:i/>
        </w:rPr>
        <w:t>Использование производных гиалуроната имеет более благоприятный профиль безопасности по сравнению с НПВП и может быть альтернативой послед</w:t>
      </w:r>
      <w:r>
        <w:rPr>
          <w:i/>
        </w:rPr>
        <w:t>ним при лечении ОА коленных и/или тазобедренных суставов, особенно у пациентов, имеющим противопоказания к ним, а также у лиц с высокой коморбидностью. Накапливаются данные, свидетельствующие о преимуществе высокомолекулярных гиалуроновых кислот над низком</w:t>
      </w:r>
      <w:r>
        <w:rPr>
          <w:i/>
        </w:rPr>
        <w:t xml:space="preserve">олекулярными [265,268], также отмечено, что повторные внутрисуставные введения этих препаратов не только эффективны, но и безопасны [213,266,267].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158" w:line="386" w:lineRule="auto"/>
        <w:ind w:left="355" w:right="753"/>
      </w:pPr>
      <w:r>
        <w:rPr>
          <w:i/>
        </w:rPr>
        <w:t>Тем не менее, нельзя не отметить те факторы, которые могут снижать эффективность терапии – это высокий ИМТ,</w:t>
      </w:r>
      <w:r>
        <w:rPr>
          <w:i/>
        </w:rPr>
        <w:t xml:space="preserve"> продвинутая рентгенологическая стадия, неправильная методика выполнения в/с инъекций, введение препарата не по показаниям (не в «сухой» сустав) и др [272,279].</w:t>
      </w:r>
      <w:r>
        <w:t xml:space="preserve">  </w:t>
      </w:r>
    </w:p>
    <w:p w:rsidR="000A3B51" w:rsidRDefault="003D0A08">
      <w:pPr>
        <w:spacing w:after="22" w:line="386" w:lineRule="auto"/>
        <w:ind w:left="1080" w:right="755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Внутрисуставное введение обогащенной тромбоцитами плазмы условно не рекомендуется при </w:t>
      </w:r>
      <w:r>
        <w:t xml:space="preserve">генерализованном ОА [98,100,101].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>Уровень убедительности рекомендаций С (уровень достоверности доказательств – 5). Комментарии:</w:t>
      </w:r>
      <w:r>
        <w:t xml:space="preserve"> </w:t>
      </w:r>
      <w:r>
        <w:rPr>
          <w:i/>
        </w:rPr>
        <w:t>нестандартизированные методы приготовления обогащенной тромбоцитами плазмы, наряду с вариабельностью дозирования и частоты инъ</w:t>
      </w:r>
      <w:r>
        <w:rPr>
          <w:i/>
        </w:rPr>
        <w:t>екций, а также непостоянством состава, затрудняют объективную оценку эффективности данного метода лечения [280]. В связи с этим требуется проведение дальнейших исследований для уточнения их симптоматического и структурного воздействия.  Вместе с тем, данны</w:t>
      </w:r>
      <w:r>
        <w:rPr>
          <w:i/>
        </w:rPr>
        <w:t>й метод лечения может быть условно рекомендован пациентам с ОА коленных и/или тазобедренных суставов, у которых не достигнут адекватный контроль боли при помощи предшествующей консервативной терапии, при наличии противопоказаний к ее проведению и по инициа</w:t>
      </w:r>
      <w:r>
        <w:rPr>
          <w:i/>
        </w:rPr>
        <w:t xml:space="preserve">тиве пациента. Введение этих препаратов целесообразно под ультразвуковой навигацией или, по крайней мере, необходимо проводить данное исследование перед выполнением процедуры [270,271].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Согласно имеющимся данным,</w:t>
      </w:r>
      <w:r>
        <w:rPr>
          <w:rFonts w:ascii="Calibri" w:eastAsia="Calibri" w:hAnsi="Calibri" w:cs="Calibri"/>
        </w:rPr>
        <w:t xml:space="preserve"> </w:t>
      </w:r>
      <w:r>
        <w:rPr>
          <w:i/>
        </w:rPr>
        <w:t>внутрисуставные введения обогащенной тромбоцитами плазмы способствуют уменьшению боли в течение шести- двенадцати месяцев и улучшению функции сустава при ОА коленных и тазобедренных суставов [272,281–287].</w:t>
      </w:r>
      <w:r>
        <w:rPr>
          <w:color w:val="FF0000"/>
        </w:rPr>
        <w:t xml:space="preserve"> </w:t>
      </w:r>
      <w:r>
        <w:rPr>
          <w:i/>
        </w:rPr>
        <w:t>Также отмечено, что повторные внутрисуставные введ</w:t>
      </w:r>
      <w:r>
        <w:rPr>
          <w:i/>
        </w:rPr>
        <w:t>ения этих препаратов не только эффективны, но и безопасны при ОА коленных суставов [288].</w:t>
      </w:r>
      <w:r>
        <w:rPr>
          <w:color w:val="FF0000"/>
        </w:rPr>
        <w:t xml:space="preserve"> </w:t>
      </w:r>
      <w:r>
        <w:rPr>
          <w:i/>
        </w:rPr>
        <w:t>Имеются единичные работы, показавших эффективность данного метода лечения при ОА 1 ЗПС</w:t>
      </w:r>
      <w:r>
        <w:rPr>
          <w:color w:val="FF0000"/>
        </w:rPr>
        <w:t xml:space="preserve"> </w:t>
      </w:r>
      <w:r>
        <w:t>[289]</w:t>
      </w:r>
      <w:r>
        <w:rPr>
          <w:i/>
        </w:rPr>
        <w:t>фасеточных суставов поясничного отдела позвоночника и крестцово-подвздошны</w:t>
      </w:r>
      <w:r>
        <w:rPr>
          <w:i/>
        </w:rPr>
        <w:t>х суставов[290–295].</w:t>
      </w:r>
      <w:r>
        <w:rPr>
          <w:color w:val="FF0000"/>
        </w:rPr>
        <w:t xml:space="preserve">  </w:t>
      </w:r>
    </w:p>
    <w:p w:rsidR="000A3B51" w:rsidRDefault="003D0A08">
      <w:pPr>
        <w:spacing w:after="13" w:line="386" w:lineRule="auto"/>
        <w:ind w:left="355" w:right="753"/>
      </w:pPr>
      <w:r>
        <w:rPr>
          <w:i/>
        </w:rPr>
        <w:t xml:space="preserve">Профиль безопасности данной терапии сопоставим с плацебо. Наиболее частой НР является кратковременное (в течение 1-3 дней) усиление боли [296–298], которое, как правило, разрешается самостоятельно или после приема парацетамола.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Нео</w:t>
      </w:r>
      <w:r>
        <w:rPr>
          <w:i/>
        </w:rPr>
        <w:t>бходимо помнить, что рекомендуется прекратить прием всех НПВП, включая ацетилсалициловую кислоту**, за четыре-пять периодов полувыведения (в частности, ацетилсалициловую кислоту** за неделю) до проведения инъекции. От приема этих лекарственных средств след</w:t>
      </w:r>
      <w:r>
        <w:rPr>
          <w:i/>
        </w:rPr>
        <w:t>ует также воздержаться и после процедуры, в течение четырех-восьми недель, что соответствует периоду максимальной эффективности биопрепарата. После введения обогащенной тромбоцитами плазмы необходимо ограничить нагрузки на сустав в течение 2-7 дней (длител</w:t>
      </w:r>
      <w:r>
        <w:rPr>
          <w:i/>
        </w:rPr>
        <w:t xml:space="preserve">ьность ограничений определяется индивидуально лечащим врачом, исходя из клинической ситуации и потребностей пациента) [290]. </w:t>
      </w:r>
    </w:p>
    <w:p w:rsidR="000A3B51" w:rsidRDefault="003D0A08">
      <w:pPr>
        <w:spacing w:after="39" w:line="371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Внутрисуставное введение аутологичной стромально-васкулярной фракции в полость сустава и/или аутоклеток красного костного мозга </w:t>
      </w:r>
      <w:r>
        <w:t xml:space="preserve">при генерализованном ОА условно не рекомендуется [98,100,101]. 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 xml:space="preserve">Уровень убедительности рекомендаций </w:t>
      </w:r>
      <w:hyperlink r:id="rId35" w:anchor="100719">
        <w:r>
          <w:rPr>
            <w:b/>
          </w:rPr>
          <w:t>С</w:t>
        </w:r>
      </w:hyperlink>
      <w:hyperlink r:id="rId36" w:anchor="100719">
        <w:r>
          <w:rPr>
            <w:b/>
          </w:rPr>
          <w:t xml:space="preserve"> </w:t>
        </w:r>
      </w:hyperlink>
      <w:r>
        <w:rPr>
          <w:b/>
        </w:rPr>
        <w:t>(уровень достоверности доказательств – 5). Комментарии:</w:t>
      </w:r>
      <w:r>
        <w:t xml:space="preserve"> </w:t>
      </w:r>
      <w:r>
        <w:rPr>
          <w:i/>
        </w:rPr>
        <w:t>нестандартизированные методы приготовления аутологичной стромально-васкулярной фракции и/или аутоклеток красного костного</w:t>
      </w:r>
      <w:r>
        <w:rPr>
          <w:i/>
        </w:rPr>
        <w:t xml:space="preserve"> мозга, значительная гетерогенность в источнике клеток (аллогенные или аутологичные) и типе, наряду с вариабельностью дозирования и частоты инъекций, а также непостоянством состава, затрудняют объективную оценку эффективности данного метода лечения. В связ</w:t>
      </w:r>
      <w:r>
        <w:rPr>
          <w:i/>
        </w:rPr>
        <w:t xml:space="preserve">и с этим, требуется проведение дальнейших исследований для уточнения их симптоматического и структурного воздействия.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Вместе с тем, данный метод лечения может быть условно рекомендован пациентам с ОА коленных и/или тазобедренных суставов, у которых не до</w:t>
      </w:r>
      <w:r>
        <w:rPr>
          <w:i/>
        </w:rPr>
        <w:t>стигнут адекватный контроль боли при помощи предшествующей консервативной терапии, при наличии противопоказаний к ее проведению и по инициативе пациента [290,299–306].</w:t>
      </w:r>
      <w:r>
        <w:t xml:space="preserve">   </w:t>
      </w:r>
    </w:p>
    <w:p w:rsidR="000A3B51" w:rsidRDefault="003D0A08">
      <w:pPr>
        <w:spacing w:after="301" w:line="386" w:lineRule="auto"/>
        <w:ind w:left="355" w:right="753"/>
      </w:pPr>
      <w:r>
        <w:rPr>
          <w:i/>
        </w:rPr>
        <w:t>Введение этих средств целесообразно под ультразвуковой навигацией или, по крайней мер</w:t>
      </w:r>
      <w:r>
        <w:rPr>
          <w:i/>
        </w:rPr>
        <w:t>е, необходимо проводить данное исследование перед выполнением процедуры. На сегодняшний день имеются единичные работы, показавшие эффективность данного метода лечения при ОА 1 ЗПС [289]</w:t>
      </w:r>
      <w:r>
        <w:rPr>
          <w:color w:val="FF0000"/>
        </w:rPr>
        <w:t xml:space="preserve"> </w:t>
      </w:r>
      <w:r>
        <w:t>и</w:t>
      </w:r>
      <w:r>
        <w:rPr>
          <w:color w:val="FF0000"/>
        </w:rPr>
        <w:t xml:space="preserve"> </w:t>
      </w:r>
      <w:r>
        <w:rPr>
          <w:i/>
        </w:rPr>
        <w:t>фасеточных суставов поясничного отдела позвоночника [307].</w:t>
      </w:r>
      <w:r>
        <w:rPr>
          <w:color w:val="FF0000"/>
        </w:rPr>
        <w:t xml:space="preserve"> </w:t>
      </w:r>
      <w:r>
        <w:rPr>
          <w:i/>
        </w:rPr>
        <w:t>Профиль б</w:t>
      </w:r>
      <w:r>
        <w:rPr>
          <w:i/>
        </w:rPr>
        <w:t>езопасности данной терапии характеризуется как хороший [272]. Процедура забора материала может сопровождаться такими НР, как боль и образование гематом в области пункции. Редко, при липоаспирации, могут возникать незначительные косметические дефекты. С цел</w:t>
      </w:r>
      <w:r>
        <w:rPr>
          <w:i/>
        </w:rPr>
        <w:t xml:space="preserve">ью минимизации риска развития данных осложнений, необходимо строгое соблюдение правил выполнения техники аспирации [308].  </w:t>
      </w:r>
    </w:p>
    <w:p w:rsidR="000A3B51" w:rsidRDefault="003D0A08">
      <w:pPr>
        <w:pStyle w:val="Heading2"/>
        <w:spacing w:after="181"/>
        <w:ind w:left="1063" w:right="749"/>
      </w:pPr>
      <w:r>
        <w:t xml:space="preserve">3.2 Хирургическое лечение </w:t>
      </w:r>
    </w:p>
    <w:tbl>
      <w:tblPr>
        <w:tblStyle w:val="TableGrid"/>
        <w:tblpPr w:vertAnchor="text" w:tblpX="1068" w:tblpY="-71"/>
        <w:tblOverlap w:val="never"/>
        <w:tblW w:w="708" w:type="dxa"/>
        <w:tblInd w:w="0" w:type="dxa"/>
        <w:tblCellMar>
          <w:top w:w="52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0A3B51">
        <w:trPr>
          <w:trHeight w:val="295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</w:tbl>
    <w:p w:rsidR="000A3B51" w:rsidRDefault="003D0A08">
      <w:pPr>
        <w:spacing w:after="29" w:line="377" w:lineRule="auto"/>
        <w:ind w:left="1078" w:right="755"/>
      </w:pPr>
      <w:r>
        <w:t>При неэффективности предшествующей терапии, прогрессировании боли, наличии деформаций, приводящих к значительному нарушению функций сустава и снижению качества жизни всем пациентам с генерализованным ОА рекомендован прием (осмотр, консультация) врача-травм</w:t>
      </w:r>
      <w:r>
        <w:t xml:space="preserve">атолога-ортопеда первичный для решения вопроса о возможности и целесообразности проведения оперативного вмешательства на суставах [50, 51, 100, 132, 309–313]. </w:t>
      </w:r>
    </w:p>
    <w:p w:rsidR="000A3B51" w:rsidRDefault="003D0A08">
      <w:pPr>
        <w:spacing w:after="304" w:line="386" w:lineRule="auto"/>
        <w:ind w:left="355" w:right="753"/>
      </w:pPr>
      <w:r>
        <w:rPr>
          <w:b/>
        </w:rPr>
        <w:t xml:space="preserve">Уровень убедительности рекомендаций - В (уровень достоверности доказательств - 2) </w:t>
      </w:r>
      <w:r>
        <w:rPr>
          <w:b/>
          <w:i/>
        </w:rPr>
        <w:t>Комментарии:</w:t>
      </w:r>
      <w:r>
        <w:rPr>
          <w:i/>
        </w:rPr>
        <w:t xml:space="preserve"> х</w:t>
      </w:r>
      <w:r>
        <w:rPr>
          <w:i/>
        </w:rPr>
        <w:t>ирургические методы лечения показаны при неэффективности предыдущего лечения у пациентов с сохраняющейся выраженной симптоматикой. В настоящее время наиболее эффективными методами хирургического лечения ОА являются корригирующие околосуставные остеотомии и</w:t>
      </w:r>
      <w:r>
        <w:rPr>
          <w:i/>
        </w:rPr>
        <w:t xml:space="preserve"> частичное/тотальное эндопротезирование (артропластика) при ОА коленных и тазобедренных суставов; трапецэктомия — при ОА I ЗПС, артродез/артропластика — при ОА межфаланговых суставов и артродез — при ОА I ПлФС. </w:t>
      </w:r>
    </w:p>
    <w:p w:rsidR="000A3B51" w:rsidRDefault="003D0A08">
      <w:pPr>
        <w:pStyle w:val="Heading1"/>
        <w:spacing w:after="12" w:line="371" w:lineRule="auto"/>
        <w:ind w:left="360" w:right="749" w:firstLine="708"/>
        <w:jc w:val="both"/>
      </w:pPr>
      <w:r>
        <w:t>4. Медицинская реабилитация и санаторно-куро</w:t>
      </w:r>
      <w:r>
        <w:t xml:space="preserve">ртное лечение, медицинские показания и противопоказания к применению методов медицинской реабилитации, в том числе основанных на использовании природных лечебных факторов </w:t>
      </w:r>
    </w:p>
    <w:p w:rsidR="000A3B51" w:rsidRDefault="003D0A08">
      <w:pPr>
        <w:numPr>
          <w:ilvl w:val="0"/>
          <w:numId w:val="17"/>
        </w:numPr>
        <w:spacing w:after="42" w:line="369" w:lineRule="auto"/>
        <w:ind w:right="755"/>
      </w:pPr>
      <w:r>
        <w:t>Всем пациентам с ОА рекомендовано обучение принципам управления заболеванием, которы</w:t>
      </w:r>
      <w:r>
        <w:t xml:space="preserve">е должны начинаться сразу после постановки диагноза и сопровождать лечение на всем его протяжении [50–52, 60, 98–102, 132, 208,314–320].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А (уровень достоверности доказательств – 1) </w:t>
      </w:r>
      <w:r>
        <w:t xml:space="preserve"> </w:t>
      </w:r>
      <w:r>
        <w:rPr>
          <w:b/>
        </w:rPr>
        <w:t xml:space="preserve">Комментарии: </w:t>
      </w:r>
      <w:r>
        <w:rPr>
          <w:i/>
        </w:rPr>
        <w:t>обучение пациентов</w:t>
      </w:r>
      <w:r>
        <w:rPr>
          <w:b/>
          <w:i/>
        </w:rPr>
        <w:t xml:space="preserve"> </w:t>
      </w:r>
      <w:r>
        <w:rPr>
          <w:i/>
        </w:rPr>
        <w:t>- обя</w:t>
      </w:r>
      <w:r>
        <w:rPr>
          <w:i/>
        </w:rPr>
        <w:t>зательный компонент всех терапевтических интервенций при ОА любых локализаций, в том числе при генерализованном ОА, проводится с учетом индивидуальных особенностей пациента и включает информацию о заболевании, рекомендации по изменению образа жизни, снижен</w:t>
      </w:r>
      <w:r>
        <w:rPr>
          <w:i/>
        </w:rPr>
        <w:t>ию массы тела и необходимости выполнения физических упражнений. Основной целью программ обучения является повышение эффективности проводимой терапии путем активного вовлечения пациента в лечебный процесс. Данные программы оказывают положительное влияние на</w:t>
      </w:r>
      <w:r>
        <w:rPr>
          <w:i/>
        </w:rPr>
        <w:t xml:space="preserve"> симптомы заболевания, улучшают функцию суставов и позвоночника, качество жизни, приверженность лечению. Обучающие программы должны быть организованы на постоянной основе.</w:t>
      </w:r>
      <w:r>
        <w:rPr>
          <w:b/>
          <w:i/>
        </w:rPr>
        <w:t xml:space="preserve">  </w:t>
      </w:r>
    </w:p>
    <w:p w:rsidR="000A3B51" w:rsidRDefault="003D0A08">
      <w:pPr>
        <w:numPr>
          <w:ilvl w:val="0"/>
          <w:numId w:val="17"/>
        </w:numPr>
        <w:spacing w:after="29" w:line="378" w:lineRule="auto"/>
        <w:ind w:right="755"/>
      </w:pPr>
      <w:r>
        <w:t xml:space="preserve">Пациентам с ОА настоятельно рекомендуется снижение веса при наличии избыточной массы тела или ожирения [50,51,60,98–102,314,315,317,321–327]. 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В (уровень достоверности доказательств – 1) Комментарии: </w:t>
      </w:r>
      <w:r>
        <w:rPr>
          <w:i/>
        </w:rPr>
        <w:t>коррекция массы те</w:t>
      </w:r>
      <w:r>
        <w:rPr>
          <w:i/>
        </w:rPr>
        <w:t>ла должна обязательно входить в комплексную программу лечения ОА, т.к. снижение веса, особенно в сочетании с ЛФК, приводит к уменьшению боли, улучшению функционального состояния коленных и тазобедренных суставов, позитивно влияет на структурные изменения в</w:t>
      </w:r>
      <w:r>
        <w:rPr>
          <w:i/>
        </w:rPr>
        <w:t xml:space="preserve"> хрящевой ткани.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>Пациентам с избыточным весом (индекс массы тела более 25 кг/м</w:t>
      </w:r>
      <w:r>
        <w:rPr>
          <w:i/>
          <w:vertAlign w:val="superscript"/>
        </w:rPr>
        <w:t>2</w:t>
      </w:r>
      <w:r>
        <w:rPr>
          <w:i/>
        </w:rPr>
        <w:t xml:space="preserve">) рекомендуется уменьшение массы тела минимум на 5-7,5% </w:t>
      </w:r>
      <w:r>
        <w:rPr>
          <w:i/>
        </w:rPr>
        <w:t>от первоначальных цифр.  Большая потеря веса приведет к увеличению пользы. Недавние исследования убедительно продемонстрировали, что снижение веса на 1% уменьшает риски тотального эндопротезирования коленного сустава на 2% [328]</w:t>
      </w:r>
      <w:r>
        <w:rPr>
          <w:b/>
          <w:i/>
          <w:color w:val="FF0000"/>
          <w:sz w:val="28"/>
        </w:rPr>
        <w:t xml:space="preserve">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>В случае ОА суставов кисте</w:t>
      </w:r>
      <w:r>
        <w:rPr>
          <w:i/>
        </w:rPr>
        <w:t xml:space="preserve">й снижение веса на 5% в длительном проспективном наблюдении не привело к значимому уменьшению риска развития и купирования боли в кистях [329].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 xml:space="preserve">Имеются данные о том, что ожирение увеличивает риск симптоматического ОА 1 ПлФС и, напротив, потеря веса может </w:t>
      </w:r>
      <w:r>
        <w:rPr>
          <w:i/>
        </w:rPr>
        <w:t xml:space="preserve">уменьшить интенсивность боли и проявления синовита (уровень достоверности доказательств – 3) [36,330,331]. 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Программа по снижению веса должна быть разработана с учетом потребностей конкретного человека. Четкие цели и пути их достижения должны опираться н</w:t>
      </w:r>
      <w:r>
        <w:rPr>
          <w:i/>
        </w:rPr>
        <w:t xml:space="preserve">а его социальную поддержку, индивидуальные особенности питания, контроль размеров порций, ограничение потребления жиров и сахара, регулирование времени приема пищи и работу с поведенческими триггерами, такими как стресс или плохой сон. </w:t>
      </w:r>
    </w:p>
    <w:p w:rsidR="000A3B51" w:rsidRDefault="003D0A08">
      <w:pPr>
        <w:spacing w:after="93" w:line="386" w:lineRule="auto"/>
        <w:ind w:left="355" w:right="753"/>
      </w:pPr>
      <w:r>
        <w:rPr>
          <w:i/>
        </w:rPr>
        <w:t>В целом речь идет н</w:t>
      </w:r>
      <w:r>
        <w:rPr>
          <w:i/>
        </w:rPr>
        <w:t xml:space="preserve">е о жестких диетических ограничениях, которые трудно реализовать на долгосрочной основе, а о постепенном формировании стиля питания, отвечающего актуальным терапевтическим целям. Резкие, нефизиологические ограничения в питании и голодание противопоказаны. </w:t>
      </w:r>
      <w:r>
        <w:rPr>
          <w:i/>
        </w:rPr>
        <w:t xml:space="preserve"> </w:t>
      </w:r>
    </w:p>
    <w:p w:rsidR="000A3B51" w:rsidRDefault="003D0A08">
      <w:pPr>
        <w:numPr>
          <w:ilvl w:val="0"/>
          <w:numId w:val="18"/>
        </w:numPr>
        <w:spacing w:after="0" w:line="382" w:lineRule="auto"/>
        <w:ind w:right="755"/>
      </w:pPr>
      <w:r>
        <w:t>Рекомендуется назначать биологически активные добавки, в том числе фармаконутрицевтики к пище в качестве дополнительной терапевтической опции у пациентов с ОА</w:t>
      </w:r>
      <w:r>
        <w:rPr>
          <w:color w:val="222222"/>
          <w:sz w:val="27"/>
        </w:rPr>
        <w:t xml:space="preserve"> </w:t>
      </w:r>
      <w:r>
        <w:t>[332–342]</w:t>
      </w:r>
      <w:r>
        <w:rPr>
          <w:color w:val="222222"/>
        </w:rPr>
        <w:t>.</w:t>
      </w:r>
      <w:r>
        <w:rPr>
          <w:color w:val="222222"/>
          <w:sz w:val="27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В (уровень достоверности доказательств – 2) Ком</w:t>
      </w:r>
      <w:r>
        <w:rPr>
          <w:b/>
        </w:rPr>
        <w:t xml:space="preserve">ментарии: </w:t>
      </w:r>
      <w:r>
        <w:rPr>
          <w:i/>
        </w:rPr>
        <w:t>появляется все больше доказательств того, что биологически активные добавки (БАД), в том числе фармаконутрицевтики, содержащие действующие вещества, такие как: пероральные коллагены, метилсульфонилметан, витамин Д, босвеллиевые кислоты, левокарни</w:t>
      </w:r>
      <w:r>
        <w:rPr>
          <w:i/>
        </w:rPr>
        <w:t xml:space="preserve">тин, шиповника плодов экстракт и др. - приводят к уменьшению боли, улучшению функциональной активности пациента с ОА. Пациентам рекомендовано назначать БАД, имеющие доказательную базу.  </w:t>
      </w:r>
    </w:p>
    <w:p w:rsidR="000A3B51" w:rsidRDefault="003D0A08">
      <w:pPr>
        <w:numPr>
          <w:ilvl w:val="0"/>
          <w:numId w:val="18"/>
        </w:numPr>
        <w:spacing w:after="44" w:line="367" w:lineRule="auto"/>
        <w:ind w:right="755"/>
      </w:pPr>
      <w:r>
        <w:t>Пациентам с ОА рекомендуется регулярное выполнение программ физически</w:t>
      </w:r>
      <w:r>
        <w:t xml:space="preserve">х упражнений, которые способствуют снижению боли и улучшению функциональной активности суставов [52, 98, 100, 101, 208, 315, 317, 343–356].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А (уровень достоверности доказательств – 1). Комментарии: </w:t>
      </w:r>
      <w:r>
        <w:rPr>
          <w:i/>
        </w:rPr>
        <w:t>большую роль в терап</w:t>
      </w:r>
      <w:r>
        <w:rPr>
          <w:i/>
        </w:rPr>
        <w:t>ии играет двигательная реабилитация, которая показана всем пациентам с ОА и расценивается как наиболее эффективный способ лечения. Различные виды упражнений: для укрепления мышц, на растяжку, увеличение гибкости и мобильности, с сопротивлением, нейромышечн</w:t>
      </w:r>
      <w:r>
        <w:rPr>
          <w:i/>
        </w:rPr>
        <w:t>ые и аэробные - позволяют уменьшить интенсивность боли, улучшить функцию и качество жизни пациентов с различными стадиями заболевания любой локализации. В настоящее время нет убедительных данных о преимуществе какого-либо метода лечебной физкультуры или ко</w:t>
      </w:r>
      <w:r>
        <w:rPr>
          <w:i/>
        </w:rPr>
        <w:t>мплекса упражнений. Основное значение имеет регулярность их выполнения, которые должны применяться на протяжении минимум 8 недель, при этом объем тренировок должен постоянно увеличиваться. Не следует делать упражнения, преодолевая боль, необходимо выполнят</w:t>
      </w:r>
      <w:r>
        <w:rPr>
          <w:i/>
        </w:rPr>
        <w:t>ь их без статических нагрузок - лежа, сидя или в бассейне. Способ выполнения упражнений (например, индивидуальные или групповые занятия, контролируемые или неконтролируемые, очные или с использованием цифровых технологий, на суше или в воде) и выбор физиче</w:t>
      </w:r>
      <w:r>
        <w:rPr>
          <w:i/>
        </w:rPr>
        <w:t>ской активности должны основываться на мобильности пациента и его индивидуальных особенностях, а также на доступности услуг и предпочтениях пациента [357]. Противопоказания и меры предосторожности определяются наличием осложнений ОА и сопутствующих заболев</w:t>
      </w:r>
      <w:r>
        <w:rPr>
          <w:i/>
        </w:rPr>
        <w:t>аний. Для повышения качества лечения целесообразна консультация специалиста по физической реабилитации (кинезиоспециалиста)/ инструктора-методиста по ЛФК.</w:t>
      </w:r>
      <w:r>
        <w:t xml:space="preserve"> </w:t>
      </w:r>
      <w:r>
        <w:rPr>
          <w:i/>
        </w:rPr>
        <w:t xml:space="preserve">Показано также использование новых телемедицинских технологий, которые могут повысить приверженность </w:t>
      </w:r>
      <w:r>
        <w:rPr>
          <w:i/>
        </w:rPr>
        <w:t>терапии, контролировать качество выполнения упражнений и соблюдение рекомендаций, а как следствие – повысить эффективность немедикаментозного лечения [358]. Также всем пациентам с генерализованным ОА показана ходьба, которая значимо улучшает клинические пр</w:t>
      </w:r>
      <w:r>
        <w:rPr>
          <w:i/>
        </w:rPr>
        <w:t>оявления ОА [359–362].</w:t>
      </w:r>
      <w:r>
        <w:t xml:space="preserve"> </w:t>
      </w:r>
      <w:r>
        <w:rPr>
          <w:color w:val="FF0000"/>
        </w:rPr>
        <w:t xml:space="preserve"> </w:t>
      </w:r>
    </w:p>
    <w:p w:rsidR="000A3B51" w:rsidRDefault="003D0A08">
      <w:pPr>
        <w:numPr>
          <w:ilvl w:val="0"/>
          <w:numId w:val="18"/>
        </w:numPr>
        <w:spacing w:after="20" w:line="382" w:lineRule="auto"/>
        <w:ind w:right="755"/>
      </w:pPr>
      <w:r>
        <w:t xml:space="preserve">Пациентам с генерализованным ОА рекомендовано ортезирование при отсутствии противопоказаний [98–102, 132, 363–373].  </w:t>
      </w:r>
    </w:p>
    <w:p w:rsidR="000A3B51" w:rsidRDefault="003D0A08">
      <w:pPr>
        <w:spacing w:after="0" w:line="386" w:lineRule="auto"/>
        <w:ind w:left="355" w:right="753"/>
      </w:pPr>
      <w:r>
        <w:rPr>
          <w:b/>
        </w:rPr>
        <w:t>Уровень убедительности рекомендаций B</w:t>
      </w:r>
      <w:r>
        <w:t xml:space="preserve"> (уровень достоверности доказательств – 2). </w:t>
      </w:r>
      <w:r>
        <w:rPr>
          <w:b/>
        </w:rPr>
        <w:t>Комментарии</w:t>
      </w:r>
      <w:r>
        <w:t xml:space="preserve">: </w:t>
      </w:r>
      <w:r>
        <w:rPr>
          <w:i/>
        </w:rPr>
        <w:t>ортезы (брейсы) спо</w:t>
      </w:r>
      <w:r>
        <w:rPr>
          <w:i/>
        </w:rPr>
        <w:t xml:space="preserve">собствуют снижению боли, повышению функциональной активности (увеличению длины шага, скорости ходьбы) и качества жизни пациентов при ОА коленных суставов. 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 xml:space="preserve">Фиксация сустава за счет моделируемых боковых ребер жесткости и шарниров позволяет скорректировать </w:t>
      </w:r>
      <w:r>
        <w:rPr>
          <w:i/>
        </w:rPr>
        <w:t>измененную ось конечности, разгрузить внутренние или наружные отделы коленного сустава и при помощи стабилизаторов центрировать движение надколенника относительно мыщелков бедренной кости</w:t>
      </w:r>
      <w:r>
        <w:t>.</w:t>
      </w:r>
      <w:r>
        <w:rPr>
          <w:i/>
        </w:rPr>
        <w:t xml:space="preserve"> При поражении медиального отдела коленного сустава, наличии варусно</w:t>
      </w:r>
      <w:r>
        <w:rPr>
          <w:i/>
        </w:rPr>
        <w:t>й деформации, могут применяться ортезы, разгружающие медиальные отделы сустава. При наличии вальгусной деформации</w:t>
      </w:r>
      <w:r>
        <w:t xml:space="preserve"> –</w:t>
      </w:r>
      <w:r>
        <w:rPr>
          <w:i/>
        </w:rPr>
        <w:t xml:space="preserve"> ортезы, разгружающие латеральные отделы сустава (доказательства при этом виде деформации имеются только в краткосрочном периоде наблюдения).</w:t>
      </w:r>
      <w:r>
        <w:rPr>
          <w:i/>
        </w:rPr>
        <w:t xml:space="preserve"> </w:t>
      </w:r>
    </w:p>
    <w:p w:rsidR="000A3B51" w:rsidRDefault="003D0A08">
      <w:pPr>
        <w:spacing w:after="11" w:line="386" w:lineRule="auto"/>
        <w:ind w:left="355" w:right="753"/>
      </w:pPr>
      <w:r>
        <w:rPr>
          <w:i/>
        </w:rPr>
        <w:t>Лицам с признаками нестабильности коленных суставов также показано использование ортезов с полу-</w:t>
      </w:r>
      <w:r>
        <w:t xml:space="preserve">  </w:t>
      </w:r>
      <w:r>
        <w:rPr>
          <w:i/>
        </w:rPr>
        <w:t xml:space="preserve"> или жесткой фиксацией. </w:t>
      </w:r>
    </w:p>
    <w:p w:rsidR="000A3B51" w:rsidRDefault="003D0A08">
      <w:pPr>
        <w:spacing w:after="76" w:line="386" w:lineRule="auto"/>
        <w:ind w:left="355" w:right="753"/>
      </w:pPr>
      <w:r>
        <w:rPr>
          <w:i/>
        </w:rPr>
        <w:t>Для уменьшения боли в 1-ых ЗПС при ОА показано длительное ношение ортезов. Длинные жесткие ортезы эффективны для снижения интенсивн</w:t>
      </w:r>
      <w:r>
        <w:rPr>
          <w:i/>
        </w:rPr>
        <w:t>ости боли, в то время как короткие жесткие улучшают функциональную активность в этом суставе [366].</w:t>
      </w:r>
      <w:r>
        <w:rPr>
          <w:rFonts w:ascii="Calibri" w:eastAsia="Calibri" w:hAnsi="Calibri" w:cs="Calibri"/>
        </w:rPr>
        <w:t xml:space="preserve"> </w:t>
      </w:r>
      <w:r>
        <w:t xml:space="preserve"> </w:t>
      </w:r>
    </w:p>
    <w:p w:rsidR="000A3B51" w:rsidRDefault="003D0A08">
      <w:pPr>
        <w:spacing w:after="87" w:line="386" w:lineRule="auto"/>
        <w:ind w:left="355" w:right="753"/>
      </w:pPr>
      <w:r>
        <w:rPr>
          <w:i/>
        </w:rPr>
        <w:t xml:space="preserve">Ношение корсетов, бандажей, поясов и других специальных приспособлений не рекомендуются пациентам с ОА фасеточных суставов, но показаны тем, у кого есть определенные ортопедические проблемы, требующие коррекции.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Имеются единичные исследования, изучающие э</w:t>
      </w:r>
      <w:r>
        <w:rPr>
          <w:i/>
        </w:rPr>
        <w:t>ффективность ортезов при ОА тазобедренных суставов, продемонстрировавшие анальгетический эффект (снижение боли при ходьбе и в ночные часы), улучшение биомеханики походки (увеличение длины шага и скорости ходьбы) и</w:t>
      </w:r>
      <w:r>
        <w:rPr>
          <w:color w:val="212121"/>
          <w:sz w:val="30"/>
        </w:rPr>
        <w:t xml:space="preserve"> </w:t>
      </w:r>
      <w:r>
        <w:rPr>
          <w:i/>
        </w:rPr>
        <w:t>увеличение объема движений таза в сагиттал</w:t>
      </w:r>
      <w:r>
        <w:rPr>
          <w:i/>
        </w:rPr>
        <w:t xml:space="preserve">ьной плоскости [364,374]. </w:t>
      </w:r>
    </w:p>
    <w:p w:rsidR="000A3B51" w:rsidRDefault="003D0A08">
      <w:pPr>
        <w:spacing w:after="7" w:line="386" w:lineRule="auto"/>
        <w:ind w:left="355" w:right="753"/>
      </w:pPr>
      <w:r>
        <w:rPr>
          <w:i/>
        </w:rPr>
        <w:t>В работах, изучающих эффективность ортезов при ОА 1-х ПлФС, продемонстрировано уменьшение боли и улучшение функции в этом суставе [375–377]</w:t>
      </w:r>
      <w:r>
        <w:rPr>
          <w:b/>
          <w:i/>
        </w:rPr>
        <w:t>.</w:t>
      </w:r>
      <w:r>
        <w:rPr>
          <w:b/>
          <w:color w:val="212121"/>
        </w:rPr>
        <w:t xml:space="preserve"> </w:t>
      </w:r>
      <w:r>
        <w:t xml:space="preserve"> </w:t>
      </w:r>
    </w:p>
    <w:p w:rsidR="000A3B51" w:rsidRDefault="003D0A08">
      <w:pPr>
        <w:spacing w:after="157" w:line="386" w:lineRule="auto"/>
        <w:ind w:left="355" w:right="753"/>
      </w:pPr>
      <w:r>
        <w:rPr>
          <w:i/>
        </w:rPr>
        <w:t>Несмотря на доказанную эффективность ортезов (брейсов) при ОА, наблюдается низкая комп</w:t>
      </w:r>
      <w:r>
        <w:rPr>
          <w:i/>
        </w:rPr>
        <w:t xml:space="preserve">лаентность пациентов к этому методу лечения. Основными причинами не частого использования ортезов, особенно при ОА тазобедренных суставов, являются: их стоимость, вес, жесткость, ограничение свободы движений и эстетический фактор.  </w:t>
      </w:r>
    </w:p>
    <w:p w:rsidR="000A3B51" w:rsidRDefault="003D0A08">
      <w:pPr>
        <w:spacing w:after="45" w:line="364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Пациентам с генерализ</w:t>
      </w:r>
      <w:r>
        <w:t xml:space="preserve">ованным ОА рекомендовано использование вспомогательных средств для ходьбы и ношение обуви с амортизирующей подошвой [98, 100–102, 208, 373–375, 378–381].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B (уровень достоверности доказательств – 2). Комментарии:</w:t>
      </w:r>
      <w:r>
        <w:rPr>
          <w:color w:val="7030A0"/>
        </w:rPr>
        <w:t xml:space="preserve"> </w:t>
      </w:r>
      <w:r>
        <w:rPr>
          <w:i/>
        </w:rPr>
        <w:t>пациен</w:t>
      </w:r>
      <w:r>
        <w:rPr>
          <w:i/>
        </w:rPr>
        <w:t>там с генерализованным ОА рекомендовано носить удобную обувь с амортизирующими свойствами. Для разгрузки коленных и/или тазобедренных суставов при продвинутых стадиях ОА рекомендуется хождение с тростью в руке (противоположной пораженной нижней конечности)</w:t>
      </w:r>
      <w:r>
        <w:rPr>
          <w:i/>
        </w:rPr>
        <w:t>, использование костылей или других вспомогательных приспособлений. Важно, чтобы трость была подходящей высоты и легкой для пациента. Рекомендуется проконсультироваться с врачом по медицинской реабилитации, не только для правильного выбора трости или косты</w:t>
      </w:r>
      <w:r>
        <w:rPr>
          <w:i/>
        </w:rPr>
        <w:t xml:space="preserve">лей, но и обучения правильному их использованию. Также при необходимости пациентам рекомендовано использовать: </w:t>
      </w:r>
    </w:p>
    <w:p w:rsidR="000A3B51" w:rsidRDefault="003D0A08">
      <w:pPr>
        <w:numPr>
          <w:ilvl w:val="0"/>
          <w:numId w:val="19"/>
        </w:numPr>
        <w:spacing w:after="11" w:line="386" w:lineRule="auto"/>
        <w:ind w:right="753"/>
      </w:pPr>
      <w:r>
        <w:rPr>
          <w:i/>
        </w:rPr>
        <w:t xml:space="preserve">устройства для облегчения одевания (необходимо при выраженном ОА суставов кистей, в том числе эрозивной форме): специальные пуговицы, застежки, </w:t>
      </w:r>
      <w:r>
        <w:rPr>
          <w:i/>
        </w:rPr>
        <w:t xml:space="preserve">приспособления для надевания обуви. </w:t>
      </w:r>
    </w:p>
    <w:p w:rsidR="000A3B51" w:rsidRDefault="003D0A08">
      <w:pPr>
        <w:numPr>
          <w:ilvl w:val="0"/>
          <w:numId w:val="19"/>
        </w:numPr>
        <w:spacing w:after="12" w:line="386" w:lineRule="auto"/>
        <w:ind w:right="753"/>
      </w:pPr>
      <w:r>
        <w:rPr>
          <w:i/>
        </w:rPr>
        <w:t xml:space="preserve">Средства для перемещения по дому: ручки для поддержки, подъемники для ступеней, специальные (высокие) кресла и стулья и др. </w:t>
      </w:r>
    </w:p>
    <w:p w:rsidR="000A3B51" w:rsidRDefault="003D0A08">
      <w:pPr>
        <w:numPr>
          <w:ilvl w:val="0"/>
          <w:numId w:val="19"/>
        </w:numPr>
        <w:spacing w:after="12" w:line="386" w:lineRule="auto"/>
        <w:ind w:right="753"/>
      </w:pPr>
      <w:r>
        <w:rPr>
          <w:i/>
        </w:rPr>
        <w:t xml:space="preserve">Средства для санитарной гигиены: регулируемые душевые кресла, специальные сиденья для туалета </w:t>
      </w:r>
      <w:r>
        <w:rPr>
          <w:i/>
        </w:rPr>
        <w:t xml:space="preserve">и др.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Имеются доказательства, что индивидуальные супинаторы с приподнятым на 5–10° латеральным или медиальным краем (в зависимости от оси нижней конечности), обеспечивающие хорошую амортизацию и поддержку свода стопы, способствуют улучшению биомеханики дв</w:t>
      </w:r>
      <w:r>
        <w:rPr>
          <w:i/>
        </w:rPr>
        <w:t>ижения, функциональных результатов и снижению болевых ощущений в суставах нижних конечностей [382].</w:t>
      </w:r>
      <w:r>
        <w:t xml:space="preserve"> </w:t>
      </w:r>
      <w:r>
        <w:rPr>
          <w:i/>
        </w:rPr>
        <w:t xml:space="preserve"> </w:t>
      </w:r>
    </w:p>
    <w:p w:rsidR="000A3B51" w:rsidRDefault="003D0A08">
      <w:pPr>
        <w:spacing w:after="24" w:line="385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Всем пациентам с генерализованным ОА при отсутствии противопоказаний рекомендованы физиотерапевтические методы лечения [36,98,100,102,208,383–413]. 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88" w:line="386" w:lineRule="auto"/>
        <w:ind w:left="355" w:right="753"/>
      </w:pPr>
      <w:r>
        <w:rPr>
          <w:b/>
        </w:rPr>
        <w:t>Ур</w:t>
      </w:r>
      <w:r>
        <w:rPr>
          <w:b/>
        </w:rPr>
        <w:t xml:space="preserve">овень убедительности рекомендаций В (уровень достоверности доказательств – 1). Комментарии: </w:t>
      </w:r>
      <w:r>
        <w:rPr>
          <w:i/>
        </w:rPr>
        <w:t>физиотерапевтические методы терапии назначает врач физической и реабилитационной медицины, или врач-физиотерапевт. Включение физиотерапевтического лечения в комплек</w:t>
      </w:r>
      <w:r>
        <w:rPr>
          <w:i/>
        </w:rPr>
        <w:t xml:space="preserve">сную программу медицинской реабилитации пациентов с ОА способствует уменьшению боли в суставах и позвоночнике, улучшению функционального статуса, двигательной активности и локомоторных показателей. Выбор конкретной физиотерапевтической методики зависит от </w:t>
      </w:r>
      <w:r>
        <w:rPr>
          <w:i/>
        </w:rPr>
        <w:t xml:space="preserve">клинической симптоматики заболевания, наличия коморбидной патологии и доступности того или иного метода, а также основывается на потребностях пациента. </w:t>
      </w:r>
      <w:r>
        <w:rPr>
          <w:b/>
        </w:rPr>
        <w:t xml:space="preserve"> </w:t>
      </w:r>
    </w:p>
    <w:p w:rsidR="000A3B51" w:rsidRDefault="003D0A08">
      <w:pPr>
        <w:spacing w:after="0" w:line="386" w:lineRule="auto"/>
        <w:ind w:left="355" w:right="753"/>
      </w:pPr>
      <w:r>
        <w:rPr>
          <w:i/>
        </w:rPr>
        <w:t xml:space="preserve">Физиотерапевтические методы остаются распространенным способом лечения ОА различных локализаций в нашей стране и предлагается в качестве стратегии самоконтроля боли/дополнения к упражнениям, если пациент считает это полезным </w:t>
      </w:r>
    </w:p>
    <w:p w:rsidR="000A3B51" w:rsidRDefault="003D0A08">
      <w:pPr>
        <w:spacing w:after="281" w:line="259" w:lineRule="auto"/>
        <w:ind w:left="355" w:right="753"/>
      </w:pPr>
      <w:r>
        <w:rPr>
          <w:i/>
        </w:rPr>
        <w:t xml:space="preserve">[52,101]. </w:t>
      </w:r>
      <w:r>
        <w:rPr>
          <w:b/>
          <w:i/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При ОА</w:t>
      </w:r>
      <w:r>
        <w:t xml:space="preserve"> </w:t>
      </w:r>
      <w:r>
        <w:rPr>
          <w:i/>
        </w:rPr>
        <w:t>российскими</w:t>
      </w:r>
      <w:r>
        <w:rPr>
          <w:i/>
        </w:rPr>
        <w:t xml:space="preserve"> экспертами</w:t>
      </w:r>
      <w:r>
        <w:t xml:space="preserve"> </w:t>
      </w:r>
      <w:r>
        <w:rPr>
          <w:i/>
        </w:rPr>
        <w:t>рекомендовано назначение криотерапии локальной (особенно при наличии признаков воспаления в коленных суставах, мелких суставах кистей и стоп), возможно применение чрескожной электростимуляции нервов чрескожной короткоимпульсной электростимуляци</w:t>
      </w:r>
      <w:r>
        <w:rPr>
          <w:i/>
        </w:rPr>
        <w:t>и (A17.30.006), воздействие ультразвуковое (ультрафонофорез лекарственный при заболеваниях суставов (A22.04.002.001), электрических полей ультравысокой частоты (ЭП УВЧ) (воздействие токами ультравысокой частоты при костной патологии (A17.03.006), синусоида</w:t>
      </w:r>
      <w:r>
        <w:rPr>
          <w:i/>
        </w:rPr>
        <w:t>льными модулированными токами (СМТ-терапия) и высокочастотными электромагнитными полями (индуктотермия). Можно применять сочетанно импульсные токи, фонофорез, магнитофорез лекарственных веществ, общую и локальную магнитотерапию. Рекомендован электрофорез л</w:t>
      </w:r>
      <w:r>
        <w:rPr>
          <w:i/>
        </w:rPr>
        <w:t>екарственных препаратов, электрофорез импульсными токами, электрофорез диадинамическими токами (ДЦТ-форез) с учетом индивидуальных особенностей пациентов. При проведении ультрафонофореза наружно используются локальные препараты, рекомендованные для лечения</w:t>
      </w:r>
      <w:r>
        <w:rPr>
          <w:i/>
        </w:rPr>
        <w:t xml:space="preserve"> пациентов с ОА. При значимом усилении интенсивности боли после нескольких процедур того или иного метода физиотерапевтического лечения целесообразно отказаться от проведения данной терапии. </w:t>
      </w:r>
    </w:p>
    <w:p w:rsidR="000A3B51" w:rsidRDefault="003D0A08">
      <w:pPr>
        <w:numPr>
          <w:ilvl w:val="0"/>
          <w:numId w:val="20"/>
        </w:numPr>
        <w:spacing w:after="82" w:line="259" w:lineRule="auto"/>
        <w:ind w:right="755" w:hanging="708"/>
      </w:pPr>
      <w:r>
        <w:t xml:space="preserve">Иглоукалывание обычно не рекомендуется для лечения генерализованного </w:t>
      </w:r>
    </w:p>
    <w:p w:rsidR="000A3B51" w:rsidRDefault="003D0A08">
      <w:pPr>
        <w:spacing w:after="163"/>
        <w:ind w:left="1078" w:right="755"/>
      </w:pPr>
      <w:r>
        <w:t>ОА [208, 354, 383, 414, 415].</w:t>
      </w:r>
      <w:r>
        <w:rPr>
          <w:sz w:val="22"/>
        </w:rPr>
        <w:t xml:space="preserve"> </w:t>
      </w:r>
      <w:r>
        <w:rPr>
          <w:b/>
          <w:color w:val="FF0000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 xml:space="preserve">Уровень убедительности рекомендаций С (уровень достоверности доказательств – 5). Комментарии: </w:t>
      </w:r>
      <w:r>
        <w:rPr>
          <w:i/>
        </w:rPr>
        <w:t>возможно назначить ограниченный по времени курс иглоукалыван</w:t>
      </w:r>
      <w:r>
        <w:rPr>
          <w:i/>
        </w:rPr>
        <w:t xml:space="preserve">ия в качестве дополнительного лечения в том случае, когда у пациента есть положительные ожидания от данной терапии. </w:t>
      </w:r>
    </w:p>
    <w:p w:rsidR="000A3B51" w:rsidRDefault="003D0A08">
      <w:pPr>
        <w:numPr>
          <w:ilvl w:val="0"/>
          <w:numId w:val="20"/>
        </w:numPr>
        <w:spacing w:after="49" w:line="362" w:lineRule="auto"/>
        <w:ind w:right="755" w:hanging="708"/>
      </w:pPr>
      <w:r>
        <w:t xml:space="preserve">Лечебное тейпирование рекомендуется как вспомогательный метод терапии при ОА [98, 100, 416, 417]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В (ур</w:t>
      </w:r>
      <w:r>
        <w:rPr>
          <w:b/>
        </w:rPr>
        <w:t>овень достоверности доказательств – 1).  Комментарии</w:t>
      </w:r>
      <w:r>
        <w:rPr>
          <w:i/>
        </w:rPr>
        <w:t>: лечебное тейпирование в последние годы становится одним из популярных методов лечения ОА коленных суставов, позвоночника и 1 запястно-пястных суставов, связанное с уменьшением интенсивности боли и улучш</w:t>
      </w:r>
      <w:r>
        <w:rPr>
          <w:i/>
        </w:rPr>
        <w:t xml:space="preserve">ением функциональной активности. Однако в настоящее время нет убедительных доказательств эффективности этого метода. </w:t>
      </w:r>
    </w:p>
    <w:p w:rsidR="000A3B51" w:rsidRDefault="003D0A08">
      <w:pPr>
        <w:numPr>
          <w:ilvl w:val="0"/>
          <w:numId w:val="20"/>
        </w:numPr>
        <w:spacing w:after="24" w:line="383" w:lineRule="auto"/>
        <w:ind w:right="755" w:hanging="708"/>
      </w:pPr>
      <w:r>
        <w:t xml:space="preserve">Когнитивно-поведенческая терапия (КПТ) рекомендуется как вспомогательный метод лечения при генерализованном ОА [98, 101, 418, 419].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</w:t>
      </w:r>
      <w:r>
        <w:rPr>
          <w:b/>
        </w:rPr>
        <w:t xml:space="preserve">нь убедительности рекомендаций B (уровень достоверности доказательств – 1). </w:t>
      </w:r>
      <w:r>
        <w:t xml:space="preserve"> </w:t>
      </w:r>
      <w:r>
        <w:rPr>
          <w:b/>
        </w:rPr>
        <w:t xml:space="preserve">Комментарии: </w:t>
      </w:r>
      <w:r>
        <w:rPr>
          <w:i/>
        </w:rPr>
        <w:t>КПТ учит пациентов использовать свои ресурсы для преодоления боли и жить полноценной жизнью. Она включает в себя обучение стратегиям снижения боли, данная терапия пом</w:t>
      </w:r>
      <w:r>
        <w:rPr>
          <w:i/>
        </w:rPr>
        <w:t>огает перестроить негативные мысли и поведенческие паттерны, которые</w:t>
      </w:r>
      <w:r>
        <w:rPr>
          <w:b/>
          <w:i/>
        </w:rPr>
        <w:t xml:space="preserve"> </w:t>
      </w:r>
      <w:r>
        <w:rPr>
          <w:i/>
        </w:rPr>
        <w:t>способствуют ее развитию, в результате чего боль занимает все меньше места в повседневной жизни пациента. Проводить данную терапию могут специалисты, прошедшие соответствующее обучение. Д</w:t>
      </w:r>
      <w:r>
        <w:rPr>
          <w:i/>
        </w:rPr>
        <w:t xml:space="preserve">анные методы высокоэффективны и имеют доказательства в отношении снижения интенсивности боли в суставах и позвоночнике. Также КПТ показана пациентам с ОА, у которых есть сопутствующие проблемы со сном, депрессия, имеются психологические факторы, такие как </w:t>
      </w:r>
      <w:r>
        <w:rPr>
          <w:i/>
        </w:rPr>
        <w:t xml:space="preserve">боязнь движения и/или катастрофизация боли. </w:t>
      </w:r>
    </w:p>
    <w:p w:rsidR="000A3B51" w:rsidRDefault="003D0A08">
      <w:pPr>
        <w:numPr>
          <w:ilvl w:val="0"/>
          <w:numId w:val="20"/>
        </w:numPr>
        <w:spacing w:after="13" w:line="392" w:lineRule="auto"/>
        <w:ind w:right="755" w:hanging="708"/>
      </w:pPr>
      <w:r>
        <w:t xml:space="preserve">Всем пациентам с генерализованным ОА при отсутствии противопоказаний рекомендовано санаторно-курортное лечение (СКЛ) [420–426].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А (уровень достоверности доказательств – 1). К</w:t>
      </w:r>
      <w:r>
        <w:rPr>
          <w:b/>
        </w:rPr>
        <w:t>омментарии:</w:t>
      </w:r>
      <w:r>
        <w:t xml:space="preserve"> </w:t>
      </w:r>
      <w:r>
        <w:rPr>
          <w:i/>
        </w:rPr>
        <w:t>пациентам с генерализованным ОА при отсутствии «обострения» заболевания</w:t>
      </w:r>
      <w:r>
        <w:rPr>
          <w:i/>
          <w:color w:val="FF0000"/>
        </w:rPr>
        <w:t xml:space="preserve"> </w:t>
      </w:r>
      <w:r>
        <w:rPr>
          <w:i/>
        </w:rPr>
        <w:t xml:space="preserve">показано СКЛ на грязевых и бальнеологических курортах с хлоридными натриевыми, кремнистыми термальными, сероводородными, радоновыми, йодо-бромными минеральными водами, что </w:t>
      </w:r>
      <w:r>
        <w:rPr>
          <w:i/>
        </w:rPr>
        <w:t>способствует уменьшению боли, улучшению функциональной активности и качества жизни.</w:t>
      </w:r>
      <w:r>
        <w:rPr>
          <w:b/>
        </w:rPr>
        <w:t xml:space="preserve">  </w:t>
      </w:r>
    </w:p>
    <w:p w:rsidR="000A3B51" w:rsidRDefault="003D0A08">
      <w:pPr>
        <w:numPr>
          <w:ilvl w:val="0"/>
          <w:numId w:val="20"/>
        </w:numPr>
        <w:spacing w:after="38" w:line="370" w:lineRule="auto"/>
        <w:ind w:right="755" w:hanging="708"/>
      </w:pPr>
      <w:r>
        <w:t>Массаж при заболеваниях позвоночника и/или мануальная терапия при заболеваниях позвоночника/суставов рекомендуются, как вспомогательный метод терапии при генерализованном ОА [52, 100, 389, 427–430].</w:t>
      </w:r>
      <w:r>
        <w:rPr>
          <w:b/>
        </w:rPr>
        <w:t xml:space="preserve"> </w:t>
      </w:r>
    </w:p>
    <w:p w:rsidR="000A3B51" w:rsidRDefault="003D0A08">
      <w:pPr>
        <w:spacing w:after="308" w:line="386" w:lineRule="auto"/>
        <w:ind w:left="355" w:right="753"/>
      </w:pPr>
      <w:r>
        <w:rPr>
          <w:b/>
        </w:rPr>
        <w:t>Уровень убедительности рекомендаций В (уровень достоверн</w:t>
      </w:r>
      <w:r>
        <w:rPr>
          <w:b/>
        </w:rPr>
        <w:t>ости доказательств – 1).</w:t>
      </w:r>
      <w:r>
        <w:rPr>
          <w:i/>
        </w:rPr>
        <w:t xml:space="preserve"> </w:t>
      </w:r>
      <w:r>
        <w:rPr>
          <w:b/>
        </w:rPr>
        <w:t>Комментарии:</w:t>
      </w:r>
      <w:r>
        <w:t xml:space="preserve"> </w:t>
      </w:r>
      <w:r>
        <w:rPr>
          <w:i/>
        </w:rPr>
        <w:t>мануальная терапия и массаж могут рассматриваться как дополнительный и альтернативный вариант лечения у пациентов с ОА коленных, тазобедренных и фасеточных суставов. Эти методы способствуют уменьшению интенсивности бол</w:t>
      </w:r>
      <w:r>
        <w:rPr>
          <w:i/>
        </w:rPr>
        <w:t>и, длительности скованности и улучшению функциональной активности в краткосрочном периоде наблюдений (до 9 недель) [431].</w:t>
      </w:r>
      <w:r>
        <w:rPr>
          <w:i/>
          <w:color w:val="FF0000"/>
        </w:rPr>
        <w:t xml:space="preserve"> </w:t>
      </w:r>
      <w:r>
        <w:rPr>
          <w:i/>
        </w:rPr>
        <w:t xml:space="preserve">В настоящее время нет убедительных доказательств эффективности данной терапии в долгосрочной перспективе и при ОА других локализаций. </w:t>
      </w:r>
      <w:r>
        <w:rPr>
          <w:i/>
        </w:rPr>
        <w:t xml:space="preserve">  </w:t>
      </w:r>
    </w:p>
    <w:p w:rsidR="000A3B51" w:rsidRDefault="003D0A08">
      <w:pPr>
        <w:pStyle w:val="Heading1"/>
        <w:spacing w:after="237" w:line="400" w:lineRule="auto"/>
        <w:ind w:left="360" w:right="749" w:firstLine="708"/>
        <w:jc w:val="both"/>
      </w:pPr>
      <w:r>
        <w:t xml:space="preserve">5. Профилактика и диспансерное наблюдение, медицинские показания и противопоказания к применению методов профилактики </w:t>
      </w:r>
    </w:p>
    <w:p w:rsidR="000A3B51" w:rsidRDefault="003D0A08">
      <w:pPr>
        <w:pStyle w:val="Heading2"/>
        <w:spacing w:after="164"/>
        <w:ind w:left="1222" w:right="749"/>
      </w:pPr>
      <w:r>
        <w:t xml:space="preserve">5.1 Профилактика генерализованного ОА </w:t>
      </w:r>
    </w:p>
    <w:p w:rsidR="000A3B51" w:rsidRDefault="003D0A08">
      <w:pPr>
        <w:spacing w:after="0" w:line="383" w:lineRule="auto"/>
        <w:ind w:right="755"/>
      </w:pPr>
      <w:r>
        <w:t>Старение населения, неблагоприятные изменения образа жизни (избыточное питание, резкое снижение</w:t>
      </w:r>
      <w:r>
        <w:t xml:space="preserve"> двигательной активности, хронический стресс и т. д.) и рост распространенности ожирения ведут к ежегодному увеличению количества пациентов с ОА.  </w:t>
      </w:r>
    </w:p>
    <w:p w:rsidR="000A3B51" w:rsidRDefault="003D0A08">
      <w:pPr>
        <w:spacing w:after="22" w:line="398" w:lineRule="auto"/>
        <w:ind w:right="755"/>
      </w:pPr>
      <w:r>
        <w:t>В настоящее время нет разработанных методов первичной профилактики развития ОА. Основная цель профилактическ</w:t>
      </w:r>
      <w:r>
        <w:t xml:space="preserve">их мер - влиять на известные факторы риска, способствующие возникновению заболевания. </w:t>
      </w:r>
    </w:p>
    <w:p w:rsidR="000A3B51" w:rsidRDefault="003D0A08">
      <w:pPr>
        <w:numPr>
          <w:ilvl w:val="0"/>
          <w:numId w:val="21"/>
        </w:numPr>
        <w:spacing w:after="58" w:line="367" w:lineRule="auto"/>
        <w:ind w:right="755"/>
      </w:pPr>
      <w:r>
        <w:t>Для снижения риска развития ОА рекомендовано поддержание нормальной массы тела (приведение индекса массы тела к нормальным значениям, не больше 25 кг/м</w:t>
      </w:r>
      <w:r>
        <w:rPr>
          <w:vertAlign w:val="superscript"/>
        </w:rPr>
        <w:t>2</w:t>
      </w:r>
      <w:r>
        <w:t xml:space="preserve">) [432–436].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</w:t>
      </w:r>
      <w:r>
        <w:rPr>
          <w:b/>
        </w:rPr>
        <w:t xml:space="preserve">овень убедительности рекомендаций - В (уровень достоверности доказательств– 2) Комментарии: </w:t>
      </w:r>
      <w:r>
        <w:rPr>
          <w:i/>
        </w:rPr>
        <w:t>исследования демонстрируют обратную зависимость между массой тела и риском развития ОА коленных суставов. Сокращение ИМТ на 2 единицы сопровождается снижением риска</w:t>
      </w:r>
      <w:r>
        <w:rPr>
          <w:i/>
        </w:rPr>
        <w:t xml:space="preserve"> развития ОА коленных суставов на 50%.</w:t>
      </w:r>
      <w:r>
        <w:rPr>
          <w:rFonts w:ascii="Calibri" w:eastAsia="Calibri" w:hAnsi="Calibri" w:cs="Calibri"/>
          <w:sz w:val="25"/>
        </w:rPr>
        <w:t xml:space="preserve"> </w:t>
      </w:r>
    </w:p>
    <w:p w:rsidR="000A3B51" w:rsidRDefault="003D0A08">
      <w:pPr>
        <w:numPr>
          <w:ilvl w:val="0"/>
          <w:numId w:val="21"/>
        </w:numPr>
        <w:spacing w:after="8" w:line="395" w:lineRule="auto"/>
        <w:ind w:right="755"/>
      </w:pPr>
      <w:r>
        <w:t xml:space="preserve">Для снижения риска развития ОА рекомендовано контролировать сопутствующие заболевания: стремиться к поддержанию целевых уровней АД, нормализации сна, коррекции дислипидемии, гиперурикемии и гликемии [437–440].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</w:t>
      </w:r>
      <w:r>
        <w:rPr>
          <w:b/>
        </w:rPr>
        <w:t>ень убедительности рекомендаций - В (уровень достоверности доказательств– 3) Комментарии:</w:t>
      </w:r>
      <w:r>
        <w:t xml:space="preserve"> </w:t>
      </w:r>
      <w:r>
        <w:rPr>
          <w:i/>
        </w:rPr>
        <w:t>на сегодняшний день установлено, что многие сопутствующие заболевания и состояния увеличивают риск развития ОА. Это означает, что улучшение контроля над этими сопутст</w:t>
      </w:r>
      <w:r>
        <w:rPr>
          <w:i/>
        </w:rPr>
        <w:t xml:space="preserve">вующими заболеваниями является ключевым фактором в снижении риска развития ОА. </w:t>
      </w:r>
    </w:p>
    <w:p w:rsidR="000A3B51" w:rsidRDefault="003D0A08">
      <w:pPr>
        <w:numPr>
          <w:ilvl w:val="0"/>
          <w:numId w:val="21"/>
        </w:numPr>
        <w:spacing w:after="0" w:line="377" w:lineRule="auto"/>
        <w:ind w:right="755"/>
      </w:pPr>
      <w:r>
        <w:t xml:space="preserve">Всем лицам, занимающимся различными видами спорта, особенно профессиональным спортсменам, рекомендовано профилактизировать развитие ОА за счет правильно разработанных программ </w:t>
      </w:r>
      <w:r>
        <w:t>упражнений, уменьшающих вероятность развития травм того или иного сустава, в том числе показано применение специальных устройств, защищающих суставы при нагрузках [441–</w:t>
      </w:r>
    </w:p>
    <w:p w:rsidR="000A3B51" w:rsidRDefault="003D0A08">
      <w:pPr>
        <w:spacing w:after="162"/>
        <w:ind w:left="1078" w:right="755"/>
      </w:pPr>
      <w:r>
        <w:t xml:space="preserve">449].  </w:t>
      </w:r>
    </w:p>
    <w:p w:rsidR="000A3B51" w:rsidRDefault="003D0A08">
      <w:pPr>
        <w:spacing w:after="34" w:line="386" w:lineRule="auto"/>
        <w:ind w:left="228" w:right="753"/>
      </w:pPr>
      <w:r>
        <w:rPr>
          <w:b/>
        </w:rPr>
        <w:t>Уровень убедительности рекомендаций - В (уровень достоверности доказательств– 2</w:t>
      </w:r>
      <w:r>
        <w:rPr>
          <w:b/>
        </w:rPr>
        <w:t>) Комментарии:</w:t>
      </w:r>
      <w:r>
        <w:t xml:space="preserve"> </w:t>
      </w:r>
      <w:r>
        <w:rPr>
          <w:i/>
        </w:rPr>
        <w:t>специальные программы тренировок способствуют укреплению мышц, улучшению растяжки и баланса, а также снижают риск травм суставов различных локализаций, что в свою очередь предотвращает развитие ОА.</w:t>
      </w:r>
      <w:r>
        <w:t xml:space="preserve"> </w:t>
      </w:r>
    </w:p>
    <w:p w:rsidR="000A3B51" w:rsidRDefault="003D0A08">
      <w:pPr>
        <w:numPr>
          <w:ilvl w:val="0"/>
          <w:numId w:val="21"/>
        </w:numPr>
        <w:spacing w:after="20" w:line="387" w:lineRule="auto"/>
        <w:ind w:right="755"/>
      </w:pPr>
      <w:r>
        <w:t>Коррекция нарушенной биомеханики оси конеч</w:t>
      </w:r>
      <w:r>
        <w:t xml:space="preserve">ности рекомендована для снижения рисков развития симптоматического ОА [373, 450–457].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- В (уровень достоверности доказательств– 3) Комментарии:</w:t>
      </w:r>
      <w:r>
        <w:t xml:space="preserve"> </w:t>
      </w:r>
      <w:r>
        <w:rPr>
          <w:i/>
        </w:rPr>
        <w:t>немногочисленные данные указывают на то, что коррекция оси нижних конечност</w:t>
      </w:r>
      <w:r>
        <w:rPr>
          <w:i/>
        </w:rPr>
        <w:t>ей может снизить риск развития симптоматического ОА коленного и тазобедренного суставов, а коррекция вальгусной деформации стопы может предотвратить ОА в 1-ом ПлФС</w:t>
      </w:r>
      <w:r>
        <w:rPr>
          <w:i/>
          <w:color w:val="FF0000"/>
        </w:rPr>
        <w:t xml:space="preserve"> </w:t>
      </w:r>
    </w:p>
    <w:p w:rsidR="000A3B51" w:rsidRDefault="003D0A08">
      <w:pPr>
        <w:numPr>
          <w:ilvl w:val="0"/>
          <w:numId w:val="21"/>
        </w:numPr>
        <w:spacing w:after="16" w:line="389" w:lineRule="auto"/>
        <w:ind w:right="755"/>
      </w:pPr>
      <w:r>
        <w:t>Рекомендована тренировка четырехглавых мышц бедра, так как их слабость увеличивает риск раз</w:t>
      </w:r>
      <w:r>
        <w:t xml:space="preserve">вития ОА коленных суставов [13, 458–461]. 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- В (уровень достоверности доказательств– 2) Комментарии:</w:t>
      </w:r>
      <w:r>
        <w:rPr>
          <w:color w:val="FF0000"/>
        </w:rPr>
        <w:t xml:space="preserve"> </w:t>
      </w:r>
      <w:r>
        <w:rPr>
          <w:i/>
        </w:rPr>
        <w:t xml:space="preserve">слабость четырехглавых мышц бедра связана с повышенным риском развития симптоматического ОА коленных суставов.  </w:t>
      </w:r>
    </w:p>
    <w:p w:rsidR="000A3B51" w:rsidRDefault="003D0A08">
      <w:pPr>
        <w:numPr>
          <w:ilvl w:val="0"/>
          <w:numId w:val="21"/>
        </w:numPr>
        <w:spacing w:line="366" w:lineRule="auto"/>
        <w:ind w:right="755"/>
      </w:pPr>
      <w:r>
        <w:t>Для с</w:t>
      </w:r>
      <w:r>
        <w:t xml:space="preserve">нижения риска развития ОА в профессиях, связанных с физическими нагрузками, рекомендуется избегать чрезмерных нагрузок на суставы, использовать средства индивидуальной защиты, освоить правильную технику работы и вести здоровый образ жизни [462–477]. </w:t>
      </w:r>
    </w:p>
    <w:p w:rsidR="000A3B51" w:rsidRDefault="003D0A08">
      <w:pPr>
        <w:spacing w:after="303" w:line="386" w:lineRule="auto"/>
        <w:ind w:left="355" w:right="753"/>
      </w:pPr>
      <w:r>
        <w:rPr>
          <w:b/>
        </w:rPr>
        <w:t>Урове</w:t>
      </w:r>
      <w:r>
        <w:rPr>
          <w:b/>
        </w:rPr>
        <w:t>нь убедительности рекомендаций В (уровень достоверности доказательств – 2) Комментарии:</w:t>
      </w:r>
      <w:r>
        <w:rPr>
          <w:b/>
          <w:i/>
        </w:rPr>
        <w:t xml:space="preserve"> </w:t>
      </w:r>
      <w:r>
        <w:rPr>
          <w:i/>
        </w:rPr>
        <w:t>профессии, связанные с тяжелыми физическими нагрузками, увеличивают риск развития ОА коленных и тазобедренных суставов. В частности, показано, что длительное стояние на</w:t>
      </w:r>
      <w:r>
        <w:rPr>
          <w:i/>
        </w:rPr>
        <w:t xml:space="preserve"> коленях, скалолазание, частые приседания и длительное положение стоя на ногах повышает вероятность развития ОА коленных суставов. Подъем по лестнице, перенос тяжестей, длительное стояние и бег, а также воздействие вибрации ассоциируется с увеличением риск</w:t>
      </w:r>
      <w:r>
        <w:rPr>
          <w:i/>
        </w:rPr>
        <w:t xml:space="preserve">а развития ОА тазобедренных суставов. Профессиональная деятельность, связанная с вибрацией кисти, использованием "щипкового захвата" взаимосвязана с ОА суставов кистей.  </w:t>
      </w:r>
    </w:p>
    <w:p w:rsidR="000A3B51" w:rsidRDefault="003D0A08">
      <w:pPr>
        <w:pStyle w:val="Heading2"/>
        <w:spacing w:after="209"/>
        <w:ind w:left="1063" w:right="749"/>
      </w:pPr>
      <w:r>
        <w:t xml:space="preserve">5.2 Диспансерное наблюдение пациентов </w:t>
      </w:r>
    </w:p>
    <w:p w:rsidR="000A3B51" w:rsidRDefault="003D0A08">
      <w:pPr>
        <w:spacing w:after="50" w:line="376" w:lineRule="auto"/>
        <w:ind w:right="755"/>
      </w:pPr>
      <w:r>
        <w:t xml:space="preserve">Учитывая высокую коморбидность, у пациентов с </w:t>
      </w:r>
      <w:r>
        <w:t>генерализованным ОА для оценки наличия и выраженности осложнений и сопутствующих заболеваний целесообразно проведение общего (клинического) анализа крови, общего (клинического) анализа мочи, анализа крови биохимического общетерапевтического (исследование у</w:t>
      </w:r>
      <w:r>
        <w:t>ровня глюкозы, креатинина, мочевой кислоты, общего белка, холестерина, холестерина липопротеинов низкой плотности (ЛПНП), холестерина липопротеинов высокой плотности (ЛПВП), ТГ, общего билирубина, общего кальция, неорганического фосфора в крови, определени</w:t>
      </w:r>
      <w:r>
        <w:t>е активности аспартатаминотрансферазы (АСТ), аланинаминотрансферазы (АЛТ), щелочной фосфатазы в крови) не реже 1 раза в год. Необходимо также всем пациентам с ОА проводить оценку расчетной скорости клубочковой фильтрации (рСКФ) для определения функции поче</w:t>
      </w:r>
      <w:r>
        <w:t xml:space="preserve">к, что важно для обеспечения безопасного применения НПВП и многих других лекарственных препаратов. </w:t>
      </w:r>
    </w:p>
    <w:p w:rsidR="000A3B51" w:rsidRDefault="003D0A08">
      <w:pPr>
        <w:numPr>
          <w:ilvl w:val="0"/>
          <w:numId w:val="22"/>
        </w:numPr>
        <w:spacing w:after="15" w:line="389" w:lineRule="auto"/>
        <w:ind w:right="755" w:hanging="360"/>
      </w:pPr>
      <w:r>
        <w:t xml:space="preserve">ЭГДС рекомендовано проводить у пациентов с ОА для оценки безопасности проводимой терапии НПВП [206]. </w:t>
      </w:r>
      <w:r>
        <w:rPr>
          <w:color w:val="222222"/>
        </w:rPr>
        <w:t xml:space="preserve"> </w:t>
      </w:r>
    </w:p>
    <w:p w:rsidR="000A3B51" w:rsidRDefault="003D0A08">
      <w:pPr>
        <w:spacing w:after="34" w:line="386" w:lineRule="auto"/>
        <w:ind w:left="355" w:right="753"/>
      </w:pPr>
      <w:r>
        <w:rPr>
          <w:b/>
        </w:rPr>
        <w:t>Уровень убедительности рекомендаций С (уровень достов</w:t>
      </w:r>
      <w:r>
        <w:rPr>
          <w:b/>
        </w:rPr>
        <w:t>ерности доказательств – 5). Комментарий:</w:t>
      </w:r>
      <w:r>
        <w:t xml:space="preserve"> </w:t>
      </w:r>
      <w:r>
        <w:rPr>
          <w:i/>
        </w:rPr>
        <w:t xml:space="preserve">при длительном приеме НПВП с целью исключения эрозивно-язвенного поражения желудка и двенадцатиперстной кишки всем больным рекомендовано проведение ЭГДС не реже, чем 1-2 раза в год. </w:t>
      </w:r>
    </w:p>
    <w:p w:rsidR="000A3B51" w:rsidRDefault="003D0A08">
      <w:pPr>
        <w:numPr>
          <w:ilvl w:val="0"/>
          <w:numId w:val="22"/>
        </w:numPr>
        <w:spacing w:after="15" w:line="392" w:lineRule="auto"/>
        <w:ind w:right="755" w:hanging="360"/>
      </w:pPr>
      <w:r>
        <w:t>Рекомендуется</w:t>
      </w:r>
      <w:r>
        <w:rPr>
          <w:color w:val="222222"/>
        </w:rPr>
        <w:t xml:space="preserve"> рассчитывать </w:t>
      </w:r>
      <w:r>
        <w:rPr>
          <w:color w:val="222222"/>
        </w:rPr>
        <w:t>индивидуальную 10-летнюю вероятность основных патологических переломов (FRAX) (</w:t>
      </w:r>
      <w:r>
        <w:t xml:space="preserve">см. Приложение Г2. Шкала FRAX) </w:t>
      </w:r>
      <w:r>
        <w:rPr>
          <w:color w:val="222222"/>
        </w:rPr>
        <w:t xml:space="preserve">у пациентов с ОА, имеющих факторы риска развития ОП </w:t>
      </w:r>
      <w:r>
        <w:t>[478–481]</w:t>
      </w:r>
      <w:r>
        <w:rPr>
          <w:color w:val="222222"/>
        </w:rPr>
        <w:t>.</w:t>
      </w:r>
      <w:r>
        <w:rPr>
          <w:i/>
        </w:rPr>
        <w:t xml:space="preserve"> </w:t>
      </w:r>
    </w:p>
    <w:p w:rsidR="000A3B51" w:rsidRDefault="003D0A08">
      <w:pPr>
        <w:spacing w:after="5" w:line="389" w:lineRule="auto"/>
        <w:ind w:left="355" w:right="74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  <w:r>
        <w:rPr>
          <w:b/>
          <w:color w:val="222222"/>
        </w:rPr>
        <w:t>Ко</w:t>
      </w:r>
      <w:r>
        <w:rPr>
          <w:b/>
          <w:color w:val="222222"/>
        </w:rPr>
        <w:t>мментарии</w:t>
      </w:r>
      <w:r>
        <w:rPr>
          <w:i/>
          <w:color w:val="333333"/>
        </w:rPr>
        <w:t>:</w:t>
      </w:r>
      <w:r>
        <w:rPr>
          <w:i/>
        </w:rPr>
        <w:t xml:space="preserve"> </w:t>
      </w:r>
      <w:r>
        <w:rPr>
          <w:i/>
          <w:color w:val="333333"/>
        </w:rPr>
        <w:t xml:space="preserve">частое сочетание этих двух заболеваний требует пристального внимания специалистов на предмет скрининга ОП. Хроническая боль в спине является одним из симптомов остеопоротического повреждения костных структур позвоночника.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Рекомендуется направл</w:t>
      </w:r>
      <w:r>
        <w:t>ение на прием (осмотр, консультацию) врачаневролога первичный пациентов с невропатической болью и/или центральной сенситизацией [482].</w:t>
      </w:r>
      <w:r>
        <w:rPr>
          <w:i/>
          <w:color w:val="333333"/>
        </w:rPr>
        <w:t xml:space="preserve"> </w:t>
      </w:r>
    </w:p>
    <w:p w:rsidR="000A3B51" w:rsidRDefault="003D0A08">
      <w:pPr>
        <w:spacing w:after="5" w:line="389" w:lineRule="auto"/>
        <w:ind w:left="355" w:right="747"/>
      </w:pPr>
      <w:r>
        <w:rPr>
          <w:b/>
        </w:rPr>
        <w:t xml:space="preserve">Уровень убедительности рекомендации С (уровень достоверности доказательств 3) Комментарии: </w:t>
      </w:r>
      <w:r>
        <w:rPr>
          <w:i/>
          <w:color w:val="333333"/>
        </w:rPr>
        <w:t>невропатическая боль и/или це</w:t>
      </w:r>
      <w:r>
        <w:rPr>
          <w:i/>
          <w:color w:val="333333"/>
        </w:rPr>
        <w:t xml:space="preserve">нтральная сенситизация встречаются почти у трети пациентов с ОА </w:t>
      </w:r>
      <w:r>
        <w:rPr>
          <w:i/>
        </w:rPr>
        <w:t>[483–485]</w:t>
      </w:r>
      <w:r>
        <w:rPr>
          <w:i/>
          <w:color w:val="333333"/>
        </w:rPr>
        <w:t xml:space="preserve">. Важно обращать внимание на "окраску" болевых ощущений: онемение, жжение, покалывание, чувство "мурашек", повышенная чувствительность к прикосновениям (аллодиния) и др. симптомы, не </w:t>
      </w:r>
      <w:r>
        <w:rPr>
          <w:i/>
          <w:color w:val="333333"/>
        </w:rPr>
        <w:t>характерные для ноцицептивной боли, могут быть признаками этих состояний. Для выявления невропатической боли и/или центральной сенситизации врачи могут использовать специальные опросники, например, диагностический опросник невропатической боли - DN4 (см. П</w:t>
      </w:r>
      <w:r>
        <w:rPr>
          <w:i/>
          <w:color w:val="333333"/>
        </w:rPr>
        <w:t>риложение Г8) или PainDETECT (см. Приложение Г9). Данные опросники с высокой точностью дают возможность выявить у пациентов с ОА</w:t>
      </w:r>
      <w:r>
        <w:rPr>
          <w:rFonts w:ascii="Calibri" w:eastAsia="Calibri" w:hAnsi="Calibri" w:cs="Calibri"/>
        </w:rPr>
        <w:t xml:space="preserve"> </w:t>
      </w:r>
      <w:r>
        <w:rPr>
          <w:i/>
          <w:color w:val="333333"/>
        </w:rPr>
        <w:t>наличие</w:t>
      </w:r>
      <w:r>
        <w:rPr>
          <w:rFonts w:ascii="Calibri" w:eastAsia="Calibri" w:hAnsi="Calibri" w:cs="Calibri"/>
          <w:sz w:val="25"/>
        </w:rPr>
        <w:t xml:space="preserve"> </w:t>
      </w:r>
      <w:r>
        <w:rPr>
          <w:i/>
        </w:rPr>
        <w:t xml:space="preserve">невропатической боли.  </w:t>
      </w:r>
      <w:r>
        <w:rPr>
          <w:i/>
        </w:rPr>
        <w:t>При сумме баллов по опроснику DN4, равной или превышающей 4, или при 19 и более баллах по PainDETECT, необходим прием (осмотр, консультация) врача-невролога первичный. Специалист оценит неврологический статус пациента и примет решение о целесообразности до</w:t>
      </w:r>
      <w:r>
        <w:rPr>
          <w:i/>
        </w:rPr>
        <w:t>полнительного обследования и/или лечения.</w:t>
      </w:r>
      <w:r>
        <w:rPr>
          <w:rFonts w:ascii="Calibri" w:eastAsia="Calibri" w:hAnsi="Calibri" w:cs="Calibri"/>
          <w:sz w:val="25"/>
        </w:rPr>
        <w:t xml:space="preserve"> </w:t>
      </w:r>
      <w:r>
        <w:rPr>
          <w:i/>
        </w:rPr>
        <w:t xml:space="preserve"> </w:t>
      </w:r>
    </w:p>
    <w:p w:rsidR="000A3B51" w:rsidRDefault="003D0A08">
      <w:pPr>
        <w:numPr>
          <w:ilvl w:val="0"/>
          <w:numId w:val="22"/>
        </w:numPr>
        <w:spacing w:after="36" w:line="374" w:lineRule="auto"/>
        <w:ind w:right="755" w:hanging="360"/>
      </w:pPr>
      <w:r>
        <w:t>Рекомендуется для оценки эффективности лечения при каждом посещении пациентом врача-специалиста, занимающего проблемой ОА, применять специальные шкалы, индексы для определения интенсивности боли и/или функциональ</w:t>
      </w:r>
      <w:r>
        <w:t xml:space="preserve">ной активности в анализируемом (наиболее болезненном) суставе и/или позвоночнике </w:t>
      </w:r>
      <w:r>
        <w:rPr>
          <w:i/>
        </w:rPr>
        <w:t>[486–511].</w:t>
      </w:r>
      <w:r>
        <w:t xml:space="preserve"> </w:t>
      </w:r>
    </w:p>
    <w:p w:rsidR="000A3B51" w:rsidRDefault="003D0A08">
      <w:pPr>
        <w:spacing w:after="5" w:line="389" w:lineRule="auto"/>
        <w:ind w:left="355" w:right="747"/>
      </w:pPr>
      <w:r>
        <w:rPr>
          <w:b/>
        </w:rPr>
        <w:t xml:space="preserve">Уровень убедительности рекомендаций С (уровень достоверности доказательств – 4)  </w:t>
      </w:r>
      <w:r>
        <w:rPr>
          <w:b/>
          <w:color w:val="222222"/>
        </w:rPr>
        <w:t>Комментарии:</w:t>
      </w:r>
      <w:r>
        <w:rPr>
          <w:i/>
          <w:color w:val="333333"/>
        </w:rPr>
        <w:t xml:space="preserve"> рутинно используют субъективные методы оценки боли с помощью шкал и/и</w:t>
      </w:r>
      <w:r>
        <w:rPr>
          <w:i/>
          <w:color w:val="333333"/>
        </w:rPr>
        <w:t>ли индексов, которые заполняет сам пациент или с помощью медицинского персонала. В процессе оценки проводят идентификацию типа боли (ноцицептивная, невропатическая, ноципластическая), ее интенсивность (слабая, умеренная, сильная) и продолжительность (остра</w:t>
      </w:r>
      <w:r>
        <w:rPr>
          <w:i/>
          <w:color w:val="333333"/>
        </w:rPr>
        <w:t xml:space="preserve">я или хроническая); устанавливают локализацию и определяют эффективность лечения.  </w:t>
      </w:r>
    </w:p>
    <w:p w:rsidR="000A3B51" w:rsidRDefault="003D0A08">
      <w:pPr>
        <w:spacing w:after="5" w:line="389" w:lineRule="auto"/>
        <w:ind w:left="355" w:right="747"/>
      </w:pPr>
      <w:r>
        <w:rPr>
          <w:i/>
          <w:color w:val="333333"/>
        </w:rPr>
        <w:t>Интенсивность боли оценивается по различным шкалам, наиболее часто используемая из них и рекомендуемая в реальной клинической практике - визуально-аналоговая шкала (ВАШ), п</w:t>
      </w:r>
      <w:r>
        <w:rPr>
          <w:i/>
          <w:color w:val="333333"/>
        </w:rPr>
        <w:t>редставляющая собой отрезок 10 см без градуировки и отражающая силу боли в миллиметрах от 0 до 100 мм (см. Приложение Г1. Визуальная аналоговая шкала). Также могут применяться числовая рейтинговая шкала, имеющая цифровую градуировку, соответствующую баллам</w:t>
      </w:r>
      <w:r>
        <w:rPr>
          <w:i/>
          <w:color w:val="333333"/>
        </w:rPr>
        <w:t xml:space="preserve"> от 0 до 10, или вербальная ранговая шкала (ВРШ), содержащая прилагательные и/или цифровые обозначения (0 – «нет боли» 1 - «слабая», 2 - «умеренная», 3 - «сильная», 4 - «очень сильная», 5 - «невыносимая») (см. Приложение Г1. Числовая рейтинговая шкала и Пр</w:t>
      </w:r>
      <w:r>
        <w:rPr>
          <w:i/>
          <w:color w:val="333333"/>
        </w:rPr>
        <w:t xml:space="preserve">иложение Г1. Вербальная ранговая шкала). Формат шкал по ВАШ обладает большей чувствительностью по сравнению с другими форматами шкал.  </w:t>
      </w:r>
    </w:p>
    <w:p w:rsidR="000A3B51" w:rsidRDefault="003D0A08">
      <w:pPr>
        <w:spacing w:after="0" w:line="386" w:lineRule="auto"/>
        <w:ind w:left="355" w:right="753"/>
      </w:pPr>
      <w:r>
        <w:rPr>
          <w:i/>
          <w:color w:val="333333"/>
        </w:rPr>
        <w:t>Уменьшение интенсивности боли на 20% от первоначальных значений считается клинически значимым, на 50% по одной из этих ш</w:t>
      </w:r>
      <w:r>
        <w:rPr>
          <w:i/>
          <w:color w:val="333333"/>
        </w:rPr>
        <w:t xml:space="preserve">кал – выраженным.  </w:t>
      </w:r>
      <w:r>
        <w:rPr>
          <w:i/>
        </w:rPr>
        <w:t>Под недостаточным ответом на проводимую терапию понимается сохранение боли в анализируемом суставе (наиболее болезненном) более 40 мм по ВАШ [60, 512].</w:t>
      </w:r>
      <w:r>
        <w:rPr>
          <w:i/>
          <w:color w:val="FF0000"/>
        </w:rPr>
        <w:t xml:space="preserve"> </w:t>
      </w:r>
    </w:p>
    <w:p w:rsidR="000A3B51" w:rsidRDefault="003D0A08">
      <w:pPr>
        <w:spacing w:after="5" w:line="389" w:lineRule="auto"/>
        <w:ind w:left="355" w:right="747"/>
      </w:pPr>
      <w:r>
        <w:rPr>
          <w:i/>
          <w:color w:val="333333"/>
        </w:rPr>
        <w:t>Для оценки не только боли, но и функциональной активности и/или качества жизни и/или</w:t>
      </w:r>
      <w:r>
        <w:rPr>
          <w:i/>
          <w:color w:val="333333"/>
        </w:rPr>
        <w:t xml:space="preserve"> скованности часто также используются следующие индексы/шкалы: </w:t>
      </w:r>
    </w:p>
    <w:p w:rsidR="000A3B51" w:rsidRDefault="003D0A08">
      <w:pPr>
        <w:numPr>
          <w:ilvl w:val="0"/>
          <w:numId w:val="23"/>
        </w:numPr>
        <w:spacing w:after="151" w:line="259" w:lineRule="auto"/>
        <w:ind w:right="747" w:hanging="139"/>
      </w:pPr>
      <w:r>
        <w:rPr>
          <w:i/>
          <w:color w:val="333333"/>
        </w:rPr>
        <w:t xml:space="preserve">при ОА коленных суставов: WOMAC (см. Приложение Г3), KOOS (см. Приложение Г4); </w:t>
      </w:r>
    </w:p>
    <w:p w:rsidR="000A3B51" w:rsidRDefault="003D0A08">
      <w:pPr>
        <w:numPr>
          <w:ilvl w:val="0"/>
          <w:numId w:val="23"/>
        </w:numPr>
        <w:spacing w:after="5" w:line="389" w:lineRule="auto"/>
        <w:ind w:right="747" w:hanging="139"/>
      </w:pPr>
      <w:r>
        <w:rPr>
          <w:i/>
          <w:color w:val="333333"/>
        </w:rPr>
        <w:t xml:space="preserve">при ОА тазобедренных суставов: WOMAC (см. Приложение Г3), HOOS (см. Приложение Г5); </w:t>
      </w:r>
    </w:p>
    <w:p w:rsidR="000A3B51" w:rsidRDefault="003D0A08">
      <w:pPr>
        <w:numPr>
          <w:ilvl w:val="0"/>
          <w:numId w:val="23"/>
        </w:numPr>
        <w:spacing w:after="303" w:line="389" w:lineRule="auto"/>
        <w:ind w:right="747" w:hanging="139"/>
      </w:pPr>
      <w:r>
        <w:rPr>
          <w:i/>
          <w:color w:val="333333"/>
        </w:rPr>
        <w:t>при ОА суставов кистей: AUS</w:t>
      </w:r>
      <w:r>
        <w:rPr>
          <w:i/>
          <w:color w:val="333333"/>
        </w:rPr>
        <w:t xml:space="preserve">CAN (см. Приложение Г6), FIHOA (см. Приложение Г7); - при ОА суставов позвоночника: Освестри (см. Приложение Г8). </w:t>
      </w:r>
    </w:p>
    <w:p w:rsidR="000A3B51" w:rsidRDefault="003D0A08">
      <w:pPr>
        <w:pStyle w:val="Heading1"/>
        <w:spacing w:after="171" w:line="249" w:lineRule="auto"/>
        <w:ind w:left="1063" w:right="749"/>
        <w:jc w:val="both"/>
      </w:pPr>
      <w:r>
        <w:t xml:space="preserve">6. Организация оказания медицинской помощи </w:t>
      </w:r>
    </w:p>
    <w:p w:rsidR="000A3B51" w:rsidRDefault="003D0A08">
      <w:pPr>
        <w:spacing w:after="8" w:line="396" w:lineRule="auto"/>
        <w:ind w:left="1078" w:right="755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 xml:space="preserve">Лечение пациентов с ОА рекомендуется проводить врачами-ревматологами или врачами-терапевтами, </w:t>
      </w:r>
      <w:r>
        <w:t>или врачами общей практики (семейными врачами), или врачами-травматологами-ортопедами, но при периодической консультативной поддержке врача-ревматолога, с привлечением других специалистов (врач по медицинской реабилитации, врач-кардиолог, врач-невролог, вр</w:t>
      </w:r>
      <w:r>
        <w:t>ач-эндокринолог и др.) и основываться на тесном взаимодействии врача и пациента [513]</w:t>
      </w:r>
      <w:r>
        <w:rPr>
          <w:i/>
          <w:color w:val="0070C0"/>
        </w:rPr>
        <w:t>.</w:t>
      </w:r>
      <w:r>
        <w:rPr>
          <w:b/>
          <w:color w:val="C00000"/>
        </w:rPr>
        <w:t xml:space="preserve"> </w:t>
      </w:r>
    </w:p>
    <w:p w:rsidR="000A3B51" w:rsidRDefault="003D0A08">
      <w:pPr>
        <w:spacing w:after="12" w:line="386" w:lineRule="auto"/>
        <w:ind w:left="355" w:right="753"/>
      </w:pPr>
      <w:r>
        <w:rPr>
          <w:b/>
        </w:rPr>
        <w:t xml:space="preserve">Уровень убедительности рекомендаций – С (уровень достоверности доказательств – 5) </w:t>
      </w:r>
      <w:r>
        <w:rPr>
          <w:b/>
          <w:i/>
        </w:rPr>
        <w:t>Комментарии</w:t>
      </w:r>
      <w:r>
        <w:rPr>
          <w:i/>
        </w:rPr>
        <w:t>: мультидисциплинарный подход к ведению пациентов с ОА позволяет снизить вл</w:t>
      </w:r>
      <w:r>
        <w:rPr>
          <w:i/>
        </w:rPr>
        <w:t xml:space="preserve">ияние коморбидной патологии на течение заболевания, улучшить эффективность фармакотерапии и прогноз заболевания.  </w:t>
      </w:r>
    </w:p>
    <w:p w:rsidR="000A3B51" w:rsidRDefault="003D0A08">
      <w:pPr>
        <w:spacing w:after="34" w:line="386" w:lineRule="auto"/>
        <w:ind w:left="355" w:right="753"/>
      </w:pPr>
      <w:r>
        <w:rPr>
          <w:i/>
        </w:rPr>
        <w:t>Прием (осмотр, консультация) врача-ревматолога первичный показана при наличии синовита, неэффективности стандартной терапии, необходимости пр</w:t>
      </w:r>
      <w:r>
        <w:rPr>
          <w:i/>
        </w:rPr>
        <w:t xml:space="preserve">оведения локальной инъекционной терапии, а также для проведения дифференциальной диагностики. </w:t>
      </w:r>
    </w:p>
    <w:p w:rsidR="000A3B51" w:rsidRDefault="003D0A08">
      <w:pPr>
        <w:spacing w:after="168" w:line="259" w:lineRule="auto"/>
        <w:ind w:left="360" w:right="0" w:firstLine="0"/>
        <w:jc w:val="left"/>
      </w:pPr>
      <w:r>
        <w:rPr>
          <w:b/>
          <w:color w:val="222222"/>
          <w:sz w:val="27"/>
        </w:rPr>
        <w:t>Показания для госпитализации в медицинскую организацию:</w:t>
      </w:r>
      <w:r>
        <w:rPr>
          <w:color w:val="222222"/>
          <w:sz w:val="27"/>
        </w:rPr>
        <w:t xml:space="preserve"> </w:t>
      </w:r>
    </w:p>
    <w:p w:rsidR="000A3B51" w:rsidRDefault="003D0A08">
      <w:pPr>
        <w:ind w:right="755"/>
      </w:pPr>
      <w:r>
        <w:t>Форма - плановая; условия - стационар, дневной стационар:</w:t>
      </w:r>
      <w:r>
        <w:rPr>
          <w:color w:val="222222"/>
          <w:sz w:val="27"/>
        </w:rPr>
        <w:t xml:space="preserve"> </w:t>
      </w:r>
    </w:p>
    <w:p w:rsidR="000A3B51" w:rsidRDefault="003D0A08">
      <w:pPr>
        <w:numPr>
          <w:ilvl w:val="0"/>
          <w:numId w:val="24"/>
        </w:numPr>
        <w:spacing w:after="2" w:line="396" w:lineRule="auto"/>
        <w:ind w:right="755" w:hanging="139"/>
      </w:pPr>
      <w:r>
        <w:t xml:space="preserve">клинически значимое ухудшение основного заболевания, его осложнений и сопутствующей патологии;  </w:t>
      </w:r>
    </w:p>
    <w:p w:rsidR="000A3B51" w:rsidRDefault="003D0A08">
      <w:pPr>
        <w:numPr>
          <w:ilvl w:val="0"/>
          <w:numId w:val="24"/>
        </w:numPr>
        <w:spacing w:after="153"/>
        <w:ind w:right="755" w:hanging="139"/>
      </w:pPr>
      <w:r>
        <w:t xml:space="preserve">выраженный синовит или рецидивирующий/хронический синовит; </w:t>
      </w:r>
    </w:p>
    <w:p w:rsidR="000A3B51" w:rsidRDefault="003D0A08">
      <w:pPr>
        <w:numPr>
          <w:ilvl w:val="0"/>
          <w:numId w:val="24"/>
        </w:numPr>
        <w:spacing w:after="2" w:line="394" w:lineRule="auto"/>
        <w:ind w:right="755" w:hanging="139"/>
      </w:pPr>
      <w:r>
        <w:t xml:space="preserve">интенсивная боль, не купируемая стандартной терапией или усиление боли на фоне лечения;  </w:t>
      </w:r>
    </w:p>
    <w:p w:rsidR="000A3B51" w:rsidRDefault="003D0A08">
      <w:pPr>
        <w:numPr>
          <w:ilvl w:val="0"/>
          <w:numId w:val="24"/>
        </w:numPr>
        <w:spacing w:after="3" w:line="397" w:lineRule="auto"/>
        <w:ind w:right="755" w:hanging="139"/>
      </w:pPr>
      <w:r>
        <w:t>проведени</w:t>
      </w:r>
      <w:r>
        <w:t xml:space="preserve">е инвазивных вмешательств, направленных на лечение ОА; - проведение реабилитационных мероприятий. </w:t>
      </w:r>
    </w:p>
    <w:p w:rsidR="000A3B51" w:rsidRDefault="003D0A08">
      <w:pPr>
        <w:spacing w:after="3" w:line="395" w:lineRule="auto"/>
        <w:ind w:left="345" w:right="753" w:firstLine="708"/>
      </w:pPr>
      <w:r>
        <w:rPr>
          <w:b/>
        </w:rPr>
        <w:t>Показания к выписке пациента из медицинской организации</w:t>
      </w:r>
      <w:r>
        <w:t xml:space="preserve"> определяются исходя из:</w:t>
      </w:r>
      <w:r>
        <w:rPr>
          <w:b/>
        </w:rPr>
        <w:t xml:space="preserve"> </w:t>
      </w:r>
    </w:p>
    <w:p w:rsidR="000A3B51" w:rsidRDefault="003D0A08">
      <w:pPr>
        <w:numPr>
          <w:ilvl w:val="0"/>
          <w:numId w:val="25"/>
        </w:numPr>
        <w:spacing w:after="163"/>
        <w:ind w:right="755" w:hanging="708"/>
      </w:pPr>
      <w:r>
        <w:t xml:space="preserve">состояния пациента; </w:t>
      </w:r>
    </w:p>
    <w:p w:rsidR="000A3B51" w:rsidRDefault="003D0A08">
      <w:pPr>
        <w:numPr>
          <w:ilvl w:val="0"/>
          <w:numId w:val="25"/>
        </w:numPr>
        <w:spacing w:after="160"/>
        <w:ind w:right="755" w:hanging="708"/>
      </w:pPr>
      <w:r>
        <w:t xml:space="preserve">завершенности диагностического процесса; </w:t>
      </w:r>
    </w:p>
    <w:p w:rsidR="000A3B51" w:rsidRDefault="003D0A08">
      <w:pPr>
        <w:numPr>
          <w:ilvl w:val="0"/>
          <w:numId w:val="25"/>
        </w:numPr>
        <w:spacing w:after="165"/>
        <w:ind w:right="755" w:hanging="708"/>
      </w:pPr>
      <w:r>
        <w:t xml:space="preserve">выполнения инвазивного вмешательства; </w:t>
      </w:r>
    </w:p>
    <w:p w:rsidR="000A3B51" w:rsidRDefault="003D0A08">
      <w:pPr>
        <w:numPr>
          <w:ilvl w:val="0"/>
          <w:numId w:val="25"/>
        </w:numPr>
        <w:spacing w:after="289" w:line="397" w:lineRule="auto"/>
        <w:ind w:right="755" w:hanging="708"/>
      </w:pPr>
      <w:r>
        <w:t xml:space="preserve">достигнутого результата лечения. Достижение улучшения, снижение интенсивности боли по ВАШ или ЧРШ в наиболее болезненном суставе. </w:t>
      </w:r>
    </w:p>
    <w:p w:rsidR="000A3B51" w:rsidRDefault="003D0A08">
      <w:pPr>
        <w:pStyle w:val="Heading1"/>
        <w:spacing w:after="149" w:line="249" w:lineRule="auto"/>
        <w:ind w:left="1063" w:right="749"/>
        <w:jc w:val="both"/>
      </w:pPr>
      <w:r>
        <w:t xml:space="preserve">7. Постановка диагноза </w:t>
      </w:r>
    </w:p>
    <w:p w:rsidR="000A3B51" w:rsidRDefault="003D0A08">
      <w:pPr>
        <w:spacing w:after="3" w:line="396" w:lineRule="auto"/>
        <w:ind w:right="755"/>
      </w:pPr>
      <w:r>
        <w:t>Диагноз ОА коленных, тазобедренных суставов и суставов кистей,</w:t>
      </w:r>
      <w:r>
        <w:rPr>
          <w:color w:val="FF0000"/>
        </w:rPr>
        <w:t xml:space="preserve"> </w:t>
      </w:r>
      <w:r>
        <w:t xml:space="preserve">устанавливается на основании классификационных критериев AКР [32–34]. Диагноз ОА суставов позвоночника и 1-й ПлФС ставится на основе клинической и рентгенологической картины.   </w:t>
      </w:r>
    </w:p>
    <w:p w:rsidR="000A3B51" w:rsidRDefault="003D0A08">
      <w:pPr>
        <w:numPr>
          <w:ilvl w:val="0"/>
          <w:numId w:val="26"/>
        </w:numPr>
        <w:spacing w:after="162"/>
        <w:ind w:right="755" w:hanging="684"/>
      </w:pPr>
      <w:r>
        <w:t xml:space="preserve">При генерализованном ОА необходимо указывать не менее 3-х групп </w:t>
      </w:r>
    </w:p>
    <w:p w:rsidR="000A3B51" w:rsidRDefault="003D0A08">
      <w:pPr>
        <w:spacing w:after="156"/>
        <w:ind w:left="1078" w:right="755"/>
      </w:pPr>
      <w:r>
        <w:t>суставов, во</w:t>
      </w:r>
      <w:r>
        <w:t xml:space="preserve">влеченных в патологический процесс.  </w:t>
      </w:r>
    </w:p>
    <w:p w:rsidR="000A3B51" w:rsidRDefault="003D0A08">
      <w:pPr>
        <w:numPr>
          <w:ilvl w:val="0"/>
          <w:numId w:val="26"/>
        </w:numPr>
        <w:spacing w:after="27" w:line="378" w:lineRule="auto"/>
        <w:ind w:right="755" w:hanging="684"/>
      </w:pPr>
      <w:r>
        <w:t>При формулировке диагноза необходимо указывать рентгенологическую стадию по Kellgren&amp;Lаwrenсe. Хотя тяжесть рентгенологических изменений не всегда коррелирует с выраженностью боли и функциональными нарушениями, рентген</w:t>
      </w:r>
      <w:r>
        <w:t xml:space="preserve">ологическая картина может быть полезна при проведении дифференциальной диагностики, оценки эффективности терапии, выявлении осложнений (например, развития остеонекроза) и формулировки показаний для эндопротезирования крупных суставов. </w:t>
      </w:r>
    </w:p>
    <w:p w:rsidR="000A3B51" w:rsidRDefault="003D0A08">
      <w:pPr>
        <w:numPr>
          <w:ilvl w:val="0"/>
          <w:numId w:val="26"/>
        </w:numPr>
        <w:spacing w:after="5" w:line="397" w:lineRule="auto"/>
        <w:ind w:right="755" w:hanging="684"/>
      </w:pPr>
      <w:r>
        <w:t>Следует вносить в ди</w:t>
      </w:r>
      <w:r>
        <w:t xml:space="preserve">агноз осложнения ОА и сопутствующую патологию околосуставных мягких тканей (например, синовит, энтезит), наличие деформации. </w:t>
      </w:r>
    </w:p>
    <w:p w:rsidR="000A3B51" w:rsidRDefault="003D0A08">
      <w:pPr>
        <w:numPr>
          <w:ilvl w:val="0"/>
          <w:numId w:val="26"/>
        </w:numPr>
        <w:spacing w:after="287" w:line="398" w:lineRule="auto"/>
        <w:ind w:right="755" w:hanging="684"/>
      </w:pPr>
      <w:r>
        <w:t xml:space="preserve">При постановке диагноза следует указывать степень функциональных ограничений </w:t>
      </w:r>
      <w:r>
        <w:t xml:space="preserve">(функциолнальный класс), используя классификации и критерии, применяемые при осуществлении медико-социальной экспертизы граждан федеральными государственными учреждениями медико-социальной экспертизы (в соответствии с Приказом МЗ РФ № 585н от 27.08.2019). </w:t>
      </w:r>
    </w:p>
    <w:p w:rsidR="000A3B51" w:rsidRDefault="003D0A08">
      <w:pPr>
        <w:pStyle w:val="Heading2"/>
        <w:spacing w:after="234"/>
        <w:ind w:left="1063" w:right="749"/>
      </w:pPr>
      <w:r>
        <w:t xml:space="preserve">7.1 Примеры формулировки клинических диагнозов </w:t>
      </w:r>
    </w:p>
    <w:p w:rsidR="000A3B51" w:rsidRDefault="003D0A08">
      <w:pPr>
        <w:numPr>
          <w:ilvl w:val="0"/>
          <w:numId w:val="27"/>
        </w:numPr>
        <w:spacing w:after="46" w:line="377" w:lineRule="auto"/>
        <w:ind w:right="753"/>
      </w:pPr>
      <w:r>
        <w:t>М15.0 Остеоартрит генерализованный: с вовлечением суставов позвоночника, узелковая форма (узелки Гебердена, Бушара), двусторонний остеоартрит тазобедренных суставов 2 ст., двусторонний остеоартрит коленных с</w:t>
      </w:r>
      <w:r>
        <w:t xml:space="preserve">уставов 3 ст. справа и 2 ст. слева. Синовит правого коленного сустава. Варусная деформация коленных суставов. Поперечное плоскостопие. ФК II. </w:t>
      </w:r>
    </w:p>
    <w:p w:rsidR="000A3B51" w:rsidRDefault="003D0A08">
      <w:pPr>
        <w:numPr>
          <w:ilvl w:val="0"/>
          <w:numId w:val="27"/>
        </w:numPr>
        <w:spacing w:after="3" w:line="401" w:lineRule="auto"/>
        <w:ind w:right="753"/>
      </w:pPr>
      <w:r>
        <w:t>М15.0 Остеоартрит генерализованный: эрозивная форма, двусторонний остеоартрит коленных суставов 2ст, феморопателл</w:t>
      </w:r>
      <w:r>
        <w:t xml:space="preserve">ярный остеоартрит. ФК III. </w:t>
      </w:r>
    </w:p>
    <w:p w:rsidR="000A3B51" w:rsidRDefault="003D0A08">
      <w:pPr>
        <w:spacing w:after="448"/>
        <w:ind w:left="1078" w:right="755"/>
      </w:pPr>
      <w:r>
        <w:t xml:space="preserve">           Осложнения: M87 Остеонекроз головки правой бедренной кости.  </w:t>
      </w:r>
    </w:p>
    <w:p w:rsidR="000A3B51" w:rsidRDefault="003D0A08">
      <w:pPr>
        <w:pStyle w:val="Heading1"/>
        <w:spacing w:after="229" w:line="398" w:lineRule="auto"/>
        <w:ind w:left="319" w:right="646"/>
      </w:pPr>
      <w:r>
        <w:t xml:space="preserve">8. Дополнительная информация, влияющая на течение и исход заболевания </w:t>
      </w:r>
    </w:p>
    <w:p w:rsidR="000A3B51" w:rsidRDefault="003D0A08">
      <w:pPr>
        <w:pStyle w:val="Heading2"/>
        <w:spacing w:after="164"/>
        <w:ind w:left="1222" w:right="749"/>
      </w:pPr>
      <w:r>
        <w:t xml:space="preserve"> 8.1 Коморбидность </w:t>
      </w:r>
    </w:p>
    <w:p w:rsidR="000A3B51" w:rsidRDefault="003D0A08">
      <w:pPr>
        <w:spacing w:after="31" w:line="376" w:lineRule="auto"/>
        <w:ind w:left="1078" w:right="755"/>
      </w:pPr>
      <w:r>
        <w:t>Пациентам с ОА рекомендовано регулярно проводить оценку кардиова</w:t>
      </w:r>
      <w:r>
        <w:t>скулярных факторов риска (возраст, индекс массы тела и/или окружность талии, статус курения, наличие отягощенной наследственности по сердечно-сосудистым заболеваниям (у близких родственников мужского пола в возрасте &lt;55 лет, женского &lt;65 лет), артериальная</w:t>
      </w:r>
      <w:r>
        <w:t xml:space="preserve"> гипертензия, сахарный диабет и дислипидемия) и проводить коррекцию модифицирумых факторов в соответствие с российскими национальными рекомендациями [53, 54, 56]. </w:t>
      </w:r>
    </w:p>
    <w:p w:rsidR="000A3B51" w:rsidRDefault="003D0A08">
      <w:pPr>
        <w:spacing w:after="307" w:line="386" w:lineRule="auto"/>
        <w:ind w:left="355" w:right="753"/>
      </w:pPr>
      <w:r>
        <w:rPr>
          <w:b/>
        </w:rPr>
        <w:t>Уровень убедительности рекомендаций – С (уровень достоверности доказательств – 4) Комментари</w:t>
      </w:r>
      <w:r>
        <w:rPr>
          <w:b/>
        </w:rPr>
        <w:t>и:</w:t>
      </w:r>
      <w:r>
        <w:t xml:space="preserve"> </w:t>
      </w:r>
      <w:r>
        <w:rPr>
          <w:i/>
        </w:rPr>
        <w:t>характер сопутствующих (коморбидных) заболеваний имеет важное значение для выбора тактики лечения пациентов с ОА с точки зрения как эффективности, так и безопасности терапии</w:t>
      </w:r>
      <w:r>
        <w:rPr>
          <w:i/>
          <w:color w:val="FF0000"/>
        </w:rPr>
        <w:t xml:space="preserve"> </w:t>
      </w:r>
      <w:r>
        <w:rPr>
          <w:i/>
        </w:rPr>
        <w:t>[55–57]</w:t>
      </w:r>
      <w:r>
        <w:t xml:space="preserve"> </w:t>
      </w:r>
    </w:p>
    <w:p w:rsidR="000A3B51" w:rsidRDefault="003D0A08">
      <w:pPr>
        <w:pStyle w:val="Heading1"/>
        <w:spacing w:after="12" w:line="249" w:lineRule="auto"/>
        <w:ind w:left="1063" w:right="749"/>
        <w:jc w:val="both"/>
      </w:pPr>
      <w:r>
        <w:t xml:space="preserve">9. Критерии оценки качества медицинской помощи </w:t>
      </w:r>
    </w:p>
    <w:tbl>
      <w:tblPr>
        <w:tblStyle w:val="TableGrid"/>
        <w:tblW w:w="9508" w:type="dxa"/>
        <w:tblInd w:w="367" w:type="dxa"/>
        <w:tblCellMar>
          <w:top w:w="102" w:type="dxa"/>
          <w:left w:w="149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236"/>
        <w:gridCol w:w="6556"/>
        <w:gridCol w:w="1716"/>
      </w:tblGrid>
      <w:tr w:rsidR="000A3B51">
        <w:trPr>
          <w:trHeight w:val="866"/>
        </w:trPr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49" w:firstLine="0"/>
              <w:jc w:val="center"/>
            </w:pPr>
            <w:r>
              <w:rPr>
                <w:b/>
              </w:rPr>
              <w:t xml:space="preserve">№ </w:t>
            </w:r>
          </w:p>
          <w:p w:rsidR="000A3B51" w:rsidRDefault="003D0A08">
            <w:pPr>
              <w:spacing w:after="0" w:line="259" w:lineRule="auto"/>
              <w:ind w:left="8" w:right="0" w:firstLine="0"/>
              <w:jc w:val="center"/>
            </w:pPr>
            <w:r>
              <w:rPr>
                <w:b/>
              </w:rPr>
              <w:t xml:space="preserve">  </w:t>
            </w:r>
          </w:p>
        </w:tc>
        <w:tc>
          <w:tcPr>
            <w:tcW w:w="655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Критерии качества </w:t>
            </w:r>
          </w:p>
        </w:tc>
        <w:tc>
          <w:tcPr>
            <w:tcW w:w="171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Оценка выполнения </w:t>
            </w:r>
          </w:p>
        </w:tc>
      </w:tr>
      <w:tr w:rsidR="000A3B51">
        <w:trPr>
          <w:trHeight w:val="1086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>1.</w:t>
            </w:r>
            <w:r>
              <w:rPr>
                <w:rFonts w:ascii="Verdana" w:eastAsia="Verdana" w:hAnsi="Verdana" w:cs="Verdana"/>
                <w:color w:val="222222"/>
                <w:sz w:val="18"/>
              </w:rPr>
              <w:t xml:space="preserve">       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61" w:firstLine="0"/>
            </w:pPr>
            <w:r>
              <w:t xml:space="preserve">При подозрении и ОА коленных суставов рекомендовано выполнять рентгенографию коленных суставов в переднезадней и боковой проекциях в положении стоя, для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869"/>
        </w:trPr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№ 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  </w:t>
            </w:r>
          </w:p>
        </w:tc>
        <w:tc>
          <w:tcPr>
            <w:tcW w:w="655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</w:rPr>
              <w:t xml:space="preserve">Критерии качества </w:t>
            </w:r>
          </w:p>
        </w:tc>
        <w:tc>
          <w:tcPr>
            <w:tcW w:w="171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Оценка выполнения </w:t>
            </w:r>
          </w:p>
        </w:tc>
      </w:tr>
      <w:tr w:rsidR="000A3B51">
        <w:trPr>
          <w:trHeight w:val="1970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78" w:lineRule="auto"/>
              <w:ind w:left="0" w:right="0" w:firstLine="0"/>
            </w:pPr>
            <w:r>
              <w:t xml:space="preserve">исследования пателлофеморального сустава – в боковой проекции при сгибании  </w:t>
            </w:r>
          </w:p>
          <w:p w:rsidR="000A3B51" w:rsidRDefault="003D0A08">
            <w:pPr>
              <w:numPr>
                <w:ilvl w:val="0"/>
                <w:numId w:val="37"/>
              </w:numPr>
              <w:spacing w:after="2" w:line="277" w:lineRule="auto"/>
              <w:ind w:right="0" w:firstLine="0"/>
            </w:pPr>
            <w:r>
              <w:t xml:space="preserve">При подозрении и ОА тазобедренных суставов выполнена рентгенография таза  </w:t>
            </w:r>
          </w:p>
          <w:p w:rsidR="000A3B51" w:rsidRDefault="003D0A08">
            <w:pPr>
              <w:numPr>
                <w:ilvl w:val="0"/>
                <w:numId w:val="37"/>
              </w:numPr>
              <w:spacing w:after="0" w:line="259" w:lineRule="auto"/>
              <w:ind w:right="0" w:firstLine="0"/>
            </w:pPr>
            <w:r>
              <w:t>При подозрении и ОА мелких суставов ОА тазобедренных суставов выполнена рентгенография кистей</w:t>
            </w:r>
            <w:r>
              <w:rPr>
                <w:color w:val="FF0000"/>
              </w:rPr>
              <w:t xml:space="preserve"> </w:t>
            </w:r>
            <w:r>
              <w:rPr>
                <w:rFonts w:ascii="Verdana" w:eastAsia="Verdana" w:hAnsi="Verdana" w:cs="Verdana"/>
                <w:color w:val="222222"/>
                <w:sz w:val="18"/>
              </w:rPr>
              <w:t xml:space="preserve">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1143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>2.</w:t>
            </w:r>
            <w:r>
              <w:rPr>
                <w:rFonts w:ascii="Verdana" w:eastAsia="Verdana" w:hAnsi="Verdana" w:cs="Verdana"/>
                <w:color w:val="222222"/>
                <w:sz w:val="18"/>
              </w:rPr>
              <w:t xml:space="preserve">       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1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62" w:firstLine="0"/>
            </w:pPr>
            <w:r>
              <w:t>Проведено клиническое обследование</w:t>
            </w:r>
            <w:r>
              <w:rPr>
                <w:rFonts w:ascii="Verdana" w:eastAsia="Verdana" w:hAnsi="Verdana" w:cs="Verdana"/>
                <w:color w:val="FF0000"/>
                <w:sz w:val="18"/>
              </w:rPr>
              <w:t xml:space="preserve"> </w:t>
            </w:r>
            <w:r>
              <w:t xml:space="preserve">с оценкой интенсивности боли по ВАШ или ЧРШ, или ВРШ в момент обращения и в динамике в наиболее болезненном суставе.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1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1143"/>
        </w:trPr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4. </w:t>
            </w:r>
          </w:p>
        </w:tc>
        <w:tc>
          <w:tcPr>
            <w:tcW w:w="6556" w:type="dxa"/>
            <w:tcBorders>
              <w:top w:val="single" w:sz="61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59" w:firstLine="0"/>
            </w:pPr>
            <w:r>
              <w:t xml:space="preserve">Проведено информирование пациента о его заболевании, </w:t>
            </w:r>
            <w:r>
              <w:t xml:space="preserve">даны рекомендации о целесообразности снижения веса, при наличии избыточной массы тела или ожирения. </w:t>
            </w:r>
          </w:p>
        </w:tc>
        <w:tc>
          <w:tcPr>
            <w:tcW w:w="1716" w:type="dxa"/>
            <w:tcBorders>
              <w:top w:val="single" w:sz="61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869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6.       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Рекомендован комплекс упражнений (лечебной физкультуры), физиотерапевтические методы лечения.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866"/>
        </w:trPr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7.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Выполнен общий (клинический) анализ крови, если не выполнен за последний год.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866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8.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Выполнен общий (клинический) анализ мочи, если не выполнен за последний год.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867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9.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Выполнен расчет скорости клубочковой фильтрации при назначении НПВП.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  <w:tr w:rsidR="000A3B51">
        <w:trPr>
          <w:trHeight w:val="2190"/>
        </w:trPr>
        <w:tc>
          <w:tcPr>
            <w:tcW w:w="123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10. </w:t>
            </w:r>
          </w:p>
        </w:tc>
        <w:tc>
          <w:tcPr>
            <w:tcW w:w="655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0" w:right="61" w:firstLine="0"/>
            </w:pPr>
            <w:r>
              <w:t xml:space="preserve">Выполнен общий (клинический) анализ крови, общий (клинический) анализ мочи, анализ крови биохимический общетерапевтический </w:t>
            </w:r>
            <w:r>
              <w:t xml:space="preserve">(исследование уровня креатинина, глюкозы, мочевой кислоты в крови, определение активности аланинаминотрансферазы (АЛТ),аспартатаминотрансферазы (АСТ) в крови), анализ крови по оценке нарушений липидного обмена биохимический не реже 1 раза в год. </w:t>
            </w:r>
          </w:p>
        </w:tc>
        <w:tc>
          <w:tcPr>
            <w:tcW w:w="1716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Да/Нет </w:t>
            </w:r>
          </w:p>
        </w:tc>
      </w:tr>
    </w:tbl>
    <w:p w:rsidR="000A3B51" w:rsidRDefault="003D0A08">
      <w:pPr>
        <w:pStyle w:val="Heading1"/>
        <w:spacing w:after="94"/>
        <w:ind w:left="319" w:right="710"/>
      </w:pPr>
      <w:r>
        <w:t xml:space="preserve">Список литературы </w:t>
      </w:r>
    </w:p>
    <w:p w:rsidR="000A3B51" w:rsidRDefault="003D0A08">
      <w:pPr>
        <w:numPr>
          <w:ilvl w:val="0"/>
          <w:numId w:val="28"/>
        </w:numPr>
        <w:spacing w:after="17" w:line="356" w:lineRule="auto"/>
        <w:ind w:right="755" w:hanging="1068"/>
      </w:pPr>
      <w:r>
        <w:t xml:space="preserve">Kraus V.B. The Genetics of Generalized Osteoarthritis (GOGO) study: study design and evaluation of osteoarthritis phenotypes / V.B. Kraus, J.M. Jordan, M. Doherty [et al.] // </w:t>
      </w:r>
    </w:p>
    <w:p w:rsidR="000A3B51" w:rsidRDefault="003D0A08">
      <w:pPr>
        <w:ind w:right="755"/>
      </w:pPr>
      <w:r>
        <w:t>Osteoarthritis Cartilage. – 2007. – Vol. 15, № 2. – P. 120–12</w:t>
      </w:r>
      <w:r>
        <w:t xml:space="preserve">7. </w:t>
      </w:r>
    </w:p>
    <w:p w:rsidR="000A3B51" w:rsidRDefault="003D0A08">
      <w:pPr>
        <w:numPr>
          <w:ilvl w:val="0"/>
          <w:numId w:val="28"/>
        </w:numPr>
        <w:spacing w:line="362" w:lineRule="auto"/>
        <w:ind w:right="755" w:hanging="1068"/>
      </w:pPr>
      <w:r>
        <w:t xml:space="preserve">Nelson A.E. Differences in multijoint radiographic osteoarthritis phenotypes among African Americans and Caucasians: the Johnston County Osteoarthritis project / A.E. Nelson, J.B. Renner, T.A. Schwartz [et al.] // Arthritis Rheum. – 2011. – Vol. 63, № </w:t>
      </w:r>
      <w:r>
        <w:t xml:space="preserve">12. – P. 3843–3852. </w:t>
      </w:r>
    </w:p>
    <w:p w:rsidR="000A3B51" w:rsidRDefault="003D0A08">
      <w:pPr>
        <w:numPr>
          <w:ilvl w:val="0"/>
          <w:numId w:val="28"/>
        </w:numPr>
        <w:spacing w:after="44" w:line="364" w:lineRule="auto"/>
        <w:ind w:right="755" w:hanging="1068"/>
      </w:pPr>
      <w:r>
        <w:t>Nelson A.E. Brief report: differences in multijoint symptomatic osteoarthritis phenotypes by race and sex: the Johnston County Osteoarthritis Project / A.E. Nelson, Y.M. Golightly, J.B. Renner [et al.] // Arthritis Rheum. – 2013. – Vol</w:t>
      </w:r>
      <w:r>
        <w:t xml:space="preserve">. 65, № 2. – P. 373–377.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Nelson A.E. “Generalized Osteoarthritis”: A Systematic Review / A.E. Nelson, M.W. Smith, Y.M. Golightly, J.M. Jordan // Semin Arthritis Rheum. – 2013. – Vol. 43, № 6. – Article ID 713. </w:t>
      </w:r>
    </w:p>
    <w:p w:rsidR="000A3B51" w:rsidRDefault="003D0A08">
      <w:pPr>
        <w:numPr>
          <w:ilvl w:val="0"/>
          <w:numId w:val="28"/>
        </w:numPr>
        <w:spacing w:after="40" w:line="365" w:lineRule="auto"/>
        <w:ind w:right="755" w:hanging="1068"/>
      </w:pPr>
      <w:r>
        <w:t xml:space="preserve">Moe R.H. Disease impact of hand OA compared with hip, knee and generalized disease in specialist rheumatology health care / R.H. Moe, M. Grotle, I. Kjeken [et al.] // Rheumatology (Oxford). – 2013. – Vol. 52, № 1. – P. 189–196.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 xml:space="preserve">Günther K.P. Prevalence of generalised osteoarthritis in patients with advanced hip and knee osteoarthritis: the Ulm Osteoarthritis Study / K.P. Günther, T. Stürmer, S. Sauerland [et al.] // Ann Rheum Dis. – 1998. – Vol. 57, № 12. – P. 717–723. </w:t>
      </w:r>
    </w:p>
    <w:p w:rsidR="000A3B51" w:rsidRDefault="003D0A08">
      <w:pPr>
        <w:numPr>
          <w:ilvl w:val="0"/>
          <w:numId w:val="28"/>
        </w:numPr>
        <w:spacing w:after="2" w:line="362" w:lineRule="auto"/>
        <w:ind w:right="755" w:hanging="1068"/>
      </w:pPr>
      <w:r>
        <w:t>Min J.L. A</w:t>
      </w:r>
      <w:r>
        <w:t xml:space="preserve">ssociation of the Frizzled-related protein gene with symptomatic osteoarthritis at multiple sites / J.L. Min, I. Meulenbelt, N. Riyazi [et al.] // Arthritis Rheum. – 2005. – Vol. 52, № </w:t>
      </w:r>
    </w:p>
    <w:p w:rsidR="000A3B51" w:rsidRDefault="003D0A08">
      <w:pPr>
        <w:ind w:right="755"/>
      </w:pPr>
      <w:r>
        <w:t xml:space="preserve">4. – P. 1077–1080.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Riyazi N. Risk factors in familial osteoarthritis:</w:t>
      </w:r>
      <w:r>
        <w:t xml:space="preserve"> the GARP sibling study / N. Riyazi, F.R. </w:t>
      </w:r>
    </w:p>
    <w:p w:rsidR="000A3B51" w:rsidRDefault="003D0A08">
      <w:pPr>
        <w:ind w:right="755"/>
      </w:pPr>
      <w:r>
        <w:t xml:space="preserve">Rosendaal, E. Slagboom [et al.] // Osteoarthritis Cartilage. – 2008. – Vol. 16, № 6. – P. 654–659. </w:t>
      </w:r>
    </w:p>
    <w:p w:rsidR="000A3B51" w:rsidRDefault="003D0A08">
      <w:pPr>
        <w:numPr>
          <w:ilvl w:val="0"/>
          <w:numId w:val="28"/>
        </w:numPr>
        <w:spacing w:after="9" w:line="358" w:lineRule="auto"/>
        <w:ind w:right="755" w:hanging="1068"/>
      </w:pPr>
      <w:r>
        <w:t>Veronese N. Association of Osteoarthritis with Increased Risk of Cardiovascular Diseases in the Elderly: Findings</w:t>
      </w:r>
      <w:r>
        <w:t xml:space="preserve"> from the Progetto Veneto Anziano Study Cohort / N. Veronese, C. Trevisan, M. </w:t>
      </w:r>
    </w:p>
    <w:p w:rsidR="000A3B51" w:rsidRDefault="003D0A08">
      <w:pPr>
        <w:ind w:right="755"/>
      </w:pPr>
      <w:r>
        <w:t xml:space="preserve">De Rui [et al.] // Arthritis Rheumatol. – 2016. – Vol. 68, № 5. – P. 1136–1144. </w:t>
      </w:r>
    </w:p>
    <w:p w:rsidR="000A3B51" w:rsidRDefault="003D0A08">
      <w:pPr>
        <w:numPr>
          <w:ilvl w:val="0"/>
          <w:numId w:val="28"/>
        </w:numPr>
        <w:spacing w:after="38" w:line="364" w:lineRule="auto"/>
        <w:ind w:right="755" w:hanging="1068"/>
      </w:pPr>
      <w:r>
        <w:t>Park J.H. Prevalence of symptomatic hip, knee, and spine osteoarthritis nationwide health survey</w:t>
      </w:r>
      <w:r>
        <w:t xml:space="preserve"> analysis of an elderly Korean population / J.H. Park, J.Y. Hong, K. Han [et al.] // Medicine (Baltimore). – 2017. – Vol. 96, № 12. – Article ID e6372. </w:t>
      </w:r>
    </w:p>
    <w:p w:rsidR="000A3B51" w:rsidRDefault="003D0A08">
      <w:pPr>
        <w:numPr>
          <w:ilvl w:val="0"/>
          <w:numId w:val="28"/>
        </w:numPr>
        <w:spacing w:after="0" w:line="367" w:lineRule="auto"/>
        <w:ind w:right="755" w:hanging="1068"/>
      </w:pPr>
      <w:r>
        <w:t>Rezuş E. From Pathogenesis to Therapy in Knee Osteoarthritis: Bench-to-Bedside / E. Rezuş, A. Burlui, A</w:t>
      </w:r>
      <w:r>
        <w:t xml:space="preserve">. Cardoneanu [et al.] // Int J Mol Sci. – 2021. – Vol. 22, № 5. – Article ID 2697. </w:t>
      </w:r>
    </w:p>
    <w:p w:rsidR="000A3B51" w:rsidRDefault="003D0A08">
      <w:pPr>
        <w:numPr>
          <w:ilvl w:val="0"/>
          <w:numId w:val="28"/>
        </w:numPr>
        <w:spacing w:after="37" w:line="366" w:lineRule="auto"/>
        <w:ind w:right="755" w:hanging="1068"/>
      </w:pPr>
      <w:r>
        <w:t>Yao Q. Osteoarthritis: pathogenic signaling pathways and therapeutic targets / Q. Yao, X. Wu, C. Tao [et al.] // Signal Transduct Target Ther. – 2023. – Vol. 8, № 1. – P. 1</w:t>
      </w:r>
      <w:r>
        <w:t xml:space="preserve">–31. </w:t>
      </w:r>
    </w:p>
    <w:p w:rsidR="000A3B51" w:rsidRDefault="003D0A08">
      <w:pPr>
        <w:numPr>
          <w:ilvl w:val="0"/>
          <w:numId w:val="28"/>
        </w:numPr>
        <w:spacing w:after="39" w:line="358" w:lineRule="auto"/>
        <w:ind w:right="755" w:hanging="1068"/>
      </w:pPr>
      <w:r>
        <w:t xml:space="preserve">Алексеева Л.И. Остеоартрит: эпидемиология, классификация, факторы риска и прогрессирования, клиника, диагностика, лечение / Л.И. Алексеева, Е.А. Таскина, Н.Г. </w:t>
      </w:r>
    </w:p>
    <w:p w:rsidR="000A3B51" w:rsidRDefault="003D0A08">
      <w:pPr>
        <w:ind w:right="755"/>
      </w:pPr>
      <w:r>
        <w:t xml:space="preserve">Кашеварова // Современная ревматология. – 2019. – Т. 13, № 2. – С. 9–21.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Quicke J.G. Osteoarthritis year in review 2021: epidemiology &amp; therapy / J.G. Quicke, P.G. </w:t>
      </w:r>
    </w:p>
    <w:p w:rsidR="000A3B51" w:rsidRDefault="003D0A08">
      <w:pPr>
        <w:ind w:right="755"/>
      </w:pPr>
      <w:r>
        <w:t xml:space="preserve">Conaghan, N. Corp, G. Peat // Osteoarthritis Cartilage. – 2022. – Vol. 30, № 2. – P. 196–206. </w:t>
      </w:r>
    </w:p>
    <w:p w:rsidR="000A3B51" w:rsidRDefault="003D0A08">
      <w:pPr>
        <w:numPr>
          <w:ilvl w:val="0"/>
          <w:numId w:val="28"/>
        </w:numPr>
        <w:spacing w:line="360" w:lineRule="auto"/>
        <w:ind w:right="755" w:hanging="1068"/>
      </w:pPr>
      <w:r>
        <w:t>Mukherjee A. The role of inflammatory mediators and matrix metallopro</w:t>
      </w:r>
      <w:r>
        <w:t xml:space="preserve">teinases (MMPs) in the progression of osteoarthritis / A. Mukherjee, B. Das // Biomater Biosyst. – 2024. – Vol. 13. – Article ID 100090. </w:t>
      </w:r>
    </w:p>
    <w:p w:rsidR="000A3B51" w:rsidRDefault="003D0A08">
      <w:pPr>
        <w:numPr>
          <w:ilvl w:val="0"/>
          <w:numId w:val="28"/>
        </w:numPr>
        <w:spacing w:after="144"/>
        <w:ind w:right="755" w:hanging="1068"/>
      </w:pPr>
      <w:r>
        <w:t xml:space="preserve">Molnar V. Cytokines and Chemokines Involved in Osteoarthritis Pathogenesis / V. Molnar, V. </w:t>
      </w:r>
    </w:p>
    <w:p w:rsidR="000A3B51" w:rsidRDefault="003D0A08">
      <w:pPr>
        <w:ind w:right="755"/>
      </w:pPr>
      <w:r>
        <w:t>Matišić, I. Kodvanj [et al</w:t>
      </w:r>
      <w:r>
        <w:t xml:space="preserve">.] // Int J Mol Sci. – 2021. – Vol. 22, № 17. – Article ID 9208. </w:t>
      </w:r>
    </w:p>
    <w:p w:rsidR="000A3B51" w:rsidRDefault="003D0A08">
      <w:pPr>
        <w:numPr>
          <w:ilvl w:val="0"/>
          <w:numId w:val="28"/>
        </w:numPr>
        <w:spacing w:after="4" w:line="358" w:lineRule="auto"/>
        <w:ind w:right="755" w:hanging="1068"/>
      </w:pPr>
      <w:r>
        <w:t xml:space="preserve">Nedunchezhiyan U. Obesity, Inflammation, and Immune System in Osteoarthritis / U. Nedunchezhiyan, I. Varughese, A.R.J. Sun [et al.] // Front Immunol. – 2022. – Vol. 13. – Article ID 907750. </w:t>
      </w:r>
    </w:p>
    <w:p w:rsidR="000A3B51" w:rsidRDefault="003D0A08">
      <w:pPr>
        <w:numPr>
          <w:ilvl w:val="0"/>
          <w:numId w:val="28"/>
        </w:numPr>
        <w:spacing w:after="141"/>
        <w:ind w:right="755" w:hanging="1068"/>
      </w:pPr>
      <w:r>
        <w:t xml:space="preserve">Szala D. The Role of MicroRNAs in the Pathophysiology of Osteoarthritis / D. Szala, M. </w:t>
      </w:r>
    </w:p>
    <w:p w:rsidR="000A3B51" w:rsidRDefault="003D0A08">
      <w:pPr>
        <w:ind w:right="755"/>
      </w:pPr>
      <w:r>
        <w:t xml:space="preserve">Kopańska, J. Trojniak [et al.] // Int J Mol Sci. – 2024. – Vol. 25, № 12. – Article ID 6352.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Wu Y. The Therapeutic Potential and Role of miRNA, lncRNA, and circRNA in</w:t>
      </w:r>
      <w:r>
        <w:t xml:space="preserve"> Osteoarthritis / </w:t>
      </w:r>
    </w:p>
    <w:p w:rsidR="000A3B51" w:rsidRDefault="003D0A08">
      <w:pPr>
        <w:ind w:right="755"/>
      </w:pPr>
      <w:r>
        <w:t xml:space="preserve">Y. Wu, X. Lu, B. Shen, Y. Zeng // Curr Gene Ther. – 2019. – Vol. 19, № 4. – P. 255–263. </w:t>
      </w:r>
    </w:p>
    <w:p w:rsidR="000A3B51" w:rsidRDefault="003D0A08">
      <w:pPr>
        <w:numPr>
          <w:ilvl w:val="0"/>
          <w:numId w:val="28"/>
        </w:numPr>
        <w:spacing w:after="1" w:line="359" w:lineRule="auto"/>
        <w:ind w:right="755" w:hanging="1068"/>
      </w:pPr>
      <w:r>
        <w:t>Zhou F. Subchondral Trabecular Microstructure and Articular Cartilage Damage Variations Between Osteoarthritis and Osteoporotic Osteoarthritis: A Cr</w:t>
      </w:r>
      <w:r>
        <w:t xml:space="preserve">oss-sectional Cohort Study / F. Zhou, L. Chu, X. Liu [et al.] // Front Med. – 2021. – Vol. 8. – Article ID 617200. </w:t>
      </w:r>
    </w:p>
    <w:p w:rsidR="000A3B51" w:rsidRDefault="003D0A08">
      <w:pPr>
        <w:numPr>
          <w:ilvl w:val="0"/>
          <w:numId w:val="28"/>
        </w:numPr>
        <w:spacing w:after="1" w:line="359" w:lineRule="auto"/>
        <w:ind w:right="755" w:hanging="1068"/>
      </w:pPr>
      <w:r>
        <w:t xml:space="preserve">Martel-Pelletier J. Magnetic resonance imaging assessments for knee segmentation and their use in combination with machine/deep learning as </w:t>
      </w:r>
      <w:r>
        <w:t xml:space="preserve">predictors of early osteoarthritis diagnosis and prognosis / J. Martel-Pelletier, P. Paiement, J.P. Pelletier // Ther Adv Musculoskelet Dis. – 2023. – Vol. 15. – Article ID 1759720X231165560.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Zeng N. Infrapatellar Fat Pad and Knee Osteoarthritis / N. Zeng</w:t>
      </w:r>
      <w:r>
        <w:t xml:space="preserve">, Z.P. Yan, X.Y. Chen, G.X. Ni // </w:t>
      </w:r>
    </w:p>
    <w:p w:rsidR="000A3B51" w:rsidRDefault="003D0A08">
      <w:pPr>
        <w:ind w:right="755"/>
      </w:pPr>
      <w:r>
        <w:t xml:space="preserve">Aging Dis. – 2020. – Vol. 11, № 5. – P. 1317–1328. </w:t>
      </w:r>
    </w:p>
    <w:p w:rsidR="000A3B51" w:rsidRDefault="003D0A08">
      <w:pPr>
        <w:numPr>
          <w:ilvl w:val="0"/>
          <w:numId w:val="28"/>
        </w:numPr>
        <w:spacing w:after="45" w:line="362" w:lineRule="auto"/>
        <w:ind w:right="755" w:hanging="1068"/>
      </w:pPr>
      <w:r>
        <w:t>Steinmetz J.D. Global, regional, and national burden of osteoarthritis, 1990-</w:t>
      </w:r>
      <w:r>
        <w:t xml:space="preserve">2020 and projections to 2050: a systematic analysis for the Global Burden of Disease Study 2021 / J.D. Steinmetz, G.T. Culbreth, L.M. Haile [et al.] // Lancet Rheumatol. – 2023. – Vol. 5, № 9. – P. e508–e522. </w:t>
      </w:r>
    </w:p>
    <w:p w:rsidR="000A3B51" w:rsidRDefault="003D0A08">
      <w:pPr>
        <w:numPr>
          <w:ilvl w:val="0"/>
          <w:numId w:val="28"/>
        </w:numPr>
        <w:spacing w:after="0" w:line="397" w:lineRule="auto"/>
        <w:ind w:right="755" w:hanging="1068"/>
      </w:pPr>
      <w:r>
        <w:t>Балабанова Р.М. Динамика пятилетней заболеваем</w:t>
      </w:r>
      <w:r>
        <w:t xml:space="preserve">ости болезнями костно-мышечной системы и их распространенности среди взрослого населения России за 2013–2017 гг. / Р.М. </w:t>
      </w:r>
    </w:p>
    <w:p w:rsidR="000A3B51" w:rsidRDefault="003D0A08">
      <w:pPr>
        <w:spacing w:after="155"/>
        <w:ind w:right="755"/>
      </w:pPr>
      <w:r>
        <w:t xml:space="preserve">Балабанова, Т.В. Дубинина // Современная ревматология. – 2019. – Т. 13, № 4. – С. 11–17. </w:t>
      </w:r>
    </w:p>
    <w:p w:rsidR="000A3B51" w:rsidRDefault="003D0A08">
      <w:pPr>
        <w:numPr>
          <w:ilvl w:val="0"/>
          <w:numId w:val="28"/>
        </w:numPr>
        <w:spacing w:after="18" w:line="376" w:lineRule="auto"/>
        <w:ind w:right="755" w:hanging="1068"/>
      </w:pPr>
      <w:r>
        <w:t>Галушко Е.А. Структура ревматических заболева</w:t>
      </w:r>
      <w:r>
        <w:t xml:space="preserve">ний среди взрослого населения России по данным эпидемиологического исследования (предварительные результаты) / Е.А. Галушко, Т.Ю. Большакова, И.Б. Виноградова [и др.] // Научно-практическая ревматология. – 2009. – </w:t>
      </w:r>
    </w:p>
    <w:p w:rsidR="000A3B51" w:rsidRDefault="003D0A08">
      <w:pPr>
        <w:ind w:right="755"/>
      </w:pPr>
      <w:r>
        <w:t xml:space="preserve">Т. 47, № 1. – С. 11–17.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Kellgren J.H. Ra</w:t>
      </w:r>
      <w:r>
        <w:t xml:space="preserve">diological assessment of osteo-arthrosis / J.H. Kellgren, J.S. Lawrence // Ann </w:t>
      </w:r>
    </w:p>
    <w:p w:rsidR="000A3B51" w:rsidRDefault="003D0A08">
      <w:pPr>
        <w:ind w:right="755"/>
      </w:pPr>
      <w:r>
        <w:t xml:space="preserve">Rheum Dis. – 1957. – Vol. 16, № 4. – P. 494–502.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Zhang W. EULAR evidence-based recommendations for the diagnosis of knee osteoarthritis / W. </w:t>
      </w:r>
    </w:p>
    <w:p w:rsidR="000A3B51" w:rsidRDefault="003D0A08">
      <w:pPr>
        <w:ind w:right="755"/>
      </w:pPr>
      <w:r>
        <w:t>Zhang, M. Doherty, G. Peat [et al</w:t>
      </w:r>
      <w:r>
        <w:t xml:space="preserve">.] // Ann Rheum Dis. – 2010. – Vol. 69, № 3. – P. 483–489.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Zhang W. EULAR evidence-based recommendations for the diagnosis of hand osteoarthritis: </w:t>
      </w:r>
    </w:p>
    <w:p w:rsidR="000A3B51" w:rsidRDefault="003D0A08">
      <w:pPr>
        <w:ind w:right="755"/>
      </w:pPr>
      <w:r>
        <w:t xml:space="preserve">report of a task force of ESCISIT / W. Zhang, M. Doherty, B.F. Leeb [et al.] // Ann Rheum Dis. – </w:t>
      </w:r>
    </w:p>
    <w:p w:rsidR="000A3B51" w:rsidRDefault="003D0A08">
      <w:pPr>
        <w:ind w:right="755"/>
      </w:pPr>
      <w:r>
        <w:t>2009. – V</w:t>
      </w:r>
      <w:r>
        <w:t xml:space="preserve">ol. 68, № 1. – P. 8–17. </w:t>
      </w:r>
    </w:p>
    <w:p w:rsidR="000A3B51" w:rsidRDefault="003D0A08">
      <w:pPr>
        <w:numPr>
          <w:ilvl w:val="0"/>
          <w:numId w:val="28"/>
        </w:numPr>
        <w:spacing w:after="24" w:line="357" w:lineRule="auto"/>
        <w:ind w:right="755" w:hanging="1068"/>
      </w:pPr>
      <w:r>
        <w:t xml:space="preserve">Munteanu S.E. Characterisation of first metatarsophalangeal joint osteoarthritis using magnetic resonance imaging / S.E. Munteanu, M. Auhl, J.M. Tan [et al.] // Clin Rheumatol. – 2021. – Vol. </w:t>
      </w:r>
    </w:p>
    <w:p w:rsidR="000A3B51" w:rsidRDefault="003D0A08">
      <w:pPr>
        <w:ind w:right="755"/>
      </w:pPr>
      <w:r>
        <w:t xml:space="preserve">40, № 12. – P. 5067–5076. </w:t>
      </w:r>
    </w:p>
    <w:p w:rsidR="000A3B51" w:rsidRDefault="003D0A08">
      <w:pPr>
        <w:numPr>
          <w:ilvl w:val="0"/>
          <w:numId w:val="28"/>
        </w:numPr>
        <w:spacing w:after="18" w:line="359" w:lineRule="auto"/>
        <w:ind w:right="755" w:hanging="1068"/>
      </w:pPr>
      <w:r>
        <w:t xml:space="preserve">Alkhalifah </w:t>
      </w:r>
      <w:r>
        <w:t xml:space="preserve">K.M. A Systematic Review and Meta-Analysis of the Prevalence of Hallux Valgus in the General Population / K.M. Alkhalifah, M.M. Almotiri, A.E. Alharbi [et al.] // Cureus. – 2023. </w:t>
      </w:r>
    </w:p>
    <w:p w:rsidR="000A3B51" w:rsidRDefault="003D0A08">
      <w:pPr>
        <w:ind w:right="755"/>
      </w:pPr>
      <w:r>
        <w:t xml:space="preserve">– Vol. 15, № 7. – Article ID e42739.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Du R. Facet Joint Syndrome: Pathophysiology, Diagnosis, and Treatment / R. Du, G. Xu, X. Bai, </w:t>
      </w:r>
    </w:p>
    <w:p w:rsidR="000A3B51" w:rsidRDefault="003D0A08">
      <w:pPr>
        <w:ind w:right="755"/>
      </w:pPr>
      <w:r>
        <w:t xml:space="preserve">Z. Li // J Pain Res. – 2022. – Vol. 15. – P. 3689–3710. </w:t>
      </w:r>
    </w:p>
    <w:p w:rsidR="000A3B51" w:rsidRDefault="003D0A08">
      <w:pPr>
        <w:numPr>
          <w:ilvl w:val="0"/>
          <w:numId w:val="28"/>
        </w:numPr>
        <w:spacing w:after="21" w:line="356" w:lineRule="auto"/>
        <w:ind w:right="755" w:hanging="1068"/>
      </w:pPr>
      <w:r>
        <w:t>Altman R. Development of criteria for the classification and reporting of osteoarthritis. Classification</w:t>
      </w:r>
      <w:r>
        <w:t xml:space="preserve"> of osteoarthritis of the knee / R. Altman, E. Asch, D. Bloch [et al.] // Arthritis </w:t>
      </w:r>
    </w:p>
    <w:p w:rsidR="000A3B51" w:rsidRDefault="003D0A08">
      <w:pPr>
        <w:ind w:right="755"/>
      </w:pPr>
      <w:r>
        <w:t xml:space="preserve">Rheum. – 1986. – Vol. 29, № 8. – P. 1039–1049. </w:t>
      </w:r>
    </w:p>
    <w:p w:rsidR="000A3B51" w:rsidRDefault="003D0A08">
      <w:pPr>
        <w:numPr>
          <w:ilvl w:val="0"/>
          <w:numId w:val="28"/>
        </w:numPr>
        <w:spacing w:after="0" w:line="396" w:lineRule="auto"/>
        <w:ind w:right="755" w:hanging="1068"/>
      </w:pPr>
      <w:r>
        <w:t xml:space="preserve">Altman, R. The American College of Rheumatology criteria for the classification and reporting of osteoarthritis of the hip </w:t>
      </w:r>
      <w:r>
        <w:t xml:space="preserve">/ R. Altman, G. Alarcón, D. Appelrouth [et al.] // Arthritis Rheum. – 1991. </w:t>
      </w:r>
    </w:p>
    <w:p w:rsidR="000A3B51" w:rsidRDefault="003D0A08">
      <w:pPr>
        <w:ind w:right="755"/>
      </w:pPr>
      <w:r>
        <w:t xml:space="preserve">– Vol. 34, № 5. – P. 505–514. </w:t>
      </w:r>
    </w:p>
    <w:p w:rsidR="000A3B51" w:rsidRDefault="003D0A08">
      <w:pPr>
        <w:numPr>
          <w:ilvl w:val="0"/>
          <w:numId w:val="28"/>
        </w:numPr>
        <w:spacing w:after="0" w:line="388" w:lineRule="auto"/>
        <w:ind w:right="755" w:hanging="1068"/>
      </w:pPr>
      <w:r>
        <w:t>Altman, R. The American College of Rheumatology criteria for the classification and reporting of osteoarthritis of the hand / R. Altman, G. Alarcón,</w:t>
      </w:r>
      <w:r>
        <w:t xml:space="preserve"> D. Appelrouth [et al.] // Arthritis Rheum. – 1990. – Vol. 33, № 11. – P. 1601–1610. </w:t>
      </w:r>
    </w:p>
    <w:p w:rsidR="000A3B51" w:rsidRDefault="003D0A08">
      <w:pPr>
        <w:numPr>
          <w:ilvl w:val="0"/>
          <w:numId w:val="28"/>
        </w:numPr>
        <w:spacing w:after="12" w:line="358" w:lineRule="auto"/>
        <w:ind w:right="755" w:hanging="1068"/>
      </w:pPr>
      <w:r>
        <w:t>Zammit G. V. Development of a diagnostic rule for identifying radiographic osteoarthritis in people with first metatarsophalangeal joint pain / G. V. Zammit, S. E. Muntea</w:t>
      </w:r>
      <w:r>
        <w:t xml:space="preserve">nu, H. B. Menz // </w:t>
      </w:r>
    </w:p>
    <w:p w:rsidR="000A3B51" w:rsidRDefault="003D0A08">
      <w:pPr>
        <w:ind w:right="755"/>
      </w:pPr>
      <w:r>
        <w:t xml:space="preserve">Osteoarthritis Cartilage. – 2011. – Vol. 19, № 8. – P. 939–945.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Arnold, J. B. International Foot and Ankle Osteoarthritis Consortium review and research agenda for diagnosis, epidemiology, burden, outcome assessment and treatment / J. B. Arnold, C. J. </w:t>
      </w:r>
    </w:p>
    <w:p w:rsidR="000A3B51" w:rsidRDefault="003D0A08">
      <w:pPr>
        <w:ind w:right="755"/>
      </w:pPr>
      <w:r>
        <w:t xml:space="preserve">Bowen, L. S. Chapman [et al.] // Osteoarthritis Cartilage. – 2022. </w:t>
      </w:r>
      <w:r>
        <w:t xml:space="preserve">– Vol. 30, № 7. – P. 945–955.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Abramoff B. Osteoarthritis: Pathology, Diagnosis, and Treatment Options / B. Abramoff, F.E. </w:t>
      </w:r>
    </w:p>
    <w:p w:rsidR="000A3B51" w:rsidRDefault="003D0A08">
      <w:pPr>
        <w:ind w:right="755"/>
      </w:pPr>
      <w:r>
        <w:t xml:space="preserve">Caldera // Med Clin North Am. – 2020. – Vol. 104, № 2. – P. 293–311. </w:t>
      </w:r>
    </w:p>
    <w:p w:rsidR="000A3B51" w:rsidRDefault="003D0A08">
      <w:pPr>
        <w:numPr>
          <w:ilvl w:val="0"/>
          <w:numId w:val="28"/>
        </w:numPr>
        <w:spacing w:after="12" w:line="358" w:lineRule="auto"/>
        <w:ind w:right="755" w:hanging="1068"/>
      </w:pPr>
      <w:r>
        <w:t>Collins J.E. Trajectories and risk profiles of pain in persons</w:t>
      </w:r>
      <w:r>
        <w:t xml:space="preserve"> with radiographic, symptomatic knee osteoarthritis: data from the osteoarthritis initiative / J.E. Collins, J.N. Katz, E.E. Dervan, E. Losina </w:t>
      </w:r>
    </w:p>
    <w:p w:rsidR="000A3B51" w:rsidRDefault="003D0A08">
      <w:pPr>
        <w:ind w:right="755"/>
      </w:pPr>
      <w:r>
        <w:t xml:space="preserve">// Osteoarthritis Cartilage. – 2014. – Vol. 22, № 5. – P. 622–630.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Katz J.N. Diagnosis and Treatment of Hip and Knee Osteoarthritis: A Review / J.N. Katz, K.R. </w:t>
      </w:r>
    </w:p>
    <w:p w:rsidR="000A3B51" w:rsidRDefault="003D0A08">
      <w:pPr>
        <w:ind w:right="755"/>
      </w:pPr>
      <w:r>
        <w:t xml:space="preserve">Arant, R.F. Loeser // JAMA. – 2021. – Vol. 325, № 6. – P. 568–578. </w:t>
      </w:r>
    </w:p>
    <w:p w:rsidR="000A3B51" w:rsidRDefault="003D0A08">
      <w:pPr>
        <w:numPr>
          <w:ilvl w:val="0"/>
          <w:numId w:val="28"/>
        </w:numPr>
        <w:spacing w:after="156"/>
        <w:ind w:right="755" w:hanging="1068"/>
      </w:pPr>
      <w:r>
        <w:t xml:space="preserve">Tuncay Duruöz M. Clinical aspects and outcomes in osteoarthritis / M. Tuncay Duruöz, N. Öz, </w:t>
      </w:r>
    </w:p>
    <w:p w:rsidR="000A3B51" w:rsidRDefault="003D0A08">
      <w:pPr>
        <w:spacing w:after="6" w:line="356" w:lineRule="auto"/>
        <w:ind w:right="755"/>
      </w:pPr>
      <w:r>
        <w:t>D</w:t>
      </w:r>
      <w:r>
        <w:t xml:space="preserve">.E. Gürsoy, H. Hande Gezer // Best Pract Res Clin Rheumatol. – 2023. – Vol. 37, № 2. – Article ID 101855.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Abhishek A. Diagnosis and clinical presentation of osteoarthritis / A. Abhishek, M. Doherty // </w:t>
      </w:r>
    </w:p>
    <w:p w:rsidR="000A3B51" w:rsidRDefault="003D0A08">
      <w:pPr>
        <w:ind w:right="755"/>
      </w:pPr>
      <w:r>
        <w:t>Rheum Dis Clin North Am. – 2013. – Vol. 39, № 1. – P.</w:t>
      </w:r>
      <w:r>
        <w:t xml:space="preserve"> 45–66.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Parsons C. Concordance between clinical and radiographic evaluations of knee osteoarthritis / C. </w:t>
      </w:r>
    </w:p>
    <w:p w:rsidR="000A3B51" w:rsidRDefault="003D0A08">
      <w:pPr>
        <w:ind w:right="755"/>
      </w:pPr>
      <w:r>
        <w:t xml:space="preserve">Parsons, N.R. Fuggle, M.H. Edwards [et al.] // Aging Clin Exp Res. – 2018. – Vol. 30, № 1. – P. </w:t>
      </w:r>
    </w:p>
    <w:p w:rsidR="000A3B51" w:rsidRDefault="003D0A08">
      <w:pPr>
        <w:ind w:right="755"/>
      </w:pPr>
      <w:r>
        <w:t xml:space="preserve">17–25.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Nelson A.E. Osteoarthritis year in review 20</w:t>
      </w:r>
      <w:r>
        <w:t xml:space="preserve">17: clinical / A.E. Nelson // Osteoarthritis Cartilage. </w:t>
      </w:r>
    </w:p>
    <w:p w:rsidR="000A3B51" w:rsidRDefault="003D0A08">
      <w:pPr>
        <w:ind w:right="755"/>
      </w:pPr>
      <w:r>
        <w:t xml:space="preserve">– 2018. – Vol. 26, № 3. – P. 319–325.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Altman R.D. Osteoarthritis in the Elderly Population / R.D. Altman // In: Nakasato Y., Yung R. (eds) Geriatric Rheumatology. – New York, NY: Springer, 2011. – P</w:t>
      </w:r>
      <w:r>
        <w:t xml:space="preserve">. 187–196.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Bijlsma, J. W. J. Osteoarthritis: An update with relevance for clinical practice / J. W. J. Bijlsma, </w:t>
      </w:r>
    </w:p>
    <w:p w:rsidR="000A3B51" w:rsidRDefault="003D0A08">
      <w:pPr>
        <w:ind w:right="755"/>
      </w:pPr>
      <w:r>
        <w:t xml:space="preserve">F. Berenbaum, F. P. J. G. Lafeber // Lancet. – 2011. – Vol. 377, № 9783. – P. 2115–2126. </w:t>
      </w:r>
    </w:p>
    <w:p w:rsidR="000A3B51" w:rsidRDefault="003D0A08">
      <w:pPr>
        <w:numPr>
          <w:ilvl w:val="0"/>
          <w:numId w:val="28"/>
        </w:numPr>
        <w:spacing w:after="0" w:line="362" w:lineRule="auto"/>
        <w:ind w:right="755" w:hanging="1068"/>
      </w:pPr>
      <w:r>
        <w:t>Myers, S. L. Osteoarthritis and crystal-associated s</w:t>
      </w:r>
      <w:r>
        <w:t xml:space="preserve">ynovitis / S. L. Myers // Atlas of Osteoarthritis. – 4th ed. – Philadelphia: PCML, 2005. – P. 54–81. </w:t>
      </w:r>
    </w:p>
    <w:p w:rsidR="000A3B51" w:rsidRDefault="003D0A08">
      <w:pPr>
        <w:numPr>
          <w:ilvl w:val="0"/>
          <w:numId w:val="28"/>
        </w:numPr>
        <w:spacing w:after="41" w:line="364" w:lineRule="auto"/>
        <w:ind w:right="755" w:hanging="1068"/>
      </w:pPr>
      <w:r>
        <w:t xml:space="preserve">Engh, G. A. The difficult knee: severe varus and valgus / G. A. Engh // Clin Orthop Relat Res. – 2003. – Vol. 416. – P. 58–63. </w:t>
      </w:r>
    </w:p>
    <w:p w:rsidR="000A3B51" w:rsidRDefault="003D0A08">
      <w:pPr>
        <w:numPr>
          <w:ilvl w:val="0"/>
          <w:numId w:val="28"/>
        </w:numPr>
        <w:spacing w:after="7" w:line="394" w:lineRule="auto"/>
        <w:ind w:right="755" w:hanging="1068"/>
      </w:pPr>
      <w:r>
        <w:t xml:space="preserve">Каратеев, А. Е. Остеоартрит суставов позвоночника как причина хронической боли в нижней части спины / А. Е. Каратеев, О. С. Давыдов, Н. Н. Яхно [и др.] // Научнопрактическая ревматология. – 2019. – Т. 57, № 0. – С. 1–16. </w:t>
      </w:r>
    </w:p>
    <w:p w:rsidR="000A3B51" w:rsidRDefault="003D0A08">
      <w:pPr>
        <w:numPr>
          <w:ilvl w:val="0"/>
          <w:numId w:val="28"/>
        </w:numPr>
        <w:spacing w:after="18" w:line="383" w:lineRule="auto"/>
        <w:ind w:right="755" w:hanging="1068"/>
      </w:pPr>
      <w:r>
        <w:t>Ассоциация травматологов-ортопедов</w:t>
      </w:r>
      <w:r>
        <w:t xml:space="preserve"> России. Вальгусное отклонение первого пальца стопы: клинические рекомендации [Электронный ресурс]. – 2016. – URL: https://cr.minzdrav.gov.ru/preview-cr/778_1 (дата обращения: 05.03.2025). </w:t>
      </w:r>
    </w:p>
    <w:p w:rsidR="000A3B51" w:rsidRDefault="003D0A08">
      <w:pPr>
        <w:numPr>
          <w:ilvl w:val="0"/>
          <w:numId w:val="28"/>
        </w:numPr>
        <w:spacing w:after="25" w:line="377" w:lineRule="auto"/>
        <w:ind w:right="755" w:hanging="1068"/>
      </w:pPr>
      <w:r>
        <w:t>Ассоциация ревматологов России, Ассоциация травматологов-ортопедов</w:t>
      </w:r>
      <w:r>
        <w:t xml:space="preserve"> России, Общероссийская общественная организация Ассоциация реабилитологов России. Гонартроз: клинические рекомендации [Электронный ресурс]. – 2024. – URL: https://cr.minzdrav.gov.ru/view-cr/868_1 (дата обращения: 05.03.2025). </w:t>
      </w:r>
    </w:p>
    <w:p w:rsidR="000A3B51" w:rsidRDefault="003D0A08">
      <w:pPr>
        <w:numPr>
          <w:ilvl w:val="0"/>
          <w:numId w:val="28"/>
        </w:numPr>
        <w:spacing w:after="25" w:line="377" w:lineRule="auto"/>
        <w:ind w:right="755" w:hanging="1068"/>
      </w:pPr>
      <w:r>
        <w:t>Ассоциация ревматологов Росс</w:t>
      </w:r>
      <w:r>
        <w:t>ии, Ассоциация травматологов-ортопедов России, Общероссийская общественная организация Ассоциация реабилитологов России. Коксартроз: клинические рекомендации [Электронный ресурс]. – 2024. – URL: https://cr.minzdrav.gov.ru/view-cr/870_1 (дата обращения: 05.</w:t>
      </w:r>
      <w:r>
        <w:t xml:space="preserve">03.2025). </w:t>
      </w:r>
    </w:p>
    <w:p w:rsidR="000A3B51" w:rsidRDefault="003D0A08">
      <w:pPr>
        <w:numPr>
          <w:ilvl w:val="0"/>
          <w:numId w:val="28"/>
        </w:numPr>
        <w:spacing w:after="0" w:line="356" w:lineRule="auto"/>
        <w:ind w:right="755" w:hanging="1068"/>
      </w:pPr>
      <w:r>
        <w:t>Межрегиональная общественная организация «Общество по изучению боли». Скелетномышечные (неспецифические) боли в нижней части спины: клинические рекомендации [Электронный ресурс]. – 2023. – URL: https://cr.minzdrav.gov.ru/preview-cr/778_1 (дата о</w:t>
      </w:r>
      <w:r>
        <w:t xml:space="preserve">бращения: 05.03.2025). </w:t>
      </w:r>
    </w:p>
    <w:p w:rsidR="000A3B51" w:rsidRDefault="003D0A08">
      <w:pPr>
        <w:numPr>
          <w:ilvl w:val="0"/>
          <w:numId w:val="28"/>
        </w:numPr>
        <w:spacing w:after="14" w:line="364" w:lineRule="auto"/>
        <w:ind w:right="755" w:hanging="1068"/>
      </w:pPr>
      <w:r>
        <w:t xml:space="preserve">Boxer, M. C. Osteoarthritis involving the metatarsophalangeal joints and management of metatarsophalangeal joint pain via injection therapy / M. C. Boxer // Clin Podiatr Med Surg. – </w:t>
      </w:r>
    </w:p>
    <w:p w:rsidR="000A3B51" w:rsidRDefault="003D0A08">
      <w:pPr>
        <w:ind w:right="755"/>
      </w:pPr>
      <w:r>
        <w:t xml:space="preserve">1994. – Vol. 11, № 1. – P. 125–132.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Menz, H. B. </w:t>
      </w:r>
      <w:r>
        <w:t xml:space="preserve">Comparative Responsiveness of Outcome Measures for the Assessment of Pain and </w:t>
      </w:r>
    </w:p>
    <w:p w:rsidR="000A3B51" w:rsidRDefault="003D0A08">
      <w:pPr>
        <w:ind w:right="755"/>
      </w:pPr>
      <w:r>
        <w:t xml:space="preserve">Function in Osteoarthritis of the First Metatarsophalangeal Joint / H. B. Menz, M. Auhl, J. M. Tan </w:t>
      </w:r>
    </w:p>
    <w:p w:rsidR="000A3B51" w:rsidRDefault="003D0A08">
      <w:pPr>
        <w:ind w:right="755"/>
      </w:pPr>
      <w:r>
        <w:t>[et al.] // Arthritis Care Res (Hoboken). – 2020. – Vol. 72, № 5. – P. 679–68</w:t>
      </w:r>
      <w:r>
        <w:t xml:space="preserve">4. </w:t>
      </w:r>
    </w:p>
    <w:p w:rsidR="000A3B51" w:rsidRDefault="003D0A08">
      <w:pPr>
        <w:numPr>
          <w:ilvl w:val="0"/>
          <w:numId w:val="28"/>
        </w:numPr>
        <w:spacing w:after="42" w:line="365" w:lineRule="auto"/>
        <w:ind w:right="755" w:hanging="1068"/>
      </w:pPr>
      <w:r>
        <w:t xml:space="preserve">Kamps, A. Comorbidity in incident osteoarthritis cases and matched controls using electronic health record data / A. Kamps, J. Runhaar, M. A. J. de Ridder [et al.] // Arthritis Res Ther. – 2023. – Vol. 25, № 1. – Article ID S13075-023-03086-8. </w:t>
      </w:r>
    </w:p>
    <w:p w:rsidR="000A3B51" w:rsidRDefault="003D0A08">
      <w:pPr>
        <w:numPr>
          <w:ilvl w:val="0"/>
          <w:numId w:val="28"/>
        </w:numPr>
        <w:spacing w:after="0" w:line="368" w:lineRule="auto"/>
        <w:ind w:right="755" w:hanging="1068"/>
      </w:pPr>
      <w:r>
        <w:t>Мазуров</w:t>
      </w:r>
      <w:r>
        <w:t>, В. И. Мультиморбидность при остеоартрите и плейотропные эффекты симптоматических средств замедленного действия. Резолюция международного мультидисциплинарного совета экспертов / В. И. Мазуров, А. М. Лила, Л. И. Алексеева [и др.] // Современная ревматолог</w:t>
      </w:r>
      <w:r>
        <w:t xml:space="preserve">ия. – 2023. – Т. 17, № 5. – С. 123–131. </w:t>
      </w:r>
    </w:p>
    <w:p w:rsidR="000A3B51" w:rsidRDefault="003D0A08">
      <w:pPr>
        <w:numPr>
          <w:ilvl w:val="0"/>
          <w:numId w:val="28"/>
        </w:numPr>
        <w:spacing w:after="42" w:line="362" w:lineRule="auto"/>
        <w:ind w:right="755" w:hanging="1068"/>
      </w:pPr>
      <w:r>
        <w:t xml:space="preserve">Veronese, N. Association of Osteoarthritis With Increased Risk of Cardiovascular Diseases in the Elderly: Findings From the Progetto Veneto Anziano Study Cohort / N. Veronese, C. Trevisan, M. De Rui [et al.] // Arthritis Rheumatol. – 2016. – Vol. 68, № 5. </w:t>
      </w:r>
      <w:r>
        <w:t xml:space="preserve">– P. 1136–1144. </w:t>
      </w:r>
    </w:p>
    <w:p w:rsidR="000A3B51" w:rsidRDefault="003D0A08">
      <w:pPr>
        <w:numPr>
          <w:ilvl w:val="0"/>
          <w:numId w:val="28"/>
        </w:numPr>
        <w:spacing w:after="8" w:line="393" w:lineRule="auto"/>
        <w:ind w:right="755" w:hanging="1068"/>
      </w:pPr>
      <w:r>
        <w:t xml:space="preserve">Таскина, Е. А. Клинико-инструментальная характеристика остеоартрита при гиперурикемии / Е. А. Таскина, А. М. Лила, Л. И. Алексеева [и др.] // Современная ревматология. – 2024. – Т. 18, № 5. – С. 81–89. </w:t>
      </w:r>
    </w:p>
    <w:p w:rsidR="000A3B51" w:rsidRDefault="003D0A08">
      <w:pPr>
        <w:numPr>
          <w:ilvl w:val="0"/>
          <w:numId w:val="28"/>
        </w:numPr>
        <w:spacing w:after="31" w:line="372" w:lineRule="auto"/>
        <w:ind w:right="755" w:hanging="1068"/>
      </w:pPr>
      <w:r>
        <w:t>Таскина, Е. А. Взаимосвязь гиперхоле</w:t>
      </w:r>
      <w:r>
        <w:t xml:space="preserve">стеринемии и остеоартрита (предварительные результаты) / Е. А. Таскина, Л. И. Алексеева, Н. Г. Кашеварова [и др.] // Терапевтический архив. – 2024. – Т. 96, № 5. – С. 471–478. </w:t>
      </w:r>
    </w:p>
    <w:p w:rsidR="000A3B51" w:rsidRDefault="003D0A08">
      <w:pPr>
        <w:numPr>
          <w:ilvl w:val="0"/>
          <w:numId w:val="28"/>
        </w:numPr>
        <w:spacing w:after="0" w:line="389" w:lineRule="auto"/>
        <w:ind w:right="755" w:hanging="1068"/>
      </w:pPr>
      <w:r>
        <w:t>Лила, А. М. Клинические рекомендации (проект) по диагностике и лечению первично</w:t>
      </w:r>
      <w:r>
        <w:t xml:space="preserve">го остеоартрита для специалистов первичного звена (врачей-терапевтов, врачей общей практики) / А. М. Лила, Л. И. Алексеева, Е. А. Таскина [и др.] // Терапия. – 2023. – Т. 9, № 1 (63). – С. 7–22. </w:t>
      </w:r>
    </w:p>
    <w:p w:rsidR="000A3B51" w:rsidRDefault="003D0A08">
      <w:pPr>
        <w:numPr>
          <w:ilvl w:val="0"/>
          <w:numId w:val="28"/>
        </w:numPr>
        <w:spacing w:after="23" w:line="359" w:lineRule="auto"/>
        <w:ind w:right="755" w:hanging="1068"/>
      </w:pPr>
      <w:r>
        <w:t>Babaei, M. Correlation between systemic markers of inflammat</w:t>
      </w:r>
      <w:r>
        <w:t xml:space="preserve">ion and local synovitis in knee osteoarthritis / M. Babaei, Y. Javadian, H. Narimani [et al.] // Caspian J Intern Med. – 2019. – Vol. </w:t>
      </w:r>
    </w:p>
    <w:p w:rsidR="000A3B51" w:rsidRDefault="003D0A08">
      <w:pPr>
        <w:ind w:right="755"/>
      </w:pPr>
      <w:r>
        <w:t xml:space="preserve">10, № 4. – P. 383. </w:t>
      </w:r>
    </w:p>
    <w:p w:rsidR="000A3B51" w:rsidRDefault="003D0A08">
      <w:pPr>
        <w:numPr>
          <w:ilvl w:val="0"/>
          <w:numId w:val="28"/>
        </w:numPr>
        <w:spacing w:line="372" w:lineRule="auto"/>
        <w:ind w:right="755" w:hanging="1068"/>
      </w:pPr>
      <w:r>
        <w:t>Heidari, B. Knee osteoarthritis diagnosis, treatment and associated factors of progression: part II /</w:t>
      </w:r>
      <w:r>
        <w:t xml:space="preserve"> B. Heidari // Caspian J Intern Med. – 2011. – Vol. 2, № 3. – P. 249–255.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Foster, Z. J. Polyarticular Joint Pain in Adults: Evaluation and Differential Diagnosis / Z. J. Foster, </w:t>
      </w:r>
    </w:p>
    <w:p w:rsidR="000A3B51" w:rsidRDefault="003D0A08">
      <w:pPr>
        <w:ind w:right="755"/>
      </w:pPr>
      <w:r>
        <w:t>A. L. Day, J. Miller // Am Fam Physician. – 2023. – Vol. 107, № 1. – P. 42–5</w:t>
      </w:r>
      <w:r>
        <w:t xml:space="preserve">1. </w:t>
      </w:r>
    </w:p>
    <w:p w:rsidR="000A3B51" w:rsidRDefault="003D0A08">
      <w:pPr>
        <w:numPr>
          <w:ilvl w:val="0"/>
          <w:numId w:val="28"/>
        </w:numPr>
        <w:spacing w:after="12" w:line="364" w:lineRule="auto"/>
        <w:ind w:right="755" w:hanging="1068"/>
      </w:pPr>
      <w:r>
        <w:t xml:space="preserve">Esmonde-White, K. O. A. Raman Spectroscopy of Synovial Fluid as a Tool for Diagnosing Osteoarthritis / K. O. A. Esmonde-White, G. S. Mandair, F. Raaii [et al.] // J Biomed Opt. – 2009. </w:t>
      </w:r>
    </w:p>
    <w:p w:rsidR="000A3B51" w:rsidRDefault="003D0A08">
      <w:pPr>
        <w:ind w:right="755"/>
      </w:pPr>
      <w:r>
        <w:t xml:space="preserve">– Vol. 14, № 3. – Article ID 034013.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Kim, S. Metabolite profiles of synovial fluid change with the radiographic severity of knee osteoarthritis / S. Kim, J. Hwang, J. Kim [et al.] // Joint Bone Spine. – 2017. – Vol. 84, № 5. – P. 605–610. </w:t>
      </w:r>
    </w:p>
    <w:p w:rsidR="000A3B51" w:rsidRDefault="003D0A08">
      <w:pPr>
        <w:numPr>
          <w:ilvl w:val="0"/>
          <w:numId w:val="28"/>
        </w:numPr>
        <w:spacing w:after="16" w:line="359" w:lineRule="auto"/>
        <w:ind w:right="755" w:hanging="1068"/>
      </w:pPr>
      <w:r>
        <w:t>Mickiewicz, B. Metabolic analysis of knee synovial fl</w:t>
      </w:r>
      <w:r>
        <w:t xml:space="preserve">uid as a potential diagnostic approach for osteoarthritis / B. Mickiewicz, J. J. Kelly, T. E. Ludwig [et al.] // J Orthop Res. – 2015. – Vol. 33, </w:t>
      </w:r>
    </w:p>
    <w:p w:rsidR="000A3B51" w:rsidRDefault="003D0A08">
      <w:pPr>
        <w:ind w:right="755"/>
      </w:pPr>
      <w:r>
        <w:t xml:space="preserve">№ 11. – P. 1631–1638. </w:t>
      </w:r>
    </w:p>
    <w:p w:rsidR="000A3B51" w:rsidRDefault="003D0A08">
      <w:pPr>
        <w:numPr>
          <w:ilvl w:val="0"/>
          <w:numId w:val="28"/>
        </w:numPr>
        <w:spacing w:after="2" w:line="360" w:lineRule="auto"/>
        <w:ind w:right="755" w:hanging="1068"/>
      </w:pPr>
      <w:r>
        <w:t>Jokic, A. Laboratory testing of extravascular body fluids: National recommendations on</w:t>
      </w:r>
      <w:r>
        <w:t xml:space="preserve"> behalf of the Croatian Society of Medical Biochemistry and Laboratory Medicine. Part II - Synovial fluid / A. Jokic, L. M. Kopcinovic, J. Culej [et al.] // Biochem Med (Zagreb). – 2020. – Vol. 30, № 3. – </w:t>
      </w:r>
    </w:p>
    <w:p w:rsidR="000A3B51" w:rsidRDefault="003D0A08">
      <w:pPr>
        <w:ind w:right="755"/>
      </w:pPr>
      <w:r>
        <w:t xml:space="preserve">P. 1–14. </w:t>
      </w:r>
    </w:p>
    <w:p w:rsidR="000A3B51" w:rsidRDefault="003D0A08">
      <w:pPr>
        <w:numPr>
          <w:ilvl w:val="0"/>
          <w:numId w:val="28"/>
        </w:numPr>
        <w:spacing w:after="28" w:line="356" w:lineRule="auto"/>
        <w:ind w:right="755" w:hanging="1068"/>
      </w:pPr>
      <w:r>
        <w:t>Martel-</w:t>
      </w:r>
      <w:r>
        <w:t xml:space="preserve">Pelletier, J. A new decision tree for diagnosis of osteoarthritis in primary care: international consensus of experts / J. Martel-Pelletier, E. Maheu, J. P. Pelletier [et al.] // Aging Clin Exp Res. </w:t>
      </w:r>
    </w:p>
    <w:p w:rsidR="000A3B51" w:rsidRDefault="003D0A08">
      <w:pPr>
        <w:spacing w:after="155"/>
        <w:ind w:right="755"/>
      </w:pPr>
      <w:r>
        <w:t xml:space="preserve">– 2019. – Vol. 31, № 1. – P. 19–30. </w:t>
      </w:r>
    </w:p>
    <w:p w:rsidR="000A3B51" w:rsidRDefault="003D0A08">
      <w:pPr>
        <w:numPr>
          <w:ilvl w:val="0"/>
          <w:numId w:val="28"/>
        </w:numPr>
        <w:spacing w:after="154"/>
        <w:ind w:right="755" w:hanging="1068"/>
      </w:pPr>
      <w:r>
        <w:t>А.В. Смирнов. Атлас</w:t>
      </w:r>
      <w:r>
        <w:t xml:space="preserve"> рентгенологической диагностики первичного остеоартроза. – М.: </w:t>
      </w:r>
    </w:p>
    <w:p w:rsidR="000A3B51" w:rsidRDefault="003D0A08">
      <w:pPr>
        <w:spacing w:after="155"/>
        <w:ind w:right="755"/>
      </w:pPr>
      <w:r>
        <w:t xml:space="preserve">ИМА-ПРЕСС, 2010. — 40 с.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 xml:space="preserve">Arden, N. Atlas of Osteoarthritis. Second edition / N. Arden, F. J. Blanco, O. Bruyère [et al.]. – London: Springer Healthcare Ltd., 2018. – 90 с. </w:t>
      </w:r>
    </w:p>
    <w:p w:rsidR="000A3B51" w:rsidRDefault="003D0A08">
      <w:pPr>
        <w:numPr>
          <w:ilvl w:val="0"/>
          <w:numId w:val="28"/>
        </w:numPr>
        <w:spacing w:after="0" w:line="372" w:lineRule="auto"/>
        <w:ind w:right="755" w:hanging="1068"/>
      </w:pPr>
      <w:r>
        <w:t xml:space="preserve">Michael, J. W. P. </w:t>
      </w:r>
      <w:r>
        <w:t xml:space="preserve">The epidemiology, etiology, diagnosis, and treatment of osteoarthritis of the knee / J. W. P. Michael, K. U. Schlüter-Brust, P. Eysel // Dtsch Arztebl Int. – 2010. – Vol. 107, № 9. – P. 152–162. </w:t>
      </w:r>
    </w:p>
    <w:p w:rsidR="000A3B51" w:rsidRDefault="003D0A08">
      <w:pPr>
        <w:numPr>
          <w:ilvl w:val="0"/>
          <w:numId w:val="28"/>
        </w:numPr>
        <w:spacing w:after="2" w:line="360" w:lineRule="auto"/>
        <w:ind w:right="755" w:hanging="1068"/>
      </w:pPr>
      <w:r>
        <w:t xml:space="preserve">Dieppe, P. Osteoarthritis. A. Clinical features / P. Dieppe </w:t>
      </w:r>
      <w:r>
        <w:t xml:space="preserve">// Primer on the Rheumatic Diseases. – 13th Edition. – Ed. J. H. Klippel [et al.]. – 2008. – P. 224–228. </w:t>
      </w:r>
    </w:p>
    <w:p w:rsidR="000A3B51" w:rsidRDefault="003D0A08">
      <w:pPr>
        <w:numPr>
          <w:ilvl w:val="0"/>
          <w:numId w:val="28"/>
        </w:numPr>
        <w:spacing w:after="34" w:line="369" w:lineRule="auto"/>
        <w:ind w:right="755" w:hanging="1068"/>
      </w:pPr>
      <w:r>
        <w:t xml:space="preserve">Weber, M. A. Modern Radiological Imaging of Osteoarthritis of The Hip Joint With Consideration of Predisposing Conditions </w:t>
      </w:r>
      <w:r>
        <w:t xml:space="preserve">/ M. A. Weber, C. Merle, C. Rehnitz [et al.] // RoFo. – 2016. – Vol. 188, № 7. – P. 635–651 </w:t>
      </w:r>
    </w:p>
    <w:p w:rsidR="000A3B51" w:rsidRDefault="003D0A08">
      <w:pPr>
        <w:numPr>
          <w:ilvl w:val="0"/>
          <w:numId w:val="28"/>
        </w:numPr>
        <w:spacing w:line="379" w:lineRule="auto"/>
        <w:ind w:right="755" w:hanging="1068"/>
      </w:pPr>
      <w:r>
        <w:t>Смирнов, А. В. Рентгенологическая диагностика изменений в тазобедренном суставе при ревматических заболеваниях / А. В. Смирнов // Consilium Medicum. – 2003. – Т. 5</w:t>
      </w:r>
      <w:r>
        <w:t xml:space="preserve">, № 8. – С. 442–446.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Haugen, I. K. 2023 EULAR classification criteria for hand osteoarthritis / I. K. Haugen, D. T. </w:t>
      </w:r>
    </w:p>
    <w:p w:rsidR="000A3B51" w:rsidRDefault="003D0A08">
      <w:pPr>
        <w:spacing w:after="152"/>
        <w:ind w:right="755"/>
      </w:pPr>
      <w:r>
        <w:t xml:space="preserve">Felson, A. Abhishek [et al.] // Ann Rheum Dis. – 2024. – Vol. 83, № 11. – P. 1428–1435. </w:t>
      </w:r>
    </w:p>
    <w:p w:rsidR="000A3B51" w:rsidRDefault="003D0A08">
      <w:pPr>
        <w:numPr>
          <w:ilvl w:val="0"/>
          <w:numId w:val="28"/>
        </w:numPr>
        <w:spacing w:after="0" w:line="401" w:lineRule="auto"/>
        <w:ind w:right="755" w:hanging="1068"/>
      </w:pPr>
      <w:r>
        <w:t>Кудинский, Д. М. Комплексная клинико-лучевая диаг</w:t>
      </w:r>
      <w:r>
        <w:t xml:space="preserve">ностика эрозивного остеоартрита кистей: дис. канд. мед. наук: 3.1.27 – Ревматология, 3.1.25 – Лучевая диагностика / Д. М. Кудинский; ФГБНУ "Научно-исследовательский институт ревматологии имени В. А. </w:t>
      </w:r>
    </w:p>
    <w:p w:rsidR="000A3B51" w:rsidRDefault="003D0A08">
      <w:pPr>
        <w:spacing w:after="155"/>
        <w:ind w:right="755"/>
      </w:pPr>
      <w:r>
        <w:t xml:space="preserve">Насоновой". – Москва, 2023. – 109 с. </w:t>
      </w:r>
    </w:p>
    <w:p w:rsidR="000A3B51" w:rsidRDefault="003D0A08">
      <w:pPr>
        <w:numPr>
          <w:ilvl w:val="0"/>
          <w:numId w:val="28"/>
        </w:numPr>
        <w:spacing w:after="153"/>
        <w:ind w:right="755" w:hanging="1068"/>
      </w:pPr>
      <w:r>
        <w:t xml:space="preserve">Балабанова, Р. М. </w:t>
      </w:r>
      <w:r>
        <w:t xml:space="preserve">Остеоартрит суставов кисти: диагностика, патогенез, лечение / Р. М. </w:t>
      </w:r>
    </w:p>
    <w:p w:rsidR="000A3B51" w:rsidRDefault="003D0A08">
      <w:pPr>
        <w:spacing w:after="145"/>
        <w:ind w:right="755"/>
      </w:pPr>
      <w:r>
        <w:t xml:space="preserve">Балабанова, С. А. Кудинский, Д. А. Лесников [и др.] // Современная ревматология. – 2018. </w:t>
      </w:r>
    </w:p>
    <w:p w:rsidR="000A3B51" w:rsidRDefault="003D0A08">
      <w:pPr>
        <w:spacing w:after="158"/>
        <w:ind w:right="755"/>
      </w:pPr>
      <w:r>
        <w:t xml:space="preserve">– Т. 12, № 1. – С. 73–77. </w:t>
      </w:r>
    </w:p>
    <w:p w:rsidR="000A3B51" w:rsidRDefault="003D0A08">
      <w:pPr>
        <w:numPr>
          <w:ilvl w:val="0"/>
          <w:numId w:val="28"/>
        </w:numPr>
        <w:spacing w:after="0" w:line="393" w:lineRule="auto"/>
        <w:ind w:right="755" w:hanging="1068"/>
      </w:pPr>
      <w:r>
        <w:t>Кудинский, Д. М. Рентгенографическая диагностика эрозивного остеоартри</w:t>
      </w:r>
      <w:r>
        <w:t xml:space="preserve">та суставов кистей / Д. М. Кудинский, А. В. Смирнов, Л. И. Алексеева [и др.] // Научно-практическая ревматология. – 2019. – Т. 57, № 6. – С. 662–667. </w:t>
      </w:r>
    </w:p>
    <w:p w:rsidR="000A3B51" w:rsidRDefault="003D0A08">
      <w:pPr>
        <w:numPr>
          <w:ilvl w:val="0"/>
          <w:numId w:val="28"/>
        </w:numPr>
        <w:spacing w:after="44" w:line="363" w:lineRule="auto"/>
        <w:ind w:right="755" w:hanging="1068"/>
      </w:pPr>
      <w:r>
        <w:t>Bowen, C. Natural History of Radiographic First Metatarsophalangeal Joint Osteoarthritis: A Nineteen-Year</w:t>
      </w:r>
      <w:r>
        <w:t xml:space="preserve"> Population-Based Cohort Study / C. Bowen, L. Gates, P. McQueen [et al.] // Arthritis Care Res (Hoboken). – 2020. – Vol. 72, № 9. – P. 1224–1230. </w:t>
      </w:r>
    </w:p>
    <w:p w:rsidR="000A3B51" w:rsidRDefault="003D0A08">
      <w:pPr>
        <w:numPr>
          <w:ilvl w:val="0"/>
          <w:numId w:val="28"/>
        </w:numPr>
        <w:spacing w:after="1" w:line="397" w:lineRule="auto"/>
        <w:ind w:right="755" w:hanging="1068"/>
      </w:pPr>
      <w:r>
        <w:t>Карданов, А. А. Оперативное лечение деформаций и заболеваний костей и суставов первого луча стопы: дис. ... д</w:t>
      </w:r>
      <w:r>
        <w:t xml:space="preserve">-ра мед. наук: 14.00.22 – Травматология и ортопедия / А. А. Карданов; Российский университет дружбы народов. – Москва, 2009. – 222 с. </w:t>
      </w:r>
    </w:p>
    <w:p w:rsidR="000A3B51" w:rsidRDefault="003D0A08">
      <w:pPr>
        <w:numPr>
          <w:ilvl w:val="0"/>
          <w:numId w:val="28"/>
        </w:numPr>
        <w:spacing w:after="0" w:line="386" w:lineRule="auto"/>
        <w:ind w:right="755" w:hanging="1068"/>
      </w:pPr>
      <w:r>
        <w:t xml:space="preserve">Маркс, В. О. Ортопедическая диагностика / В. О. Маркс (ред.) // Ортопедическая диагностика. – 1978. – С. 396–400. </w:t>
      </w:r>
    </w:p>
    <w:p w:rsidR="000A3B51" w:rsidRDefault="003D0A08">
      <w:pPr>
        <w:numPr>
          <w:ilvl w:val="0"/>
          <w:numId w:val="28"/>
        </w:numPr>
        <w:spacing w:after="24" w:line="359" w:lineRule="auto"/>
        <w:ind w:right="755" w:hanging="1068"/>
      </w:pPr>
      <w:r>
        <w:t xml:space="preserve">Koes, </w:t>
      </w:r>
      <w:r>
        <w:t xml:space="preserve">B. W. An updated overview of clinical guidelines for the management of non-specific low back pain in primary care / B. W. Koes, M. Van Tulder, C. W. C. Lin [et al.] // Eur Spine J. – 2010. </w:t>
      </w:r>
    </w:p>
    <w:p w:rsidR="000A3B51" w:rsidRDefault="003D0A08">
      <w:pPr>
        <w:ind w:right="755"/>
      </w:pPr>
      <w:r>
        <w:t xml:space="preserve">– Vol. 19, № 12. – P. 2075–2094. </w:t>
      </w:r>
    </w:p>
    <w:p w:rsidR="000A3B51" w:rsidRDefault="003D0A08">
      <w:pPr>
        <w:numPr>
          <w:ilvl w:val="0"/>
          <w:numId w:val="28"/>
        </w:numPr>
        <w:spacing w:after="37" w:line="367" w:lineRule="auto"/>
        <w:ind w:right="755" w:hanging="1068"/>
      </w:pPr>
      <w:r>
        <w:t>Oliveira, C. B. Clinical practic</w:t>
      </w:r>
      <w:r>
        <w:t xml:space="preserve">e guidelines for the management of non-specific low back pain in primary care: an updated overview / C. B. Oliveira, C. G. Maher, R. Z. Pinto [et al.] // Eur Spine J. – 2018. – Vol. 27, № 11. – P. 2791–2803. </w:t>
      </w:r>
    </w:p>
    <w:p w:rsidR="000A3B51" w:rsidRDefault="003D0A08">
      <w:pPr>
        <w:numPr>
          <w:ilvl w:val="0"/>
          <w:numId w:val="28"/>
        </w:numPr>
        <w:spacing w:after="39" w:line="358" w:lineRule="auto"/>
        <w:ind w:right="755" w:hanging="1068"/>
      </w:pPr>
      <w:r>
        <w:t>Кудинский, Д. М. Сравнение рентгенографии и маг</w:t>
      </w:r>
      <w:r>
        <w:t xml:space="preserve">нитно-резонансной томографии при диагностике остеоартрита суставов кистей / Д. М. Кудинский, А. В. Смирнов, Л. И. </w:t>
      </w:r>
    </w:p>
    <w:p w:rsidR="000A3B51" w:rsidRDefault="003D0A08">
      <w:pPr>
        <w:spacing w:after="158"/>
        <w:ind w:right="755"/>
      </w:pPr>
      <w:r>
        <w:t xml:space="preserve">Алексеева [и др.] // Научно-практическая ревматология. – 2019. – Т. 57, № 1. – С. 91–99. </w:t>
      </w:r>
    </w:p>
    <w:p w:rsidR="000A3B51" w:rsidRDefault="003D0A08">
      <w:pPr>
        <w:numPr>
          <w:ilvl w:val="0"/>
          <w:numId w:val="28"/>
        </w:numPr>
        <w:spacing w:after="0" w:line="396" w:lineRule="auto"/>
        <w:ind w:right="755" w:hanging="1068"/>
      </w:pPr>
      <w:r>
        <w:t>Кудинский, Д. М. Дегенеративные и воспалительные из</w:t>
      </w:r>
      <w:r>
        <w:t xml:space="preserve">менения в суставах кистей при остеоартрите по данным магнитно-резонансной томографии / Д. М. Кудинский, С. А. Алексеев, Л. И. Алексеева [и др.] // Научно-практическая ревматология. – 2020. – Т. 58, № </w:t>
      </w:r>
    </w:p>
    <w:p w:rsidR="000A3B51" w:rsidRDefault="003D0A08">
      <w:pPr>
        <w:ind w:right="755"/>
      </w:pPr>
      <w:r>
        <w:t xml:space="preserve">1. – С. 15–21. </w:t>
      </w:r>
    </w:p>
    <w:p w:rsidR="000A3B51" w:rsidRDefault="003D0A08">
      <w:pPr>
        <w:numPr>
          <w:ilvl w:val="0"/>
          <w:numId w:val="28"/>
        </w:numPr>
        <w:spacing w:after="202"/>
        <w:ind w:right="755" w:hanging="1068"/>
      </w:pPr>
      <w:r>
        <w:t xml:space="preserve">Roemer F. W. Imaging in Osteoarthritis </w:t>
      </w:r>
      <w:r>
        <w:t xml:space="preserve">/ F. W. Roemer, A. Guermazi, S. Demehri, W. Wirth, R. </w:t>
      </w:r>
    </w:p>
    <w:p w:rsidR="000A3B51" w:rsidRDefault="003D0A08">
      <w:pPr>
        <w:spacing w:after="195"/>
        <w:ind w:right="755"/>
      </w:pPr>
      <w:r>
        <w:t xml:space="preserve">Kijowski // Osteoarthritis Cartilage. </w:t>
      </w:r>
      <w:r>
        <w:rPr>
          <w:rFonts w:ascii="Yu Gothic UI" w:eastAsia="Yu Gothic UI" w:hAnsi="Yu Gothic UI" w:cs="Yu Gothic UI"/>
        </w:rPr>
        <w:t>–</w:t>
      </w:r>
      <w:r>
        <w:t xml:space="preserve"> 2022. </w:t>
      </w:r>
      <w:r>
        <w:rPr>
          <w:rFonts w:ascii="Yu Gothic UI" w:eastAsia="Yu Gothic UI" w:hAnsi="Yu Gothic UI" w:cs="Yu Gothic UI"/>
        </w:rPr>
        <w:t>–</w:t>
      </w:r>
      <w:r>
        <w:t xml:space="preserve"> Vol. 30, </w:t>
      </w:r>
      <w:r>
        <w:rPr>
          <w:rFonts w:ascii="Yu Gothic UI" w:eastAsia="Yu Gothic UI" w:hAnsi="Yu Gothic UI" w:cs="Yu Gothic UI"/>
        </w:rPr>
        <w:t>№</w:t>
      </w:r>
      <w:r>
        <w:t xml:space="preserve"> 7. </w:t>
      </w:r>
      <w:r>
        <w:rPr>
          <w:rFonts w:ascii="Yu Gothic UI" w:eastAsia="Yu Gothic UI" w:hAnsi="Yu Gothic UI" w:cs="Yu Gothic UI"/>
        </w:rPr>
        <w:t>–</w:t>
      </w:r>
      <w:r>
        <w:t xml:space="preserve"> P. 913</w:t>
      </w:r>
      <w:r>
        <w:rPr>
          <w:rFonts w:ascii="Yu Gothic UI" w:eastAsia="Yu Gothic UI" w:hAnsi="Yu Gothic UI" w:cs="Yu Gothic UI"/>
        </w:rPr>
        <w:t>–</w:t>
      </w:r>
      <w:r>
        <w:t xml:space="preserve">934.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Sukerkar P. A. Imaging of Osteoarthritis of the Knee / P. A. Sukerkar, Z. Doyle // Radiol. Clin. </w:t>
      </w:r>
    </w:p>
    <w:p w:rsidR="000A3B51" w:rsidRDefault="003D0A08">
      <w:pPr>
        <w:ind w:right="755"/>
      </w:pPr>
      <w:r>
        <w:t xml:space="preserve">North Am. – 2022. – </w:t>
      </w:r>
      <w:r>
        <w:t xml:space="preserve">Vol. 60, № 4. – P. 605–616. </w:t>
      </w:r>
    </w:p>
    <w:p w:rsidR="000A3B51" w:rsidRDefault="003D0A08">
      <w:pPr>
        <w:numPr>
          <w:ilvl w:val="0"/>
          <w:numId w:val="28"/>
        </w:numPr>
        <w:spacing w:after="15" w:line="359" w:lineRule="auto"/>
        <w:ind w:right="755" w:hanging="1068"/>
      </w:pPr>
      <w:r>
        <w:t xml:space="preserve">Kim J. S. FDA/Arthritis Foundation osteoarthritis drug development workshop recap: Assessment of long-term benefit / J. S. Kim, S. Borges, D. J. Clauw [et al.] // Semin. Arthritis Rheum. – 2022. – Vol. 56. – Article ID152070 </w:t>
      </w:r>
    </w:p>
    <w:p w:rsidR="000A3B51" w:rsidRDefault="003D0A08">
      <w:pPr>
        <w:numPr>
          <w:ilvl w:val="0"/>
          <w:numId w:val="28"/>
        </w:numPr>
        <w:spacing w:after="0" w:line="394" w:lineRule="auto"/>
        <w:ind w:right="755" w:hanging="1068"/>
      </w:pPr>
      <w:r>
        <w:t>D</w:t>
      </w:r>
      <w:r>
        <w:t xml:space="preserve">ell’Isola A. Identification of clinical phenotypes in knee osteoarthritis: a systematic review of the literature / A. Dell’Isola, R. Allan, S. L. Smith [et al.] // BMC Musculoskelet. Disord. – 2016. </w:t>
      </w:r>
    </w:p>
    <w:p w:rsidR="000A3B51" w:rsidRDefault="003D0A08">
      <w:pPr>
        <w:ind w:right="755"/>
      </w:pPr>
      <w:r>
        <w:t xml:space="preserve">– Vol. 17, № 1. – P. 1–12. </w:t>
      </w:r>
    </w:p>
    <w:p w:rsidR="000A3B51" w:rsidRDefault="003D0A08">
      <w:pPr>
        <w:numPr>
          <w:ilvl w:val="0"/>
          <w:numId w:val="28"/>
        </w:numPr>
        <w:spacing w:after="145"/>
        <w:ind w:right="755" w:hanging="1068"/>
      </w:pPr>
      <w:r>
        <w:t>Mobasheri A. Recent advances</w:t>
      </w:r>
      <w:r>
        <w:t xml:space="preserve"> in understanding the phenotypes of osteoarthritis / A. Mobasheri, </w:t>
      </w:r>
    </w:p>
    <w:p w:rsidR="000A3B51" w:rsidRDefault="003D0A08">
      <w:pPr>
        <w:spacing w:after="155"/>
        <w:ind w:right="755"/>
      </w:pPr>
      <w:r>
        <w:t xml:space="preserve">S. Saarakkala, M. Finnilä [et al.] // F1000Res. – 2019. – Vol. 8. </w:t>
      </w:r>
    </w:p>
    <w:p w:rsidR="000A3B51" w:rsidRDefault="003D0A08">
      <w:pPr>
        <w:numPr>
          <w:ilvl w:val="0"/>
          <w:numId w:val="28"/>
        </w:numPr>
        <w:spacing w:after="151"/>
        <w:ind w:right="755" w:hanging="1068"/>
      </w:pPr>
      <w:r>
        <w:t xml:space="preserve">Лила А. М. Современные подходы к фенотипированию остеоартрита / А. М. Лила, Л. И. </w:t>
      </w:r>
    </w:p>
    <w:p w:rsidR="000A3B51" w:rsidRDefault="003D0A08">
      <w:pPr>
        <w:ind w:right="755"/>
      </w:pPr>
      <w:r>
        <w:t>Алексеева, К. А. Телышев // Современна</w:t>
      </w:r>
      <w:r>
        <w:t xml:space="preserve">я ревматология. – 2019. – Т. 13, № 2. – С. 4–8. </w:t>
      </w:r>
    </w:p>
    <w:p w:rsidR="000A3B51" w:rsidRDefault="003D0A08">
      <w:pPr>
        <w:numPr>
          <w:ilvl w:val="0"/>
          <w:numId w:val="28"/>
        </w:numPr>
        <w:spacing w:after="25" w:line="374" w:lineRule="auto"/>
        <w:ind w:right="755" w:hanging="1068"/>
      </w:pPr>
      <w:r>
        <w:t xml:space="preserve">Nelson F. R. T. The Value of Phenotypes in Knee Osteoarthritis Research / F. R. T. Nelson // Open Orthop. J. – 2018. – Vol. 12, № 1. – P. 105–114. </w:t>
      </w:r>
    </w:p>
    <w:p w:rsidR="000A3B51" w:rsidRDefault="003D0A08">
      <w:pPr>
        <w:numPr>
          <w:ilvl w:val="0"/>
          <w:numId w:val="28"/>
        </w:numPr>
        <w:spacing w:after="0" w:line="376" w:lineRule="auto"/>
        <w:ind w:right="755" w:hanging="1068"/>
      </w:pPr>
      <w:r>
        <w:t>Dell’Isola A. Classification of patients with knee osteoart</w:t>
      </w:r>
      <w:r>
        <w:t xml:space="preserve">hritis in clinical phenotypes: Data from the osteoarthritis initiative / A. Dell’Isola, M. Steultjens // PLoS One. – 2018. – Vol. 13, № 1. – Article ID 0191045.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Berenbaum F. Deep phenotyping of osteoarthritis: a step forward / F. Berenbaum // Ann. Rheum. </w:t>
      </w:r>
    </w:p>
    <w:p w:rsidR="000A3B51" w:rsidRDefault="003D0A08">
      <w:pPr>
        <w:ind w:right="755"/>
      </w:pPr>
      <w:r>
        <w:t xml:space="preserve">Dis. – 2018. – Vol. 78, № 1. – P. 3–5. </w:t>
      </w:r>
    </w:p>
    <w:p w:rsidR="000A3B51" w:rsidRDefault="003D0A08">
      <w:pPr>
        <w:numPr>
          <w:ilvl w:val="0"/>
          <w:numId w:val="28"/>
        </w:numPr>
        <w:spacing w:after="2" w:line="360" w:lineRule="auto"/>
        <w:ind w:right="755" w:hanging="1068"/>
      </w:pPr>
      <w:r>
        <w:t xml:space="preserve">Martel-Pelletier J. Osteoarthritis / J. Martel-Pelletier, A. J. Barr, F. M. Cicuttini [et al.] // Nat. Rev. Dis. Primers. – 2016. – Vol. 2. </w:t>
      </w:r>
    </w:p>
    <w:p w:rsidR="000A3B51" w:rsidRDefault="003D0A08">
      <w:pPr>
        <w:numPr>
          <w:ilvl w:val="0"/>
          <w:numId w:val="28"/>
        </w:numPr>
        <w:spacing w:after="0" w:line="378" w:lineRule="auto"/>
        <w:ind w:right="755" w:hanging="1068"/>
      </w:pPr>
      <w:r>
        <w:t xml:space="preserve">National Institute for Health and Care Excellence (NICE). Osteoarthritis in over 16s: diagnosis and management: клинические рекомендации [Электронный ресурс]. – NICE Guideline, No. </w:t>
      </w:r>
    </w:p>
    <w:p w:rsidR="000A3B51" w:rsidRDefault="003D0A08">
      <w:pPr>
        <w:spacing w:after="0" w:line="364" w:lineRule="auto"/>
        <w:ind w:right="755"/>
      </w:pPr>
      <w:r>
        <w:t>226. – London: NICE, 2022. – ISBN-13: 978-1-4731-4740-9. – URL: https://ww</w:t>
      </w:r>
      <w:r>
        <w:t xml:space="preserve">w.ncbi.nlm.nih.gov/books/NBK588843/ (дата обращения: 05.03.2025). </w:t>
      </w:r>
    </w:p>
    <w:p w:rsidR="000A3B51" w:rsidRDefault="003D0A08">
      <w:pPr>
        <w:numPr>
          <w:ilvl w:val="0"/>
          <w:numId w:val="28"/>
        </w:numPr>
        <w:spacing w:after="5" w:line="357" w:lineRule="auto"/>
        <w:ind w:right="755" w:hanging="1068"/>
      </w:pPr>
      <w:r>
        <w:t>Rivero-Santana A. Treatment Preferences in Patients with Knee or Hip Osteoarthritis: An Overview / A. Rivero-Santana, L. Perestelo-Perez, J. Perez-Ramos [et al.] // In: Osteoarthritis - Dia</w:t>
      </w:r>
      <w:r>
        <w:t xml:space="preserve">gnosis, Treatment and Surgery / Ed. by InTech. – InTech, 2012. </w:t>
      </w:r>
    </w:p>
    <w:p w:rsidR="000A3B51" w:rsidRDefault="003D0A08">
      <w:pPr>
        <w:numPr>
          <w:ilvl w:val="0"/>
          <w:numId w:val="28"/>
        </w:numPr>
        <w:spacing w:after="14" w:line="356" w:lineRule="auto"/>
        <w:ind w:right="755" w:hanging="1068"/>
      </w:pPr>
      <w:r>
        <w:t xml:space="preserve">Kolasinski S. L. 2019 American College of Rheumatology/Arthritis Foundation Guideline for the Management of Osteoarthritis of the Hand, Hip, and Knee / S. L. Kolasinski, T. Neogi, M. C. </w:t>
      </w:r>
    </w:p>
    <w:p w:rsidR="000A3B51" w:rsidRDefault="003D0A08">
      <w:pPr>
        <w:ind w:right="755"/>
      </w:pPr>
      <w:r>
        <w:t>Hochb</w:t>
      </w:r>
      <w:r>
        <w:t xml:space="preserve">erg [et al.] // Arthritis Rheumatol. – 2020. – Vol. 72, № 2. – P. 220–233. </w:t>
      </w:r>
    </w:p>
    <w:p w:rsidR="000A3B51" w:rsidRDefault="003D0A08">
      <w:pPr>
        <w:numPr>
          <w:ilvl w:val="0"/>
          <w:numId w:val="28"/>
        </w:numPr>
        <w:spacing w:after="25" w:line="369" w:lineRule="auto"/>
        <w:ind w:right="755" w:hanging="1068"/>
      </w:pPr>
      <w:r>
        <w:t>Brophy R. H. AAOS Clinical Practice Guideline Summary: Management of Osteoarthritis of the Knee (Nonarthroplasty), Third Edition / R. H. Brophy, Y. A. Fillingham // J. Am. Acad. Or</w:t>
      </w:r>
      <w:r>
        <w:t xml:space="preserve">thop. Surg. – 2022. – Vol. 30, № 9. – P. E721–E729. </w:t>
      </w:r>
    </w:p>
    <w:p w:rsidR="000A3B51" w:rsidRDefault="003D0A08">
      <w:pPr>
        <w:numPr>
          <w:ilvl w:val="0"/>
          <w:numId w:val="28"/>
        </w:numPr>
        <w:spacing w:after="2" w:line="356" w:lineRule="auto"/>
        <w:ind w:right="755" w:hanging="1068"/>
      </w:pPr>
      <w:r>
        <w:t xml:space="preserve">Bruyère O. An updated algorithm recommendation for the management of knee osteoarthritis from the European Society for Clinical and Economic Aspects of Osteoporosis, </w:t>
      </w:r>
    </w:p>
    <w:p w:rsidR="000A3B51" w:rsidRDefault="003D0A08">
      <w:pPr>
        <w:spacing w:after="0" w:line="366" w:lineRule="auto"/>
        <w:ind w:right="755"/>
      </w:pPr>
      <w:r>
        <w:t>Osteoarthritis and Musculoskeletal D</w:t>
      </w:r>
      <w:r>
        <w:t xml:space="preserve">iseases (ESCEO) / O. Bruyère, G. Honvo, N. Veronese [et al.] // Semin. Arthritis Rheum. – 2019. – Vol. 49, № 3. – P. 337–350. </w:t>
      </w:r>
    </w:p>
    <w:p w:rsidR="000A3B51" w:rsidRDefault="003D0A08">
      <w:pPr>
        <w:numPr>
          <w:ilvl w:val="0"/>
          <w:numId w:val="28"/>
        </w:numPr>
        <w:spacing w:after="21" w:line="356" w:lineRule="auto"/>
        <w:ind w:right="755" w:hanging="1068"/>
      </w:pPr>
      <w:r>
        <w:t>Bannuru R. R. OARSI guidelines for the non-surgical management of knee, hip, and polyarticular osteoarthritis / R. R. Bannuru, M.</w:t>
      </w:r>
      <w:r>
        <w:t xml:space="preserve"> C. Osani, E. E. Vaysbrot [et al.] // Osteoarthritis </w:t>
      </w:r>
    </w:p>
    <w:p w:rsidR="000A3B51" w:rsidRDefault="003D0A08">
      <w:pPr>
        <w:ind w:right="755"/>
      </w:pPr>
      <w:r>
        <w:t xml:space="preserve">Cartilage. – 2019. – Vol. 27, № 11. – P. 1578–1589. </w:t>
      </w:r>
    </w:p>
    <w:p w:rsidR="000A3B51" w:rsidRDefault="003D0A08">
      <w:pPr>
        <w:numPr>
          <w:ilvl w:val="0"/>
          <w:numId w:val="28"/>
        </w:numPr>
        <w:spacing w:after="37" w:line="367" w:lineRule="auto"/>
        <w:ind w:right="755" w:hanging="1068"/>
      </w:pPr>
      <w:r>
        <w:t xml:space="preserve">National Institute for Health and Care Excellence (NICE). Osteoarthritis: care and management [Электронный ресурс]. – </w:t>
      </w:r>
      <w:r>
        <w:t xml:space="preserve">NICE Clinical Guidelines, No. 177. – London: NICE, 2020. – ISBN-13: 978-1-4731-0426-6. – URL: https://www.ncbi.nlm.nih.gov/books/NBK568417/ </w:t>
      </w:r>
    </w:p>
    <w:p w:rsidR="000A3B51" w:rsidRDefault="003D0A08">
      <w:pPr>
        <w:ind w:right="755"/>
      </w:pPr>
      <w:r>
        <w:t xml:space="preserve">(дата обращения: 05.03.2025).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Sawitzke A. D. Personalized medicine for osteoarthritis: where are we now? / A. D. </w:t>
      </w:r>
    </w:p>
    <w:p w:rsidR="000A3B51" w:rsidRDefault="003D0A08">
      <w:pPr>
        <w:ind w:right="755"/>
      </w:pPr>
      <w:r>
        <w:t xml:space="preserve">Sawitzke // Ther. Adv. Musculoskelet. Dis. – 2013. – Vol. 5, № 2. – P. 67-75. </w:t>
      </w:r>
    </w:p>
    <w:p w:rsidR="000A3B51" w:rsidRDefault="003D0A08">
      <w:pPr>
        <w:numPr>
          <w:ilvl w:val="0"/>
          <w:numId w:val="28"/>
        </w:numPr>
        <w:spacing w:after="24" w:line="359" w:lineRule="auto"/>
        <w:ind w:right="755" w:hanging="1068"/>
      </w:pPr>
      <w:r>
        <w:t xml:space="preserve">Lambova S. N. Osteoarthritis - From New Insights into Disease Pathogenesis to Contemporary Personalized Therapeutic Strategy / S. N. Lambova // Curr. Rheumatol. Rev. – </w:t>
      </w:r>
    </w:p>
    <w:p w:rsidR="000A3B51" w:rsidRDefault="003D0A08">
      <w:pPr>
        <w:ind w:right="755"/>
      </w:pPr>
      <w:r>
        <w:t xml:space="preserve">2021. – </w:t>
      </w:r>
      <w:r>
        <w:t xml:space="preserve">Vol. 17, № 1. – P. 4–6.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Karsdal M. A. Osteoarthritis - a case for personalized health care? / M. A. Karsdal, C. </w:t>
      </w:r>
    </w:p>
    <w:p w:rsidR="000A3B51" w:rsidRDefault="003D0A08">
      <w:pPr>
        <w:ind w:right="755"/>
      </w:pPr>
      <w:r>
        <w:t xml:space="preserve">Christiansen, C. Ladel [et al.] // Osteoarthritis Cartilage. – 2014. – Vol. 22, № 1. – P. 7–16.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Darlow B. Making sense of osteoarthritis: A n</w:t>
      </w:r>
      <w:r>
        <w:t xml:space="preserve">arrative review / B. Darlow, J. Belton, M. </w:t>
      </w:r>
    </w:p>
    <w:p w:rsidR="000A3B51" w:rsidRDefault="003D0A08">
      <w:pPr>
        <w:ind w:right="755"/>
      </w:pPr>
      <w:r>
        <w:t xml:space="preserve">Brown [et al.] // Osteoarthritis Cartilage. – 2025. – Vol. 33, № 1. – P. 17–26. </w:t>
      </w:r>
    </w:p>
    <w:p w:rsidR="000A3B51" w:rsidRDefault="003D0A08">
      <w:pPr>
        <w:numPr>
          <w:ilvl w:val="0"/>
          <w:numId w:val="28"/>
        </w:numPr>
        <w:spacing w:after="38" w:line="356" w:lineRule="auto"/>
        <w:ind w:right="755" w:hanging="1068"/>
      </w:pPr>
      <w:r>
        <w:t>Veronese N. Multimodal Multidisciplinary Management of Patients with Moderate to Severe Pain in Knee Osteoarthritis: A Need to Meet</w:t>
      </w:r>
      <w:r>
        <w:t xml:space="preserve"> Patient Expectations / N. Veronese, C. Cooper, </w:t>
      </w:r>
    </w:p>
    <w:p w:rsidR="000A3B51" w:rsidRDefault="003D0A08">
      <w:pPr>
        <w:spacing w:after="155"/>
        <w:ind w:right="755"/>
      </w:pPr>
      <w:r>
        <w:t xml:space="preserve">O. Bruyère [et al.] // Drugs. – 2022. – Vol. 82, № 13. – P. 1347 </w:t>
      </w:r>
    </w:p>
    <w:p w:rsidR="000A3B51" w:rsidRDefault="003D0A08">
      <w:pPr>
        <w:numPr>
          <w:ilvl w:val="0"/>
          <w:numId w:val="28"/>
        </w:numPr>
        <w:spacing w:after="40" w:line="358" w:lineRule="auto"/>
        <w:ind w:right="755" w:hanging="1068"/>
      </w:pPr>
      <w:r>
        <w:t>Таскина E.A. Длительное многоцентровое наблюдательное исследование препарата Алфлутоп в России: применение у пациентов с остеоартритом коленн</w:t>
      </w:r>
      <w:r>
        <w:t xml:space="preserve">ых суставов (сообщение 4) / Е.А. Таскина, Л.И. Алексеева, Н.Г. Кашеварова, А.М. Лила [и др.] // </w:t>
      </w:r>
    </w:p>
    <w:p w:rsidR="000A3B51" w:rsidRDefault="003D0A08">
      <w:pPr>
        <w:ind w:right="755"/>
      </w:pPr>
      <w:r>
        <w:t xml:space="preserve">Современная ревматология. – 2024. – Т. 18, № 4. – С. 80–88. </w:t>
      </w:r>
    </w:p>
    <w:p w:rsidR="000A3B51" w:rsidRDefault="003D0A08">
      <w:pPr>
        <w:numPr>
          <w:ilvl w:val="0"/>
          <w:numId w:val="28"/>
        </w:numPr>
        <w:spacing w:line="363" w:lineRule="auto"/>
        <w:ind w:right="755" w:hanging="1068"/>
      </w:pPr>
      <w:r>
        <w:t>Yang W. The Efficacy and Safety of Disease-Modifying Osteoarthritis Drugs for Knee and Hip Osteoar</w:t>
      </w:r>
      <w:r>
        <w:t xml:space="preserve">thritis-a Systematic Review and Network Meta-Analysis / W. Yang, C. Sun, S.Q. He [et al.] // J. Gen. Intern. Med. – 2021. – Vol. 36, № 7. – P. 2085–2093.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 xml:space="preserve">Veronese N. Glucosamine sulphate: an umbrella review of health outcomes / N. Veronese, J. Demurtas, L. Smith [et al.] // Ther. Adv. Musculoskelet. Dis. – 2020. – Vol. 12. – Article ID 20975927. </w:t>
      </w:r>
    </w:p>
    <w:p w:rsidR="000A3B51" w:rsidRDefault="003D0A08">
      <w:pPr>
        <w:numPr>
          <w:ilvl w:val="0"/>
          <w:numId w:val="28"/>
        </w:numPr>
        <w:spacing w:after="38" w:line="363" w:lineRule="auto"/>
        <w:ind w:right="755" w:hanging="1068"/>
      </w:pPr>
      <w:r>
        <w:t>Singh J.A. Chondroitin for osteoarthritis / J.A. Singh, S. No</w:t>
      </w:r>
      <w:r>
        <w:t xml:space="preserve">orbaloochi, R. Macdonald, L.J. Maxwell [et al.] // Cochrane Database Syst. Rev. – 2015. – Vol. 1, № 1. – Article ID CD005614. </w:t>
      </w:r>
    </w:p>
    <w:p w:rsidR="000A3B51" w:rsidRDefault="003D0A08">
      <w:pPr>
        <w:numPr>
          <w:ilvl w:val="0"/>
          <w:numId w:val="28"/>
        </w:numPr>
        <w:spacing w:after="22" w:line="356" w:lineRule="auto"/>
        <w:ind w:right="755" w:hanging="1068"/>
      </w:pPr>
      <w:r>
        <w:t>Simental-Mendía M. Effect of glucosamine and chondroitin sulfate in symptomatic knee osteoarthritis: a systematic review and meta</w:t>
      </w:r>
      <w:r>
        <w:t xml:space="preserve">-analysis of randomized placebo-controlled trials / M. </w:t>
      </w:r>
    </w:p>
    <w:p w:rsidR="000A3B51" w:rsidRDefault="003D0A08">
      <w:pPr>
        <w:spacing w:after="0" w:line="375" w:lineRule="auto"/>
        <w:ind w:right="755"/>
      </w:pPr>
      <w:r>
        <w:t xml:space="preserve">Simental-Mendía, A. Sánchez-García, F. Vilchez-Cavazos [et al.] // Rheumatol. Int. – 2018. – Vol. 38, № 8. – P. 1413–1428. </w:t>
      </w:r>
    </w:p>
    <w:p w:rsidR="000A3B51" w:rsidRDefault="003D0A08">
      <w:pPr>
        <w:numPr>
          <w:ilvl w:val="0"/>
          <w:numId w:val="28"/>
        </w:numPr>
        <w:spacing w:after="3" w:line="361" w:lineRule="auto"/>
        <w:ind w:right="755" w:hanging="1068"/>
      </w:pPr>
      <w:r>
        <w:t xml:space="preserve">Hochberg M.C. Combined chondroitin sulfate and glucosamine for painful knee </w:t>
      </w:r>
      <w:r>
        <w:t xml:space="preserve">osteoarthritis: a multicentre, randomised, double-blind, non-inferiority trial versus celecoxib / M.C. Hochberg, J. Martel-Pelletier, J. Monfort [et al.] // Ann. Rheum. Dis. – 2016. – Vol. 75, № </w:t>
      </w:r>
    </w:p>
    <w:p w:rsidR="000A3B51" w:rsidRDefault="003D0A08">
      <w:pPr>
        <w:ind w:right="755"/>
      </w:pPr>
      <w:r>
        <w:t xml:space="preserve">1. – P. 37–44. </w:t>
      </w:r>
    </w:p>
    <w:p w:rsidR="000A3B51" w:rsidRDefault="003D0A08">
      <w:pPr>
        <w:numPr>
          <w:ilvl w:val="0"/>
          <w:numId w:val="28"/>
        </w:numPr>
        <w:spacing w:after="42" w:line="356" w:lineRule="auto"/>
        <w:ind w:right="755" w:hanging="1068"/>
      </w:pPr>
      <w:r>
        <w:t xml:space="preserve">Honvo G. Efficacy of Chondroitin Sulfate in </w:t>
      </w:r>
      <w:r>
        <w:t xml:space="preserve">Patients with Knee Osteoarthritis: A Comprehensive Meta-Analysis Exploring Inconsistencies in Randomized, Placebo-Controlled </w:t>
      </w:r>
    </w:p>
    <w:p w:rsidR="000A3B51" w:rsidRDefault="003D0A08">
      <w:pPr>
        <w:spacing w:after="6" w:line="356" w:lineRule="auto"/>
        <w:ind w:right="755"/>
      </w:pPr>
      <w:r>
        <w:t xml:space="preserve">Trials / G. Honvo, O. Bruyère, A. Geerinck [et al.] // Adv. Ther. – 2019. – Vol. 36, № 5. – P. 1085– 1099. </w:t>
      </w:r>
    </w:p>
    <w:p w:rsidR="000A3B51" w:rsidRDefault="003D0A08">
      <w:pPr>
        <w:numPr>
          <w:ilvl w:val="0"/>
          <w:numId w:val="28"/>
        </w:numPr>
        <w:spacing w:after="15" w:line="356" w:lineRule="auto"/>
        <w:ind w:right="755" w:hanging="1068"/>
      </w:pPr>
      <w:r>
        <w:t xml:space="preserve">Lila A.M. Chondroitin </w:t>
      </w:r>
      <w:r>
        <w:t xml:space="preserve">sulfate and glucosamine combination in patients with knee and hip osteoarthritis: A long-term observational study in Russia / A.M. Lila, L.I. Alekseeva, A.A. </w:t>
      </w:r>
    </w:p>
    <w:p w:rsidR="000A3B51" w:rsidRDefault="003D0A08">
      <w:pPr>
        <w:spacing w:after="154"/>
        <w:ind w:right="755"/>
      </w:pPr>
      <w:r>
        <w:t xml:space="preserve">Baranov [et al.] // World J. Orthop. – 2023. – Vol. 14, № 6. – P. 443–457. </w:t>
      </w:r>
    </w:p>
    <w:p w:rsidR="000A3B51" w:rsidRDefault="003D0A08">
      <w:pPr>
        <w:numPr>
          <w:ilvl w:val="0"/>
          <w:numId w:val="28"/>
        </w:numPr>
        <w:spacing w:after="10" w:line="370" w:lineRule="auto"/>
        <w:ind w:right="755" w:hanging="1068"/>
      </w:pPr>
      <w:r>
        <w:t xml:space="preserve">Каратеев А.Е. Биоактивный концентрат мелкой морской рыбы: оценка эффективности и безопасности препарата на основании анализа 37 клинических исследований / А.Е. Каратеев // Современная ревматология. – 2020. – Т. 14, № 4. – С. 111– 124. </w:t>
      </w:r>
    </w:p>
    <w:p w:rsidR="000A3B51" w:rsidRDefault="003D0A08">
      <w:pPr>
        <w:numPr>
          <w:ilvl w:val="0"/>
          <w:numId w:val="28"/>
        </w:numPr>
        <w:spacing w:after="36" w:line="367" w:lineRule="auto"/>
        <w:ind w:right="755" w:hanging="1068"/>
      </w:pPr>
      <w:r>
        <w:t>Simental-Mendía M. E</w:t>
      </w:r>
      <w:r>
        <w:t>fficacy and safety of avocado-soybean unsaponifiables for the treatment of hip and knee osteoarthritis: A systematic review and meta-analysis of randomized placebo-controlled trials / M. Simental-Mendía, A. Sánchez-García, C.A. Acosta-Olivo [et al.] // Int</w:t>
      </w:r>
      <w:r>
        <w:t xml:space="preserve">. J. Rheum. Dis. – 2019. – Vol. 22, № 9. – P. 1607–1615. </w:t>
      </w:r>
    </w:p>
    <w:p w:rsidR="000A3B51" w:rsidRDefault="003D0A08">
      <w:pPr>
        <w:numPr>
          <w:ilvl w:val="0"/>
          <w:numId w:val="28"/>
        </w:numPr>
        <w:spacing w:after="34" w:line="369" w:lineRule="auto"/>
        <w:ind w:right="755" w:hanging="1068"/>
      </w:pPr>
      <w:r>
        <w:t>Каратеев А.Е. Терапевтический потенциал лекарственного препарата на основе неомыляемых соединений авокадо и сои при лечении остеоартрита: данные российских и международных исследований (описательный</w:t>
      </w:r>
      <w:r>
        <w:t xml:space="preserve"> обзор) / А.Е. Каратеев, Л.А. Алексеева [и др.] // Современная ревматология. – 2022. – Т. 16, № 2. – С. 48–55. </w:t>
      </w:r>
    </w:p>
    <w:p w:rsidR="000A3B51" w:rsidRDefault="003D0A08">
      <w:pPr>
        <w:numPr>
          <w:ilvl w:val="0"/>
          <w:numId w:val="28"/>
        </w:numPr>
        <w:spacing w:after="139" w:line="356" w:lineRule="auto"/>
        <w:ind w:right="755" w:hanging="1068"/>
      </w:pPr>
      <w:r>
        <w:t>Торшин И.Ю. Метаанализ клинических исследований эффективности лечения остеоартрита препаратом Хондрогард / И.Ю. Торшин, А.М. Лила, А.В. Наумов [</w:t>
      </w:r>
      <w:r>
        <w:t xml:space="preserve">и др.] // ФАРМАКОЭКОНОМИКА. Современная фармакоэкономика и фармакоэпидемиология. – </w:t>
      </w:r>
    </w:p>
    <w:p w:rsidR="000A3B51" w:rsidRDefault="003D0A08">
      <w:pPr>
        <w:ind w:right="755"/>
      </w:pPr>
      <w:r>
        <w:t xml:space="preserve">2021. – Т. 13, № 4. – С. 388–399. </w:t>
      </w:r>
    </w:p>
    <w:p w:rsidR="000A3B51" w:rsidRDefault="003D0A08">
      <w:pPr>
        <w:numPr>
          <w:ilvl w:val="0"/>
          <w:numId w:val="28"/>
        </w:numPr>
        <w:spacing w:after="25" w:line="358" w:lineRule="auto"/>
        <w:ind w:right="755" w:hanging="1068"/>
      </w:pPr>
      <w:r>
        <w:t xml:space="preserve">Tenti S. Prescription-grade crystalline glucosamine sulfate as an add-on therapy to conventional treatments in erosive osteoarthritis of </w:t>
      </w:r>
      <w:r>
        <w:t xml:space="preserve">the hand: results from a 6-month observational retrospective study / S. Tenti, N. Veronese, S. Cheleschi [et al.] // Aging Clin. Exp. Res. – 2022. </w:t>
      </w:r>
    </w:p>
    <w:p w:rsidR="000A3B51" w:rsidRDefault="003D0A08">
      <w:pPr>
        <w:ind w:right="755"/>
      </w:pPr>
      <w:r>
        <w:t xml:space="preserve">– Vol. 34, № 7. – P. 1613-1625.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Verbruggen G. Chondroitin sulfate: S/DMOAD (structure/disease modifying ant</w:t>
      </w:r>
      <w:r>
        <w:t>i-</w:t>
      </w:r>
    </w:p>
    <w:p w:rsidR="000A3B51" w:rsidRDefault="003D0A08">
      <w:pPr>
        <w:spacing w:after="47" w:line="359" w:lineRule="auto"/>
        <w:ind w:right="755"/>
      </w:pPr>
      <w:r>
        <w:t xml:space="preserve">osteoarthritis drug) in the treatment of finger joint OA / G. Verbruggen, S. Goemaere, E.M. Veys [et al.] // Osteoarthritis Cartilage. – 1998. – Vol. 6, Suppl. A. – P. 37–38.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Лила А.М. Обновленные рекомендации по ведению пациентов с остеоартритом </w:t>
      </w:r>
    </w:p>
    <w:p w:rsidR="000A3B51" w:rsidRDefault="003D0A08">
      <w:pPr>
        <w:spacing w:after="136"/>
        <w:ind w:right="755"/>
      </w:pPr>
      <w:r>
        <w:t>суст</w:t>
      </w:r>
      <w:r>
        <w:t xml:space="preserve">авов кистей / А.М. Лила, Л.И. Алексеева, Е.А. Таскина, Н.Г. Кашеварова [и др.] // РМЖ. </w:t>
      </w:r>
    </w:p>
    <w:p w:rsidR="000A3B51" w:rsidRDefault="003D0A08">
      <w:pPr>
        <w:spacing w:after="155"/>
        <w:ind w:right="755"/>
      </w:pPr>
      <w:r>
        <w:t xml:space="preserve">– 2020. – Т. 7. – С. 2–8. </w:t>
      </w:r>
    </w:p>
    <w:p w:rsidR="000A3B51" w:rsidRDefault="003D0A08">
      <w:pPr>
        <w:numPr>
          <w:ilvl w:val="0"/>
          <w:numId w:val="28"/>
        </w:numPr>
        <w:spacing w:after="0" w:line="389" w:lineRule="auto"/>
        <w:ind w:right="755" w:hanging="1068"/>
      </w:pPr>
      <w:r>
        <w:t>Алексеева Л.И. Новые подходы к лечению неспецифической боли в нижней части спины / Л.И. Алексеева, А.В. Баранов, А. [и др.] // Научно-</w:t>
      </w:r>
      <w:r>
        <w:t xml:space="preserve">практическая ревматология. – 2016. – Т. 54, № 1. – С. 16–20.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Lambert C. Composition Analysis and Pharmacological Activity of Avocado/Soybean </w:t>
      </w:r>
    </w:p>
    <w:p w:rsidR="000A3B51" w:rsidRDefault="003D0A08">
      <w:pPr>
        <w:spacing w:after="0" w:line="360" w:lineRule="auto"/>
        <w:ind w:right="755"/>
      </w:pPr>
      <w:r>
        <w:t xml:space="preserve">Unsaponifiable Products Used in the Treatment of Osteoarthritis / C. Lambert, G. Bellemère, G. Boyer [et al.] // Front. Pharmacol. – 2022. – Vol. 12. – Article ID 781389. </w:t>
      </w:r>
    </w:p>
    <w:p w:rsidR="000A3B51" w:rsidRDefault="003D0A08">
      <w:pPr>
        <w:numPr>
          <w:ilvl w:val="0"/>
          <w:numId w:val="28"/>
        </w:numPr>
        <w:spacing w:after="11" w:line="359" w:lineRule="auto"/>
        <w:ind w:right="755" w:hanging="1068"/>
      </w:pPr>
      <w:r>
        <w:t>Stellavato A. Comparative Analyses of Pharmaceuticals or Food Supplements Containing</w:t>
      </w:r>
      <w:r>
        <w:t xml:space="preserve"> Chondroitin Sulfate: Are Their Bioactivities Equivalent? / A. Stellavato, O.F. Restaino, V. </w:t>
      </w:r>
    </w:p>
    <w:p w:rsidR="000A3B51" w:rsidRDefault="003D0A08">
      <w:pPr>
        <w:ind w:right="755"/>
      </w:pPr>
      <w:r>
        <w:t xml:space="preserve">Vassallo [et al.] // Adv. Ther. – 2019. – Vol. 36, № 11. – P. 3221–3237. </w:t>
      </w:r>
    </w:p>
    <w:p w:rsidR="000A3B51" w:rsidRDefault="003D0A08">
      <w:pPr>
        <w:numPr>
          <w:ilvl w:val="0"/>
          <w:numId w:val="28"/>
        </w:numPr>
        <w:spacing w:after="18" w:line="356" w:lineRule="auto"/>
        <w:ind w:right="755" w:hanging="1068"/>
      </w:pPr>
      <w:r>
        <w:t>Reginster J.Y. Highly purified chondroitin sulfate: a literature review on clinical effi</w:t>
      </w:r>
      <w:r>
        <w:t xml:space="preserve">cacy and pharmacoeconomic aspects in osteoarthritis treatment / J.Y. Reginster, N. Veronese [et al.] // </w:t>
      </w:r>
    </w:p>
    <w:p w:rsidR="000A3B51" w:rsidRDefault="003D0A08">
      <w:pPr>
        <w:ind w:right="755"/>
      </w:pPr>
      <w:r>
        <w:t xml:space="preserve">Aging Clin. Exp. Res. – 2021. – Vol. 33, № 1. – P. 37–47. </w:t>
      </w:r>
    </w:p>
    <w:p w:rsidR="000A3B51" w:rsidRDefault="003D0A08">
      <w:pPr>
        <w:numPr>
          <w:ilvl w:val="0"/>
          <w:numId w:val="28"/>
        </w:numPr>
        <w:spacing w:after="0" w:line="362" w:lineRule="auto"/>
        <w:ind w:right="755" w:hanging="1068"/>
      </w:pPr>
      <w:r>
        <w:t>Gabay C. Symptomatic effects of chondroitin 4 and chondroitin 6 sulfate on hand osteoarthrit</w:t>
      </w:r>
      <w:r>
        <w:t xml:space="preserve">is: a randomized, double-blind, placebo-controlled clinical trial at a single center / C. Gabay, C. Medinger-Sadowski, D. Gascon [et al.] // Arthritis Rheum. – 2011. – Vol. 63, № 11. – P. 3383–3391.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>Zhu X. Effectiveness and safety of glucosamine and chond</w:t>
      </w:r>
      <w:r>
        <w:t xml:space="preserve">roitin for the treatment of osteoarthritis: a meta-analysis of randomized controlled trials / X. Zhu, L. Sang, D. Wu [et al.] // J. Orthop. Surg. Res. – 2018. – Vol. 13, № 1. – Article ID 0871-5. </w:t>
      </w:r>
    </w:p>
    <w:p w:rsidR="000A3B51" w:rsidRDefault="003D0A08">
      <w:pPr>
        <w:numPr>
          <w:ilvl w:val="0"/>
          <w:numId w:val="28"/>
        </w:numPr>
        <w:spacing w:after="8" w:line="356" w:lineRule="auto"/>
        <w:ind w:right="755" w:hanging="1068"/>
      </w:pPr>
      <w:r>
        <w:t>Meng Z. Efficacy and safety of the combination of glucosami</w:t>
      </w:r>
      <w:r>
        <w:t xml:space="preserve">ne and chondroitin for knee osteoarthritis: a systematic review and meta-analysis / Z. Meng, J. Liu, N. Zhou [et al.] // Arch. </w:t>
      </w:r>
    </w:p>
    <w:p w:rsidR="000A3B51" w:rsidRDefault="003D0A08">
      <w:pPr>
        <w:ind w:right="755"/>
      </w:pPr>
      <w:r>
        <w:t xml:space="preserve">Orthop. Trauma Surg. – 2023. – Vol. 143, № 1. – P. 409–421. </w:t>
      </w:r>
    </w:p>
    <w:p w:rsidR="000A3B51" w:rsidRDefault="003D0A08">
      <w:pPr>
        <w:numPr>
          <w:ilvl w:val="0"/>
          <w:numId w:val="28"/>
        </w:numPr>
        <w:spacing w:after="33" w:line="364" w:lineRule="auto"/>
        <w:ind w:right="755" w:hanging="1068"/>
      </w:pPr>
      <w:r>
        <w:t xml:space="preserve">Лила А.М. Терафлекс в комплексной терапии остеоартроза коленных суставов и остеохондроза позвоночника (результаты клинического исследования) / А.М. Лила, В.И. </w:t>
      </w:r>
    </w:p>
    <w:p w:rsidR="000A3B51" w:rsidRDefault="003D0A08">
      <w:pPr>
        <w:spacing w:after="157"/>
        <w:ind w:right="755"/>
      </w:pPr>
      <w:r>
        <w:t xml:space="preserve">Мазуров, О.В. Шидловская, М.С. Шостак [и др.] // РМЖ. – 2005. – № 24. – С. 1618. </w:t>
      </w:r>
    </w:p>
    <w:p w:rsidR="000A3B51" w:rsidRDefault="003D0A08">
      <w:pPr>
        <w:numPr>
          <w:ilvl w:val="0"/>
          <w:numId w:val="28"/>
        </w:numPr>
        <w:spacing w:after="25" w:line="370" w:lineRule="auto"/>
        <w:ind w:right="755" w:hanging="1068"/>
      </w:pPr>
      <w:r>
        <w:t>Лила А.М. Эффе</w:t>
      </w:r>
      <w:r>
        <w:t>ктивность лечения остеоартрита коленного и тазобедренного суставов комбинированным препаратом хондроитина сульфата и глюкозамина гидрохлорида: промежуточные результаты российского наблюдательного исследования / А.М. Лила, Л.И. Алексеева, К.А. Телышев [и др</w:t>
      </w:r>
      <w:r>
        <w:t xml:space="preserve">.] // Современная ревматология. – 2020. – Т. </w:t>
      </w:r>
    </w:p>
    <w:p w:rsidR="000A3B51" w:rsidRDefault="003D0A08">
      <w:pPr>
        <w:ind w:right="755"/>
      </w:pPr>
      <w:r>
        <w:t xml:space="preserve">14, № 3. – С. 71–78. </w:t>
      </w:r>
    </w:p>
    <w:p w:rsidR="000A3B51" w:rsidRDefault="003D0A08">
      <w:pPr>
        <w:numPr>
          <w:ilvl w:val="0"/>
          <w:numId w:val="28"/>
        </w:numPr>
        <w:spacing w:after="22" w:line="359" w:lineRule="auto"/>
        <w:ind w:right="755" w:hanging="1068"/>
      </w:pPr>
      <w:r>
        <w:t xml:space="preserve">Kloppenburg M. 2018 update of the EULAR recommendations for the management of hand osteoarthritis / M. Kloppenburg, F. P. B. Kroon, F. J. Blanco [et al.] // Ann. Rheum. Dis. – </w:t>
      </w:r>
    </w:p>
    <w:p w:rsidR="000A3B51" w:rsidRDefault="003D0A08">
      <w:pPr>
        <w:ind w:right="755"/>
      </w:pPr>
      <w:r>
        <w:t>2019. – Vol</w:t>
      </w:r>
      <w:r>
        <w:t xml:space="preserve">. 78, № 1. – P. 16–24. </w:t>
      </w:r>
    </w:p>
    <w:p w:rsidR="000A3B51" w:rsidRDefault="003D0A08">
      <w:pPr>
        <w:numPr>
          <w:ilvl w:val="0"/>
          <w:numId w:val="28"/>
        </w:numPr>
        <w:spacing w:after="17" w:line="357" w:lineRule="auto"/>
        <w:ind w:right="755" w:hanging="1068"/>
      </w:pPr>
      <w:r>
        <w:t>Bruyere O. Total joint replacement after glucosamine sulphate treatment in knee osteoarthritis: results of a mean 8-year observation of patients from two previous 3-year, randomised, placebo-controlled trials / O. Bruyere, K. Pavelk</w:t>
      </w:r>
      <w:r>
        <w:t xml:space="preserve">a, L.C. Rovati [et al.] // Osteoarthritis </w:t>
      </w:r>
    </w:p>
    <w:p w:rsidR="000A3B51" w:rsidRDefault="003D0A08">
      <w:pPr>
        <w:ind w:right="755"/>
      </w:pPr>
      <w:r>
        <w:t xml:space="preserve">Cartilage. – 2008. – Vol. 16, № 2. – P. 254–260. </w:t>
      </w:r>
    </w:p>
    <w:p w:rsidR="000A3B51" w:rsidRDefault="003D0A08">
      <w:pPr>
        <w:numPr>
          <w:ilvl w:val="0"/>
          <w:numId w:val="28"/>
        </w:numPr>
        <w:spacing w:after="25" w:line="358" w:lineRule="auto"/>
        <w:ind w:right="755" w:hanging="1068"/>
      </w:pPr>
      <w:r>
        <w:t>Raynauld J.P. Total Knee Replacement as a Knee Osteoarthritis Outcome: Predictors Derived from a 4-Year Long-Term Observation following a Randomized Clinical Trial</w:t>
      </w:r>
      <w:r>
        <w:t xml:space="preserve"> Using Chondroitin Sulfate / J.P. Raynauld, J. Martel-Pelletier, M. Dorais [et al.] // Cartilage. – 2013. – </w:t>
      </w:r>
    </w:p>
    <w:p w:rsidR="000A3B51" w:rsidRDefault="003D0A08">
      <w:pPr>
        <w:ind w:right="755"/>
      </w:pPr>
      <w:r>
        <w:t xml:space="preserve">Vol. 4, № 3. – P. 219–226. </w:t>
      </w:r>
    </w:p>
    <w:p w:rsidR="000A3B51" w:rsidRDefault="003D0A08">
      <w:pPr>
        <w:numPr>
          <w:ilvl w:val="0"/>
          <w:numId w:val="28"/>
        </w:numPr>
        <w:spacing w:after="0" w:line="371" w:lineRule="auto"/>
        <w:ind w:right="755" w:hanging="1068"/>
      </w:pPr>
      <w:r>
        <w:t xml:space="preserve">Prieto-Alhambra D. Trends of use of different SYSADOA in patients with osteoarthritis: a population-based cohort study </w:t>
      </w:r>
      <w:r>
        <w:t xml:space="preserve">/ D. Prieto-Alhambra, M. Herrero, J. Vergés [et al.] // Osteoarthritis Cartilage. – 2013. – Vol. 21. – P. S164–S165. </w:t>
      </w:r>
    </w:p>
    <w:p w:rsidR="000A3B51" w:rsidRDefault="003D0A08">
      <w:pPr>
        <w:numPr>
          <w:ilvl w:val="0"/>
          <w:numId w:val="28"/>
        </w:numPr>
        <w:spacing w:after="21" w:line="358" w:lineRule="auto"/>
        <w:ind w:right="755" w:hanging="1068"/>
      </w:pPr>
      <w:r>
        <w:t xml:space="preserve">Ma H. Glucosamine Use, Inflammation, and Genetic Susceptibility, and Incidence of Type 2 Diabetes: A Prospective Study in UK Biobank / H. </w:t>
      </w:r>
      <w:r>
        <w:t xml:space="preserve">Ma, X. Li, T. Zhou [et al.] // Diabetes Care. </w:t>
      </w:r>
    </w:p>
    <w:p w:rsidR="000A3B51" w:rsidRDefault="003D0A08">
      <w:pPr>
        <w:ind w:right="755"/>
      </w:pPr>
      <w:r>
        <w:t xml:space="preserve">– 2020. – Vol. 43, № 4. – P. 719–725.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Ma H. Association of habitual glucosamine use with risk of cardiovascular disease: </w:t>
      </w:r>
    </w:p>
    <w:p w:rsidR="000A3B51" w:rsidRDefault="003D0A08">
      <w:pPr>
        <w:spacing w:after="1" w:line="358" w:lineRule="auto"/>
        <w:ind w:right="755"/>
      </w:pPr>
      <w:r>
        <w:t xml:space="preserve">prospective study in UK Biobank / H. Ma, X. Li, D. Sun [et al.] // BMJ. – 2019. – </w:t>
      </w:r>
      <w:r>
        <w:t xml:space="preserve">Vol. 365. – Article ID L1628. </w:t>
      </w:r>
    </w:p>
    <w:p w:rsidR="000A3B51" w:rsidRDefault="003D0A08">
      <w:pPr>
        <w:numPr>
          <w:ilvl w:val="0"/>
          <w:numId w:val="28"/>
        </w:numPr>
        <w:spacing w:after="28" w:line="376" w:lineRule="auto"/>
        <w:ind w:right="755" w:hanging="1068"/>
      </w:pPr>
      <w:r>
        <w:t>Mazzucchelli R. Risk of acute myocardial infarction among new users of chondroitin sulfate: A nested case-control study / R. Mazzucchelli, S. Rodríguez-Martín, A. García-Vadillo [et al.] // PLoS One. – 2021. – Vol. 16, № 7. –</w:t>
      </w:r>
      <w:r>
        <w:t xml:space="preserve"> Article ID 0253932. </w:t>
      </w:r>
    </w:p>
    <w:p w:rsidR="000A3B51" w:rsidRDefault="003D0A08">
      <w:pPr>
        <w:numPr>
          <w:ilvl w:val="0"/>
          <w:numId w:val="28"/>
        </w:numPr>
        <w:spacing w:after="41" w:line="356" w:lineRule="auto"/>
        <w:ind w:right="755" w:hanging="1068"/>
      </w:pPr>
      <w:r>
        <w:t xml:space="preserve">Лила А.М. Симптоматические препараты замедленного действия (SYSADOA): новые возможности применения / А.М. Лила, Е.А. Таскина, Л.И. Алексеева, Н.Г. </w:t>
      </w:r>
    </w:p>
    <w:p w:rsidR="000A3B51" w:rsidRDefault="003D0A08">
      <w:pPr>
        <w:ind w:right="755"/>
      </w:pPr>
      <w:r>
        <w:t xml:space="preserve">Кашеварова [и др.] // Современная ревматология. – 2022. – Т. 16, № 2. – С. 99–106. </w:t>
      </w:r>
    </w:p>
    <w:p w:rsidR="000A3B51" w:rsidRDefault="003D0A08">
      <w:pPr>
        <w:numPr>
          <w:ilvl w:val="0"/>
          <w:numId w:val="28"/>
        </w:numPr>
        <w:spacing w:after="20" w:line="372" w:lineRule="auto"/>
        <w:ind w:right="755" w:hanging="1068"/>
      </w:pPr>
      <w:r>
        <w:t>Ал</w:t>
      </w:r>
      <w:r>
        <w:t xml:space="preserve">ексеева Л.И. Сравнительное исследование эффективности и безопасности препарата Хондрогард® при комбинированном (внутрисуставное и внутримышечное) и внутримышечном введении у пациентов с остеоартритом коленных суставов / Л.И. Алексеева, Е.П. Шарапова, Н.Г. </w:t>
      </w:r>
      <w:r>
        <w:t xml:space="preserve">Кашеварова [и др.] // Современная ревматология. – 2018. – </w:t>
      </w:r>
    </w:p>
    <w:p w:rsidR="000A3B51" w:rsidRDefault="003D0A08">
      <w:pPr>
        <w:ind w:right="755"/>
      </w:pPr>
      <w:r>
        <w:t xml:space="preserve">Т. 12, № 2. – С. 44–49. </w:t>
      </w:r>
    </w:p>
    <w:p w:rsidR="000A3B51" w:rsidRDefault="003D0A08">
      <w:pPr>
        <w:numPr>
          <w:ilvl w:val="0"/>
          <w:numId w:val="28"/>
        </w:numPr>
        <w:spacing w:after="18" w:line="357" w:lineRule="auto"/>
        <w:ind w:right="755" w:hanging="1068"/>
      </w:pPr>
      <w:r>
        <w:t>Blotman F. Efficacy and safety of avocado/soybean unsaponifiables in the treatment of symptomatic osteoarthritis of the knee and hip. A prospective, multicenter, three-mont</w:t>
      </w:r>
      <w:r>
        <w:t xml:space="preserve">h, randomized, double-blind, placebo-controlled trial / F. Blotman, M.E. Maheu [et al.] // Rev. Rhum. </w:t>
      </w:r>
    </w:p>
    <w:p w:rsidR="000A3B51" w:rsidRDefault="003D0A08">
      <w:pPr>
        <w:ind w:right="755"/>
      </w:pPr>
      <w:r>
        <w:t xml:space="preserve">Engl. Ed. – 1997. – Vol. 64, № 12. – P. 825–834. </w:t>
      </w:r>
    </w:p>
    <w:p w:rsidR="000A3B51" w:rsidRDefault="003D0A08">
      <w:pPr>
        <w:numPr>
          <w:ilvl w:val="0"/>
          <w:numId w:val="28"/>
        </w:numPr>
        <w:spacing w:after="9" w:line="362" w:lineRule="auto"/>
        <w:ind w:right="755" w:hanging="1068"/>
      </w:pPr>
      <w:r>
        <w:t>Appelboom T. Symptoms modifying effect of avocado/soybean unsaponifiables (ASU) in knee osteoarthritis.</w:t>
      </w:r>
      <w:r>
        <w:t xml:space="preserve"> A double blind, prospective, placebo-controlled study / T. Appelboom, J. Schuermans, G. Verbruggen [et al.] // Scand. J. Rheumatol. – 2001. – Vol. 30, № 4. – P. 242–247. </w:t>
      </w:r>
    </w:p>
    <w:p w:rsidR="000A3B51" w:rsidRDefault="003D0A08">
      <w:pPr>
        <w:numPr>
          <w:ilvl w:val="0"/>
          <w:numId w:val="28"/>
        </w:numPr>
        <w:spacing w:after="11" w:line="371" w:lineRule="auto"/>
        <w:ind w:right="755" w:hanging="1068"/>
      </w:pPr>
      <w:r>
        <w:t>Głuszko P. Symptom-modifying effects of oral avocado/soybean unsaponifiables in rout</w:t>
      </w:r>
      <w:r>
        <w:t xml:space="preserve">ine treatment of knee osteoarthritis in Poland. An open, prospective observational study of patients adherent to a 6-month treatment / P. Głuszko, M. Stasiek [et al.] // Reumatologia. – 2016. </w:t>
      </w:r>
    </w:p>
    <w:p w:rsidR="000A3B51" w:rsidRDefault="003D0A08">
      <w:pPr>
        <w:spacing w:after="155"/>
        <w:ind w:right="755"/>
      </w:pPr>
      <w:r>
        <w:t xml:space="preserve">– Vol. 54, № 5. – P. 217-226. </w:t>
      </w:r>
    </w:p>
    <w:p w:rsidR="000A3B51" w:rsidRDefault="003D0A08">
      <w:pPr>
        <w:numPr>
          <w:ilvl w:val="0"/>
          <w:numId w:val="28"/>
        </w:numPr>
        <w:spacing w:after="31" w:line="374" w:lineRule="auto"/>
        <w:ind w:right="755" w:hanging="1068"/>
      </w:pPr>
      <w:r>
        <w:t xml:space="preserve">Шостак Н.А. Дегенеративное поражение позвоночника: представления о болезни, подходы к терапии (собственные данные) / Н.А. Шостак, Н.Г. Правдюк [и др.] // Современная ревматология. – 2008. – Т. 2, № 3. – С. 30–35. </w:t>
      </w:r>
    </w:p>
    <w:p w:rsidR="000A3B51" w:rsidRDefault="003D0A08">
      <w:pPr>
        <w:numPr>
          <w:ilvl w:val="0"/>
          <w:numId w:val="28"/>
        </w:numPr>
        <w:spacing w:after="155"/>
        <w:ind w:right="755" w:hanging="1068"/>
      </w:pPr>
      <w:r>
        <w:t xml:space="preserve">Алексеева Л.И. Применение Пиаскледина при </w:t>
      </w:r>
      <w:r>
        <w:t xml:space="preserve">остеоартрозе суставов кистей / Л.И. </w:t>
      </w:r>
    </w:p>
    <w:p w:rsidR="000A3B51" w:rsidRDefault="003D0A08">
      <w:pPr>
        <w:ind w:right="755"/>
      </w:pPr>
      <w:r>
        <w:t xml:space="preserve">Алексеева, Н.В. Чичасова, Н.Г. Кашеварова [и др.] // Фарматека. – 2010. – Т. 10. – С. 48–55. </w:t>
      </w:r>
    </w:p>
    <w:p w:rsidR="000A3B51" w:rsidRDefault="003D0A08">
      <w:pPr>
        <w:numPr>
          <w:ilvl w:val="0"/>
          <w:numId w:val="28"/>
        </w:numPr>
        <w:spacing w:after="31" w:line="357" w:lineRule="auto"/>
        <w:ind w:right="755" w:hanging="1068"/>
      </w:pPr>
      <w:r>
        <w:t>Lequesne M. Structural effect of avocado/soybean unsaponifiables on joint space loss in osteoarthritis of the hip / M. Leques</w:t>
      </w:r>
      <w:r>
        <w:t xml:space="preserve">ne, E. Maheu, C. Cadet [et al.] // Arthritis Rheum. – 2002. – </w:t>
      </w:r>
    </w:p>
    <w:p w:rsidR="000A3B51" w:rsidRDefault="003D0A08">
      <w:pPr>
        <w:ind w:right="755"/>
      </w:pPr>
      <w:r>
        <w:t xml:space="preserve">Vol. 47, № 1. – P. 50–58. </w:t>
      </w:r>
    </w:p>
    <w:p w:rsidR="000A3B51" w:rsidRDefault="003D0A08">
      <w:pPr>
        <w:numPr>
          <w:ilvl w:val="0"/>
          <w:numId w:val="28"/>
        </w:numPr>
        <w:spacing w:after="44" w:line="362" w:lineRule="auto"/>
        <w:ind w:right="755" w:hanging="1068"/>
      </w:pPr>
      <w:r>
        <w:t>Maheu E. Randomised, controlled trial of avocado-soybean unsaponifiable (Piascledine) effect on structure modification in hip osteoarthritis: the ERADIAS study / E. M</w:t>
      </w:r>
      <w:r>
        <w:t xml:space="preserve">aheu, C. Cadet, M. Marty [et al.] // Ann. Rheum. Dis. – 2014. – Vol. 73, № 2. – P. 376–384. </w:t>
      </w:r>
    </w:p>
    <w:p w:rsidR="000A3B51" w:rsidRDefault="003D0A08">
      <w:pPr>
        <w:numPr>
          <w:ilvl w:val="0"/>
          <w:numId w:val="28"/>
        </w:numPr>
        <w:spacing w:after="45" w:line="361" w:lineRule="auto"/>
        <w:ind w:right="755" w:hanging="1068"/>
      </w:pPr>
      <w:r>
        <w:t>Fidelix T.S.A. Diacerein for osteoarthritis / T.S.A. Fidelix, B. Soares, V. Fernandes Moça Trevisani // Cochrane Database Syst. Rev. – 2006. – № 1. – Article ID CD</w:t>
      </w:r>
      <w:r>
        <w:t xml:space="preserve">005117. </w:t>
      </w:r>
    </w:p>
    <w:p w:rsidR="000A3B51" w:rsidRDefault="003D0A08">
      <w:pPr>
        <w:numPr>
          <w:ilvl w:val="0"/>
          <w:numId w:val="28"/>
        </w:numPr>
        <w:spacing w:after="37" w:line="356" w:lineRule="auto"/>
        <w:ind w:right="755" w:hanging="1068"/>
      </w:pPr>
      <w:r>
        <w:t xml:space="preserve">Лила А.М. Диацереин в терапии остеоартрита коленных суставов: результаты сравнительного исследования / А.М. Лила, Л.В. Мартынова, В.А. Лила // РМЖ. </w:t>
      </w:r>
    </w:p>
    <w:p w:rsidR="000A3B51" w:rsidRDefault="003D0A08">
      <w:pPr>
        <w:ind w:right="755"/>
      </w:pPr>
      <w:r>
        <w:t xml:space="preserve">Ревматология. – 2016. – № 2. – С. 70–77. </w:t>
      </w:r>
    </w:p>
    <w:p w:rsidR="000A3B51" w:rsidRDefault="003D0A08">
      <w:pPr>
        <w:numPr>
          <w:ilvl w:val="0"/>
          <w:numId w:val="28"/>
        </w:numPr>
        <w:spacing w:after="0" w:line="376" w:lineRule="auto"/>
        <w:ind w:right="755" w:hanging="1068"/>
      </w:pPr>
      <w:r>
        <w:t>Балабанова Р.М. Применение диацереина для лечения остеоа</w:t>
      </w:r>
      <w:r>
        <w:t xml:space="preserve">ртроза крупных суставов (обзор литературы и собственный опыт) / Р.М. Балабанова // Современная ревматология. – 2015. – Т. 9, № 3. – С. 30–32. </w:t>
      </w:r>
    </w:p>
    <w:p w:rsidR="000A3B51" w:rsidRDefault="003D0A08">
      <w:pPr>
        <w:numPr>
          <w:ilvl w:val="0"/>
          <w:numId w:val="28"/>
        </w:numPr>
        <w:spacing w:after="39" w:line="356" w:lineRule="auto"/>
        <w:ind w:right="755" w:hanging="1068"/>
      </w:pPr>
      <w:r>
        <w:t xml:space="preserve">Bartels E.M. Symptomatic efficacy and safety of diacerein in the treatment of osteoarthritis: a meta-analysis of </w:t>
      </w:r>
      <w:r>
        <w:t xml:space="preserve">randomized placebo-controlled trials / E.M. Bartels, H. Bliddal, </w:t>
      </w:r>
    </w:p>
    <w:p w:rsidR="000A3B51" w:rsidRDefault="003D0A08">
      <w:pPr>
        <w:ind w:right="755"/>
      </w:pPr>
      <w:r>
        <w:t xml:space="preserve">P.K. Schøndorff [et al.] // Osteoarthritis Cartilage. – 2010. – Vol. 18, № 3. – P. 289–296.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Pelletier J.P. An international, multicentre, double-blind, randomized study (DISSCO): </w:t>
      </w:r>
    </w:p>
    <w:p w:rsidR="000A3B51" w:rsidRDefault="003D0A08">
      <w:pPr>
        <w:ind w:right="755"/>
      </w:pPr>
      <w:r>
        <w:t xml:space="preserve">effect of diacerein vs celecoxib on symptoms in knee osteoarthritis / J.P. Pelletier, J.P. Raynauld, </w:t>
      </w:r>
    </w:p>
    <w:p w:rsidR="000A3B51" w:rsidRDefault="003D0A08">
      <w:pPr>
        <w:ind w:right="755"/>
      </w:pPr>
      <w:r>
        <w:t xml:space="preserve">M. Dorais [et al.] // Rheumatology (Oxford). – 2020. – Vol. 59, № 12. – P. 3858–3868. </w:t>
      </w:r>
    </w:p>
    <w:p w:rsidR="000A3B51" w:rsidRDefault="003D0A08">
      <w:pPr>
        <w:numPr>
          <w:ilvl w:val="0"/>
          <w:numId w:val="28"/>
        </w:numPr>
        <w:spacing w:after="16" w:line="357" w:lineRule="auto"/>
        <w:ind w:right="755" w:hanging="1068"/>
      </w:pPr>
      <w:r>
        <w:t>Li G. Efficacy, residual effectiveness and safety of diacerein in t</w:t>
      </w:r>
      <w:r>
        <w:t xml:space="preserve">he treatment of knee osteoarthritis: A meta-analysis of randomized placebo-controlled trials / G. Li, Z. Zhang, Y. Ye </w:t>
      </w:r>
    </w:p>
    <w:p w:rsidR="000A3B51" w:rsidRDefault="003D0A08">
      <w:pPr>
        <w:ind w:right="755"/>
      </w:pPr>
      <w:r>
        <w:t xml:space="preserve">[et al.] // Medicine. – 2022. – Vol. 101, № 46. – Article ID e31700. </w:t>
      </w:r>
    </w:p>
    <w:p w:rsidR="000A3B51" w:rsidRDefault="003D0A08">
      <w:pPr>
        <w:numPr>
          <w:ilvl w:val="0"/>
          <w:numId w:val="28"/>
        </w:numPr>
        <w:spacing w:after="137"/>
        <w:ind w:right="755" w:hanging="1068"/>
      </w:pPr>
      <w:r>
        <w:t xml:space="preserve">Pavelka K. Diacerein: Benefits, Risks and Place in the Management of Osteoarthritis. An </w:t>
      </w:r>
    </w:p>
    <w:p w:rsidR="000A3B51" w:rsidRDefault="003D0A08">
      <w:pPr>
        <w:spacing w:after="0" w:line="374" w:lineRule="auto"/>
        <w:ind w:right="755"/>
      </w:pPr>
      <w:r>
        <w:t xml:space="preserve">Opinion-Based Report from the ESCEO / K. Pavelka, O. Bruyère, C. Cooper [et al.] // Drugs Aging. – 2016. – Vol. 33, № 2. – P. 75–85. </w:t>
      </w:r>
    </w:p>
    <w:p w:rsidR="000A3B51" w:rsidRDefault="003D0A08">
      <w:pPr>
        <w:numPr>
          <w:ilvl w:val="0"/>
          <w:numId w:val="28"/>
        </w:numPr>
        <w:spacing w:after="23" w:line="357" w:lineRule="auto"/>
        <w:ind w:right="755" w:hanging="1068"/>
      </w:pPr>
      <w:r>
        <w:t>Zeng F. Diacerein versus non-ster</w:t>
      </w:r>
      <w:r>
        <w:t xml:space="preserve">oidal anti-inflammatory drugs in the treatment of knee osteoarthritis: a meta-analysis / F. Zeng, K. Wang, H. Duan [et al.] // J. Orthop. Surg. Res. – 2023. </w:t>
      </w:r>
    </w:p>
    <w:p w:rsidR="000A3B51" w:rsidRDefault="003D0A08">
      <w:pPr>
        <w:ind w:right="755"/>
      </w:pPr>
      <w:r>
        <w:t xml:space="preserve">– Vol. 18, № 1. – Article ID 03786-6. </w:t>
      </w:r>
    </w:p>
    <w:p w:rsidR="000A3B51" w:rsidRDefault="003D0A08">
      <w:pPr>
        <w:numPr>
          <w:ilvl w:val="0"/>
          <w:numId w:val="28"/>
        </w:numPr>
        <w:spacing w:after="0" w:line="359" w:lineRule="auto"/>
        <w:ind w:right="755" w:hanging="1068"/>
      </w:pPr>
      <w:r>
        <w:t>Dougados M. Evaluation of the structure-modifying effects o</w:t>
      </w:r>
      <w:r>
        <w:t xml:space="preserve">f diacerein in hip osteoarthritis: ECHODIAH, a three-year, placebo-controlled trial. Evaluation of the </w:t>
      </w:r>
    </w:p>
    <w:p w:rsidR="000A3B51" w:rsidRDefault="003D0A08">
      <w:pPr>
        <w:spacing w:after="34" w:line="368" w:lineRule="auto"/>
        <w:ind w:right="755"/>
      </w:pPr>
      <w:r>
        <w:t xml:space="preserve">Chondromodulating Effect of Diacerein in OA of the Hip / M. Dougados, M. Nguyen, L. Berdah [et al.] for the E.I.S.G. // Arthritis Rheum. – 2001. – Vol. </w:t>
      </w:r>
      <w:r>
        <w:t xml:space="preserve">44, № 11. – P. 2539–2547. </w:t>
      </w:r>
    </w:p>
    <w:p w:rsidR="000A3B51" w:rsidRDefault="003D0A08">
      <w:pPr>
        <w:numPr>
          <w:ilvl w:val="0"/>
          <w:numId w:val="28"/>
        </w:numPr>
        <w:spacing w:after="5" w:line="395" w:lineRule="auto"/>
        <w:ind w:right="755" w:hanging="1068"/>
      </w:pPr>
      <w:r>
        <w:t xml:space="preserve">Наумов А.В. Эффективность и безопасность диацереина в терапии хронической боли при остеоартрите у пациентов с сердечно-сосудистой коморбидностью и противопоказаниями к НПВП / А.В. Наумов // Поликлиника. – 2015. – С. 33–37. </w:t>
      </w:r>
    </w:p>
    <w:p w:rsidR="000A3B51" w:rsidRDefault="003D0A08">
      <w:pPr>
        <w:numPr>
          <w:ilvl w:val="0"/>
          <w:numId w:val="28"/>
        </w:numPr>
        <w:spacing w:after="0" w:line="394" w:lineRule="auto"/>
        <w:ind w:right="755" w:hanging="1068"/>
      </w:pPr>
      <w:r>
        <w:t xml:space="preserve">Шарапова Е.П. Диацереин в лечении остеоартрита у больных с коморбидностью / Е.П. Шарапова, Л.И. Алексеева, А.М. Лила [и др.] // Современная ревматология. – 2018. – </w:t>
      </w:r>
    </w:p>
    <w:p w:rsidR="000A3B51" w:rsidRDefault="003D0A08">
      <w:pPr>
        <w:spacing w:after="155"/>
        <w:ind w:right="755"/>
      </w:pPr>
      <w:r>
        <w:t xml:space="preserve">Т. 12, № 4. – С. 54–58. </w:t>
      </w:r>
    </w:p>
    <w:p w:rsidR="000A3B51" w:rsidRDefault="003D0A08">
      <w:pPr>
        <w:numPr>
          <w:ilvl w:val="0"/>
          <w:numId w:val="28"/>
        </w:numPr>
        <w:spacing w:after="18" w:line="382" w:lineRule="auto"/>
        <w:ind w:right="755" w:hanging="1068"/>
      </w:pPr>
      <w:r>
        <w:t>Каратеев А.Е. Оценка переносимости диацереина в реальной клиническ</w:t>
      </w:r>
      <w:r>
        <w:t xml:space="preserve">ой практике. Результаты исследования РОКАДА (ретроспективная оценка клинических аспектов применения Диафлекса при остеоартрозе) / А.Е. Каратеев, Л.И. Алексеева [и др.] // Научнопрактическая ревматология. – 2015. – Т. 53, № 2. – С. 169–174. </w:t>
      </w:r>
    </w:p>
    <w:p w:rsidR="000A3B51" w:rsidRDefault="003D0A08">
      <w:pPr>
        <w:numPr>
          <w:ilvl w:val="0"/>
          <w:numId w:val="28"/>
        </w:numPr>
        <w:spacing w:after="152"/>
        <w:ind w:right="755" w:hanging="1068"/>
      </w:pPr>
      <w:r>
        <w:t>Леушина, Е.А. П</w:t>
      </w:r>
      <w:r>
        <w:t xml:space="preserve">рименение диацереина при остеоартрозе суставов кистей / Е.А. </w:t>
      </w:r>
    </w:p>
    <w:p w:rsidR="000A3B51" w:rsidRDefault="003D0A08">
      <w:pPr>
        <w:ind w:right="755"/>
      </w:pPr>
      <w:r>
        <w:t xml:space="preserve">Леушина, О.В. Симонова // Лечебное дело. - 2013. - № 1. – С. 62–65.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Данилов А.Н. Хроническая неспецифическая боль в спине: многоцентровое </w:t>
      </w:r>
    </w:p>
    <w:p w:rsidR="000A3B51" w:rsidRDefault="003D0A08">
      <w:pPr>
        <w:spacing w:after="0" w:line="367" w:lineRule="auto"/>
        <w:ind w:right="755"/>
      </w:pPr>
      <w:r>
        <w:t>исследование препарата Диафлекс / А.Н. Данилов, О.В. К</w:t>
      </w:r>
      <w:r>
        <w:t xml:space="preserve">урушина, А.Е. Барулин [и др.] // Manage Pain. – 2018. – С. 38–42. </w:t>
      </w:r>
    </w:p>
    <w:p w:rsidR="000A3B51" w:rsidRDefault="003D0A08">
      <w:pPr>
        <w:numPr>
          <w:ilvl w:val="0"/>
          <w:numId w:val="28"/>
        </w:numPr>
        <w:spacing w:after="14" w:line="356" w:lineRule="auto"/>
        <w:ind w:right="755" w:hanging="1068"/>
      </w:pPr>
      <w:r>
        <w:t xml:space="preserve">Shrestha R. Investigating the Efficacy and Safety of Diacerein in the Management of Knee Osteoarthritis with reference to its conventional management / R. Shrestha, S. Tamrakar, P. Koju </w:t>
      </w:r>
    </w:p>
    <w:p w:rsidR="000A3B51" w:rsidRDefault="003D0A08">
      <w:pPr>
        <w:ind w:right="755"/>
      </w:pPr>
      <w:r>
        <w:t>[e</w:t>
      </w:r>
      <w:r>
        <w:t xml:space="preserve">t al.] // J. Nepal Health Res. Counc. – 2023. – Vol. 20, № 4. – P. 942–946. </w:t>
      </w:r>
    </w:p>
    <w:p w:rsidR="000A3B51" w:rsidRDefault="003D0A08">
      <w:pPr>
        <w:numPr>
          <w:ilvl w:val="0"/>
          <w:numId w:val="28"/>
        </w:numPr>
        <w:spacing w:after="39" w:line="366" w:lineRule="auto"/>
        <w:ind w:right="755" w:hanging="1068"/>
      </w:pPr>
      <w:r>
        <w:t>Xiang Y. Efficacy and safety of diacerein monotherapy in adults with obesity: A randomized, double-blind, placebo-controlled trial / Y. Xiang, L. Shen, Y. Xue [et al.] // Diabetes</w:t>
      </w:r>
      <w:r>
        <w:t xml:space="preserve"> Obes. Metab. – 2024. – Vol. 26, № 11. </w:t>
      </w:r>
    </w:p>
    <w:p w:rsidR="000A3B51" w:rsidRDefault="003D0A08">
      <w:pPr>
        <w:numPr>
          <w:ilvl w:val="0"/>
          <w:numId w:val="28"/>
        </w:numPr>
        <w:spacing w:after="0" w:line="394" w:lineRule="auto"/>
        <w:ind w:right="755" w:hanging="1068"/>
      </w:pPr>
      <w:r>
        <w:t>Алексеева Л.И. Остеоартрит коленных суставов и метаболический синдром: новые подходы к терапии / Л.И. Алексеева, Е.А. Таскина, Н.Г. Кашеварова [и др.] // Научнопрактическая ревматология. – 2018. – Т. 56, № 2. – С. 15</w:t>
      </w:r>
      <w:r>
        <w:t xml:space="preserve">7–163. </w:t>
      </w:r>
    </w:p>
    <w:p w:rsidR="000A3B51" w:rsidRDefault="003D0A08">
      <w:pPr>
        <w:numPr>
          <w:ilvl w:val="0"/>
          <w:numId w:val="28"/>
        </w:numPr>
        <w:spacing w:after="14" w:line="358" w:lineRule="auto"/>
        <w:ind w:right="755" w:hanging="1068"/>
      </w:pPr>
      <w:r>
        <w:t xml:space="preserve">Joo N.S. Changes of body weight and inflammatory markers after 12-week intervention trial: results of a double-blind, placebo-control pilot study / N.S. Joo, S.M. Kim, K.M. Kim [et al.] </w:t>
      </w:r>
    </w:p>
    <w:p w:rsidR="000A3B51" w:rsidRDefault="003D0A08">
      <w:pPr>
        <w:ind w:right="755"/>
      </w:pPr>
      <w:r>
        <w:t xml:space="preserve">// Yonsei Med. J. – 2011. – Vol. 52, № 2. – P. 242–248. </w:t>
      </w:r>
    </w:p>
    <w:p w:rsidR="000A3B51" w:rsidRDefault="003D0A08">
      <w:pPr>
        <w:numPr>
          <w:ilvl w:val="0"/>
          <w:numId w:val="28"/>
        </w:numPr>
        <w:spacing w:after="21" w:line="356" w:lineRule="auto"/>
        <w:ind w:right="755" w:hanging="1068"/>
      </w:pPr>
      <w:r>
        <w:t xml:space="preserve">Zhang Q. The effect and safety of diacerein in patients with type 2 diabetes mellitus: a systematic review and meta-analysis / Q. Zhang, J. Zhou, Y. Wang, D. Chen // Am. J. Clin. Exp. </w:t>
      </w:r>
    </w:p>
    <w:p w:rsidR="000A3B51" w:rsidRDefault="003D0A08">
      <w:pPr>
        <w:ind w:right="755"/>
      </w:pPr>
      <w:r>
        <w:t xml:space="preserve">Immunol. – 2017. – Vol. 6, № 6. – P. 97–106. </w:t>
      </w:r>
    </w:p>
    <w:p w:rsidR="000A3B51" w:rsidRDefault="003D0A08">
      <w:pPr>
        <w:numPr>
          <w:ilvl w:val="0"/>
          <w:numId w:val="28"/>
        </w:numPr>
        <w:spacing w:after="8" w:line="359" w:lineRule="auto"/>
        <w:ind w:right="755" w:hanging="1068"/>
      </w:pPr>
      <w:r>
        <w:t>Nowrouzi-Sohrabi P. Effec</w:t>
      </w:r>
      <w:r>
        <w:t xml:space="preserve">ts of Diacerein Intake on Cardiometabolic Profiles in Type 2 Diabetics: A Systematic Review and Meta-Analysis of Clinical Trials / P. Nowrouzi-Sohrabi, R. </w:t>
      </w:r>
    </w:p>
    <w:p w:rsidR="000A3B51" w:rsidRDefault="003D0A08">
      <w:pPr>
        <w:ind w:right="755"/>
      </w:pPr>
      <w:r>
        <w:t xml:space="preserve">Tabrizi, M. Jalali [et al.] // Curr. Med. Chem. – 2021. – Vol. 28, № 4. – P. 840–852. </w:t>
      </w:r>
    </w:p>
    <w:p w:rsidR="000A3B51" w:rsidRDefault="003D0A08">
      <w:pPr>
        <w:numPr>
          <w:ilvl w:val="0"/>
          <w:numId w:val="28"/>
        </w:numPr>
        <w:spacing w:after="1" w:line="358" w:lineRule="auto"/>
        <w:ind w:right="755" w:hanging="1068"/>
      </w:pPr>
      <w:r>
        <w:t>Guo S. The Ef</w:t>
      </w:r>
      <w:r>
        <w:t xml:space="preserve">fect of Diacerein on Type 2 Diabetic Mellitus: A Systematic Review and Meta-Analysis of Randomized Controlled Trials with Trial Sequential Analysis / S. Guo, X. Guo, H. Zhang [et al.] // J. Diabetes Res. – 2020. – Vol. 2020. – Article ID 2593792. </w:t>
      </w:r>
    </w:p>
    <w:p w:rsidR="000A3B51" w:rsidRDefault="003D0A08">
      <w:pPr>
        <w:numPr>
          <w:ilvl w:val="0"/>
          <w:numId w:val="28"/>
        </w:numPr>
        <w:spacing w:after="22" w:line="358" w:lineRule="auto"/>
        <w:ind w:right="755" w:hanging="1068"/>
      </w:pPr>
      <w:r>
        <w:t>Honvo G.</w:t>
      </w:r>
      <w:r>
        <w:t xml:space="preserve"> Safety of Symptomatic Slow-Acting Drugs for Osteoarthritis: Outcomes of a Systematic Review and Meta-Analysis / G. Honvo, J.Y. Reginster, V. Rabenda [et al.] // Drugs </w:t>
      </w:r>
    </w:p>
    <w:p w:rsidR="000A3B51" w:rsidRDefault="003D0A08">
      <w:pPr>
        <w:ind w:right="755"/>
      </w:pPr>
      <w:r>
        <w:t xml:space="preserve">Aging. – 2019. – Vol. 36, № Suppl 1. – P. 65–99. </w:t>
      </w:r>
    </w:p>
    <w:p w:rsidR="000A3B51" w:rsidRDefault="003D0A08">
      <w:pPr>
        <w:numPr>
          <w:ilvl w:val="0"/>
          <w:numId w:val="28"/>
        </w:numPr>
        <w:spacing w:after="41" w:line="363" w:lineRule="auto"/>
        <w:ind w:right="755" w:hanging="1068"/>
      </w:pPr>
      <w:r>
        <w:t>Youn S. Efficacy and safety of diacer</w:t>
      </w:r>
      <w:r>
        <w:t xml:space="preserve">ein and celecoxib combination therapy for knee osteoarthritis: A double-blind, randomized, placebo-controlled prospective study / S. Youn, J.H. Choi, C. Kim [et al.] // Medicine. – 2023. – Vol. 102, № 39. – Article ID E35317. </w:t>
      </w:r>
    </w:p>
    <w:p w:rsidR="000A3B51" w:rsidRDefault="003D0A08">
      <w:pPr>
        <w:numPr>
          <w:ilvl w:val="0"/>
          <w:numId w:val="28"/>
        </w:numPr>
        <w:spacing w:after="15" w:line="376" w:lineRule="auto"/>
        <w:ind w:right="755" w:hanging="1068"/>
      </w:pPr>
      <w:r>
        <w:t>Лила А.М. Длительное многоцен</w:t>
      </w:r>
      <w:r>
        <w:t xml:space="preserve">тровое наблюдательное исследование препарата Алфлутоп в России: применение у пациентов с хронической болью в спине (сообщение 3) / А.М. Лила, А.Е. Каратеев, Л.И. Алексеева [и др.] // Современная ревматология. – 2024. – Т. </w:t>
      </w:r>
    </w:p>
    <w:p w:rsidR="000A3B51" w:rsidRDefault="003D0A08">
      <w:pPr>
        <w:ind w:right="755"/>
      </w:pPr>
      <w:r>
        <w:t xml:space="preserve">18, № 1. – С. 70–75. </w:t>
      </w:r>
    </w:p>
    <w:p w:rsidR="000A3B51" w:rsidRDefault="003D0A08">
      <w:pPr>
        <w:numPr>
          <w:ilvl w:val="0"/>
          <w:numId w:val="28"/>
        </w:numPr>
        <w:spacing w:after="31" w:line="364" w:lineRule="auto"/>
        <w:ind w:right="755" w:hanging="1068"/>
      </w:pPr>
      <w:r>
        <w:t>Лила А.М. Д</w:t>
      </w:r>
      <w:r>
        <w:t xml:space="preserve">лительное многоцентровое наблюдательное исследование Алфлутопа в России: предварительные результаты (сообщение 1) / А.М. Лила, Л.И. Алексеева, Е.А. </w:t>
      </w:r>
    </w:p>
    <w:p w:rsidR="000A3B51" w:rsidRDefault="003D0A08">
      <w:pPr>
        <w:spacing w:after="157"/>
        <w:ind w:right="755"/>
      </w:pPr>
      <w:r>
        <w:t xml:space="preserve">Таскина [и др.] // Современная ревматология. – 2023. – Т. 17, № 2. – С. 57–64. </w:t>
      </w:r>
    </w:p>
    <w:p w:rsidR="000A3B51" w:rsidRDefault="003D0A08">
      <w:pPr>
        <w:numPr>
          <w:ilvl w:val="0"/>
          <w:numId w:val="28"/>
        </w:numPr>
        <w:spacing w:after="27" w:line="374" w:lineRule="auto"/>
        <w:ind w:right="755" w:hanging="1068"/>
      </w:pPr>
      <w:r>
        <w:t xml:space="preserve">Лила А.М. Длительное многоцентровое наблюдательное исследование препарата Алфлутоп в России (сообщение 2) / А.М. Лила, Е.А. Таскина, Л.И. Алексеева [и др.] // Современная ревматология. – 2023. – Т. 17, № 4. – С. 75–85. </w:t>
      </w:r>
    </w:p>
    <w:p w:rsidR="000A3B51" w:rsidRDefault="003D0A08">
      <w:pPr>
        <w:numPr>
          <w:ilvl w:val="0"/>
          <w:numId w:val="28"/>
        </w:numPr>
        <w:spacing w:after="162"/>
        <w:ind w:right="755" w:hanging="1068"/>
      </w:pPr>
      <w:r>
        <w:t xml:space="preserve">Алексеева </w:t>
      </w:r>
      <w:r>
        <w:tab/>
        <w:t xml:space="preserve">Л.А. </w:t>
      </w:r>
      <w:r>
        <w:tab/>
        <w:t xml:space="preserve">Многоцентровое </w:t>
      </w:r>
      <w:r>
        <w:tab/>
        <w:t>сле</w:t>
      </w:r>
      <w:r>
        <w:t xml:space="preserve">пое </w:t>
      </w:r>
      <w:r>
        <w:tab/>
        <w:t xml:space="preserve">рандомизированное </w:t>
      </w:r>
    </w:p>
    <w:p w:rsidR="000A3B51" w:rsidRDefault="003D0A08">
      <w:pPr>
        <w:spacing w:after="19" w:line="377" w:lineRule="auto"/>
        <w:ind w:right="755"/>
      </w:pPr>
      <w:r>
        <w:t xml:space="preserve">плацебоконтролируемое исследование симптом- и структурно-модифицирующего действия препарата Алфлутоп у больных остеоартрозом коленных суставов. Сообщение 1 — оценка симптом-модифицирующего действия препарата / Л. И. Алексеева, Е.П. </w:t>
      </w:r>
    </w:p>
    <w:p w:rsidR="000A3B51" w:rsidRDefault="003D0A08">
      <w:pPr>
        <w:spacing w:after="163" w:line="259" w:lineRule="auto"/>
        <w:ind w:left="10" w:right="751"/>
        <w:jc w:val="right"/>
      </w:pPr>
      <w:r>
        <w:t xml:space="preserve">Шарапова, Е.А. Таскина [и др.] // Научно-практическая ревматология. – 2013. – Т. 51, № 5. </w:t>
      </w:r>
    </w:p>
    <w:p w:rsidR="000A3B51" w:rsidRDefault="003D0A08">
      <w:pPr>
        <w:numPr>
          <w:ilvl w:val="0"/>
          <w:numId w:val="28"/>
        </w:numPr>
        <w:spacing w:after="37" w:line="366" w:lineRule="auto"/>
        <w:ind w:right="755" w:hanging="1068"/>
      </w:pPr>
      <w:r>
        <w:t>Шарапова Е.П. Многоцентровое проспективное рандомизированное исследование эффективности и безопасности препарата Алфлутоп® в альтернирующем режиме по сравнению со с</w:t>
      </w:r>
      <w:r>
        <w:t xml:space="preserve">тандартным режимом. Сообщение 2: оценка безопасности препарата при различных схемах применения / Е.П. Шарапова, Л.И. Алексеева, Е.А. Таскина [и др.] // Современная ревматология. – 2020. – Т. 14, № 1. – С. 67–73. </w:t>
      </w:r>
    </w:p>
    <w:p w:rsidR="000A3B51" w:rsidRDefault="003D0A08">
      <w:pPr>
        <w:numPr>
          <w:ilvl w:val="0"/>
          <w:numId w:val="28"/>
        </w:numPr>
        <w:spacing w:after="29" w:line="375" w:lineRule="auto"/>
        <w:ind w:right="755" w:hanging="1068"/>
      </w:pPr>
      <w:r>
        <w:t xml:space="preserve">Каратеев А.Е. Хроническая боль в спине как </w:t>
      </w:r>
      <w:r>
        <w:t xml:space="preserve">проявление остеоартрита позвоночника: обоснование и практика применения симптоматических средств замедленного действия / А.Е. Каратеев // Современная ревматология. – 2022. – С. 88–97. </w:t>
      </w:r>
    </w:p>
    <w:p w:rsidR="000A3B51" w:rsidRDefault="003D0A08">
      <w:pPr>
        <w:numPr>
          <w:ilvl w:val="0"/>
          <w:numId w:val="28"/>
        </w:numPr>
        <w:spacing w:after="36" w:line="369" w:lineRule="auto"/>
        <w:ind w:right="755" w:hanging="1068"/>
      </w:pPr>
      <w:r>
        <w:t>Самарцев И.Н. Оценка терапевтической эффективности Алфлутопа в комплекс</w:t>
      </w:r>
      <w:r>
        <w:t xml:space="preserve">ном лечении пациентов с хронической болью в нижней части спины (наблюдательное исследование ЦЕЙТНОТ) / И.Н. Самарцев, С.А. Живолупов, Е.Р. Баранцевич [и др.] // Журнал неврологии и психиатрии им. С.С. Корсакова. – 2021. – С. 24–30. </w:t>
      </w:r>
    </w:p>
    <w:p w:rsidR="000A3B51" w:rsidRDefault="003D0A08">
      <w:pPr>
        <w:numPr>
          <w:ilvl w:val="0"/>
          <w:numId w:val="28"/>
        </w:numPr>
        <w:spacing w:after="25" w:line="378" w:lineRule="auto"/>
        <w:ind w:right="755" w:hanging="1068"/>
      </w:pPr>
      <w:r>
        <w:t>Малышенко О.С. Оценка б</w:t>
      </w:r>
      <w:r>
        <w:t xml:space="preserve">езопасности биоактивного концентрата мелких морских рыб у пациентов старческого возраста с остеоартритом коленного сустава и высокой коморбидностью / О.С. Малышенко, Е.А Таскина, Т.А Раскина [и др.] // Терапия. – 2023. – С. 148–155. </w:t>
      </w:r>
    </w:p>
    <w:p w:rsidR="000A3B51" w:rsidRDefault="003D0A08">
      <w:pPr>
        <w:numPr>
          <w:ilvl w:val="0"/>
          <w:numId w:val="28"/>
        </w:numPr>
        <w:spacing w:after="3" w:line="395" w:lineRule="auto"/>
        <w:ind w:right="755" w:hanging="1068"/>
      </w:pPr>
      <w:r>
        <w:t>Каратеев А.Е. Гликозам</w:t>
      </w:r>
      <w:r>
        <w:t xml:space="preserve">иногликан-пептидный комплекс при лечении остеоартрита коленного и тазобедренного суставов: из прошлого в будущее / А.Е. Каратеев // Научнопрактическая ревматология. – 2020. – Т. 58, № 1. – С. 91–96. </w:t>
      </w:r>
    </w:p>
    <w:p w:rsidR="000A3B51" w:rsidRDefault="003D0A08">
      <w:pPr>
        <w:numPr>
          <w:ilvl w:val="0"/>
          <w:numId w:val="28"/>
        </w:numPr>
        <w:spacing w:line="357" w:lineRule="auto"/>
        <w:ind w:right="755" w:hanging="1068"/>
      </w:pPr>
      <w:r>
        <w:t>Каратеев А.Е. Оценка эффективности и безопасности гликоз</w:t>
      </w:r>
      <w:r>
        <w:t xml:space="preserve">аминогликанпептидного комплекса при лечении остеоартрита коленного сустава у больных с предшествующей неэффективностью пероральных медленно действующих противовоспалительных препаратов (многоцентровое открытое исследование ПРИМУЛА: </w:t>
      </w:r>
    </w:p>
    <w:p w:rsidR="000A3B51" w:rsidRDefault="003D0A08">
      <w:pPr>
        <w:spacing w:after="153"/>
        <w:ind w:right="755"/>
      </w:pPr>
      <w:r>
        <w:t xml:space="preserve">Применение Румалона® при Исходно Малом Успехе в Лечении остеоАртрита) / А.Е. </w:t>
      </w:r>
    </w:p>
    <w:p w:rsidR="000A3B51" w:rsidRDefault="003D0A08">
      <w:pPr>
        <w:spacing w:after="145"/>
        <w:ind w:right="755"/>
      </w:pPr>
      <w:r>
        <w:t xml:space="preserve">Каратеев, Л.И. Алексеева, А.М. Лила [и др.] // Научно-практическая ревматология. – 2018. </w:t>
      </w:r>
    </w:p>
    <w:p w:rsidR="000A3B51" w:rsidRDefault="003D0A08">
      <w:pPr>
        <w:ind w:right="755"/>
      </w:pPr>
      <w:r>
        <w:t xml:space="preserve">– Т. 56, № 1. – С. 22–27. </w:t>
      </w:r>
    </w:p>
    <w:p w:rsidR="000A3B51" w:rsidRDefault="003D0A08">
      <w:pPr>
        <w:numPr>
          <w:ilvl w:val="0"/>
          <w:numId w:val="28"/>
        </w:numPr>
        <w:spacing w:after="13" w:line="365" w:lineRule="auto"/>
        <w:ind w:right="755" w:hanging="1068"/>
      </w:pPr>
      <w:r>
        <w:t xml:space="preserve">Adler E. A double blind trial with cartilage and bone marrow </w:t>
      </w:r>
      <w:r>
        <w:t xml:space="preserve">extract in degenerative gonarthrosis / E. Adler, E. Wolf, I. Taustein // Scand. J. Rheumatol. – 1987. – Vol. 16, № 1. – P. 6–11.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>Katona G. A clinical trial of glycosaminoglycan-peptide complex ('Rumalon’) in patients with osteoarthritis of the knee / G. K</w:t>
      </w:r>
      <w:r>
        <w:t xml:space="preserve">atona // Curr. Med. Res. Opin. – 1987. – Vol. 10, № 9. – P. </w:t>
      </w:r>
    </w:p>
    <w:p w:rsidR="000A3B51" w:rsidRDefault="003D0A08">
      <w:pPr>
        <w:ind w:right="755"/>
      </w:pPr>
      <w:r>
        <w:t xml:space="preserve">625–633. </w:t>
      </w:r>
    </w:p>
    <w:p w:rsidR="000A3B51" w:rsidRDefault="003D0A08">
      <w:pPr>
        <w:numPr>
          <w:ilvl w:val="0"/>
          <w:numId w:val="28"/>
        </w:numPr>
        <w:spacing w:after="42" w:line="362" w:lineRule="auto"/>
        <w:ind w:right="755" w:hanging="1068"/>
      </w:pPr>
      <w:r>
        <w:t>Gramajo R. J. A single-blind, placebo-controlled study of glycosaminoglycan-peptide complex ('Rumalon') in patients with osteoarthritis of the hip or knee / R. J. Gramajo, E. J. Cutrone</w:t>
      </w:r>
      <w:r>
        <w:t xml:space="preserve">o, D. E. Fernandez [et al.] // Curr. Med. Res. Opin. – 1989. – Vol. 11, № 6. – P. 366–373. </w:t>
      </w:r>
    </w:p>
    <w:p w:rsidR="000A3B51" w:rsidRDefault="003D0A08">
      <w:pPr>
        <w:numPr>
          <w:ilvl w:val="0"/>
          <w:numId w:val="28"/>
        </w:numPr>
        <w:spacing w:after="143"/>
        <w:ind w:right="755" w:hanging="1068"/>
      </w:pPr>
      <w:r>
        <w:t xml:space="preserve">Rejholec V. Langzeitbehandlung der Coxarthrose mit Rumalon® / V. Rejholec, M. </w:t>
      </w:r>
    </w:p>
    <w:p w:rsidR="000A3B51" w:rsidRDefault="003D0A08">
      <w:pPr>
        <w:ind w:right="755"/>
      </w:pPr>
      <w:r>
        <w:t xml:space="preserve">Králová // Aktuelle Rheumatol. – 1984. – Vol. 9. – P. 139–148. </w:t>
      </w:r>
    </w:p>
    <w:p w:rsidR="000A3B51" w:rsidRDefault="003D0A08">
      <w:pPr>
        <w:numPr>
          <w:ilvl w:val="0"/>
          <w:numId w:val="28"/>
        </w:numPr>
        <w:spacing w:after="26" w:line="376" w:lineRule="auto"/>
        <w:ind w:right="755" w:hanging="1068"/>
      </w:pPr>
      <w:r>
        <w:t>Pavelká K. A 5-</w:t>
      </w:r>
      <w:r>
        <w:t xml:space="preserve">year randomized controlled, double-blind study of glycosaminoglycan polysulphuric acid complex (Rumalon®) as a structure modifying therapy in osteoarthritis of the hip and knee / K. Pavelká, J. Gatterová, V. Gollerova [et al.] // Osteoarthritis Cartilage. </w:t>
      </w:r>
      <w:r>
        <w:t xml:space="preserve">– 2000. – Vol. 8, № 5. – P. 335–342. </w:t>
      </w:r>
    </w:p>
    <w:p w:rsidR="000A3B51" w:rsidRDefault="003D0A08">
      <w:pPr>
        <w:numPr>
          <w:ilvl w:val="0"/>
          <w:numId w:val="28"/>
        </w:numPr>
        <w:spacing w:after="4" w:line="394" w:lineRule="auto"/>
        <w:ind w:right="755" w:hanging="1068"/>
      </w:pPr>
      <w:r>
        <w:t xml:space="preserve">Алексеева Л.И. Применение Румалона при гонартрозе / Л.И. Алексеева, А.Н. Карякин, А.В. Смирнов [и др.] // Терапевтический архив. – 1997. – № 5. – С. 64–66. </w:t>
      </w:r>
    </w:p>
    <w:p w:rsidR="000A3B51" w:rsidRDefault="003D0A08">
      <w:pPr>
        <w:numPr>
          <w:ilvl w:val="0"/>
          <w:numId w:val="28"/>
        </w:numPr>
        <w:spacing w:after="0" w:line="382" w:lineRule="auto"/>
        <w:ind w:right="755" w:hanging="1068"/>
      </w:pPr>
      <w:r>
        <w:t>Алексеева Л.И. Многоцентровое проспективное исследование эффе</w:t>
      </w:r>
      <w:r>
        <w:t xml:space="preserve">ктивности и безопасности гликозаминогликан-пептидного комплекса у пациентов с остеоартритом коленных суставов и коморбидностью / Л.И. Алексеева, Е.А. Таскина, Н.Г. Кашеварова [и др.] // Современная ревматология. – 2020. – Т. 15, № 1. – С. 51–59. </w:t>
      </w:r>
    </w:p>
    <w:p w:rsidR="000A3B51" w:rsidRDefault="003D0A08">
      <w:pPr>
        <w:numPr>
          <w:ilvl w:val="0"/>
          <w:numId w:val="28"/>
        </w:numPr>
        <w:spacing w:after="44" w:line="362" w:lineRule="auto"/>
        <w:ind w:right="755" w:hanging="1068"/>
      </w:pPr>
      <w:r>
        <w:t>Kongtharvonskul J. Efficacy of glucosamine plus diacerein versus monotherapy of glucosamine: A double-blind, parallel randomized clinical trial / J. Kongtharvonskul, P. Woratanarat, M. McEvoy [et al.] // Arthritis Res. Ther. – 2016. – Vol. 18, № 1. – P. 1–</w:t>
      </w:r>
      <w:r>
        <w:t xml:space="preserve">12. </w:t>
      </w:r>
    </w:p>
    <w:p w:rsidR="000A3B51" w:rsidRDefault="003D0A08">
      <w:pPr>
        <w:numPr>
          <w:ilvl w:val="0"/>
          <w:numId w:val="28"/>
        </w:numPr>
        <w:spacing w:after="16" w:line="378" w:lineRule="auto"/>
        <w:ind w:right="755" w:hanging="1068"/>
      </w:pPr>
      <w:r>
        <w:t xml:space="preserve">Алексеева Л.И. Оценка эффективности и безопасности инъекционной формы гликозаминогликан-пептидного комплекса у пациентов с остеоартритом: многоцентровое наблюдательное исследование ГЛАДИОЛУС / Л.И. Алексеева, А.Е. Каратеев, Е.Ю. </w:t>
      </w:r>
    </w:p>
    <w:p w:rsidR="000A3B51" w:rsidRDefault="003D0A08">
      <w:pPr>
        <w:spacing w:after="157"/>
        <w:ind w:right="755"/>
      </w:pPr>
      <w:r>
        <w:t>Погожева [и др.] // С</w:t>
      </w:r>
      <w:r>
        <w:t xml:space="preserve">овременная ревматология. – 2020. – Т. 14, № 2. – С. 76–83. </w:t>
      </w:r>
    </w:p>
    <w:p w:rsidR="000A3B51" w:rsidRDefault="003D0A08">
      <w:pPr>
        <w:numPr>
          <w:ilvl w:val="0"/>
          <w:numId w:val="28"/>
        </w:numPr>
        <w:spacing w:after="10" w:line="397" w:lineRule="auto"/>
        <w:ind w:right="755" w:hanging="1068"/>
      </w:pPr>
      <w:r>
        <w:t>Алексеева Л.И. Многоцентровое проспективное исследование эффективности и безопасности гликозаминогликан-пептидного комплекса в комбинации с диацереином у пациентов с остеоартритом коленных суставо</w:t>
      </w:r>
      <w:r>
        <w:t xml:space="preserve">в / Л.И. Алексеева, А.М. Лила, Е.П. Шарапова [и др.] // Терапия. – 2022. – № 2. – С. 6–18. </w:t>
      </w:r>
    </w:p>
    <w:p w:rsidR="000A3B51" w:rsidRDefault="003D0A08">
      <w:pPr>
        <w:numPr>
          <w:ilvl w:val="0"/>
          <w:numId w:val="28"/>
        </w:numPr>
        <w:spacing w:after="0" w:line="384" w:lineRule="auto"/>
        <w:ind w:right="755" w:hanging="1068"/>
      </w:pPr>
      <w:r>
        <w:t>Каратеев А.Е. Эффективность и безопасность комбинированного применения целекоксиба, диацереина и комбинации глюкозамина и хондроитина для контроля скелетно-мышечной</w:t>
      </w:r>
      <w:r>
        <w:t xml:space="preserve"> боли, связанной с остеоартритом и неспецифической болью в спине / А.Е. Каратеев, Е.Ю. Полищук, А.М. Лила [и др.] // Соврем. ревматол. – 2023. – Т. 17, № 5. </w:t>
      </w:r>
    </w:p>
    <w:p w:rsidR="000A3B51" w:rsidRDefault="003D0A08">
      <w:pPr>
        <w:ind w:right="755"/>
      </w:pPr>
      <w:r>
        <w:t xml:space="preserve">– С. 97–106. </w:t>
      </w:r>
    </w:p>
    <w:p w:rsidR="000A3B51" w:rsidRDefault="003D0A08">
      <w:pPr>
        <w:numPr>
          <w:ilvl w:val="0"/>
          <w:numId w:val="28"/>
        </w:numPr>
        <w:spacing w:after="156"/>
        <w:ind w:right="755" w:hanging="1068"/>
      </w:pPr>
      <w:r>
        <w:t xml:space="preserve">American Academy of Orthopaedic Surgeons. Management of osteoarthritis of the hip: </w:t>
      </w:r>
    </w:p>
    <w:p w:rsidR="000A3B51" w:rsidRDefault="003D0A08">
      <w:pPr>
        <w:spacing w:after="0" w:line="365" w:lineRule="auto"/>
        <w:ind w:right="755"/>
      </w:pPr>
      <w:r>
        <w:t>evidence-based clinical practice guideline [Электронный ресурс] / American Academy of Orthopaedic Surgeons. – 2017. – URL: https://www.aaos.org/globalassets/quality-and-practiceresources/osteoarthritis-of-the-hip/oa-hip-cpg_6-11-19.pdf (дата обращения: 06.</w:t>
      </w:r>
      <w:r>
        <w:t xml:space="preserve">03.2025). </w:t>
      </w:r>
    </w:p>
    <w:p w:rsidR="000A3B51" w:rsidRDefault="003D0A08">
      <w:pPr>
        <w:numPr>
          <w:ilvl w:val="0"/>
          <w:numId w:val="28"/>
        </w:numPr>
        <w:spacing w:after="15" w:line="356" w:lineRule="auto"/>
        <w:ind w:right="755" w:hanging="1068"/>
      </w:pPr>
      <w:r>
        <w:t xml:space="preserve">Wolff D.G. Topical nonsteroidal anti-inflammatory drugs in the treatment of knee osteoarthritis: a systematic review and meta-analysis / D.G. Wolff, C. Christophersen, S.M. Brown </w:t>
      </w:r>
    </w:p>
    <w:p w:rsidR="000A3B51" w:rsidRDefault="003D0A08">
      <w:pPr>
        <w:ind w:right="755"/>
      </w:pPr>
      <w:r>
        <w:t>[et al.] // Physician Sportsmed. – 2021. – Vol. 49, № 4. – P. 381</w:t>
      </w:r>
      <w:r>
        <w:t xml:space="preserve">–391. </w:t>
      </w:r>
    </w:p>
    <w:p w:rsidR="000A3B51" w:rsidRDefault="003D0A08">
      <w:pPr>
        <w:numPr>
          <w:ilvl w:val="0"/>
          <w:numId w:val="28"/>
        </w:numPr>
        <w:spacing w:after="38" w:line="367" w:lineRule="auto"/>
        <w:ind w:right="755" w:hanging="1068"/>
      </w:pPr>
      <w:r>
        <w:t xml:space="preserve">Overton C. Osteoarthritis Treatment Guidelines from Six Professional Societies: Similarities and Differences / C. Overton, A.E. Nelson, T. Neogi // Rheum. Dis. Clin. North Am. – 2022. – Vol. 48, № 3. – P. 637–657. </w:t>
      </w:r>
    </w:p>
    <w:p w:rsidR="000A3B51" w:rsidRDefault="003D0A08">
      <w:pPr>
        <w:numPr>
          <w:ilvl w:val="0"/>
          <w:numId w:val="28"/>
        </w:numPr>
        <w:spacing w:after="35" w:line="357" w:lineRule="auto"/>
        <w:ind w:right="755" w:hanging="1068"/>
      </w:pPr>
      <w:r>
        <w:t xml:space="preserve">Лила А.М. Нестероидные противовоспалительные препараты при остеоартрите и неспецифической боли в спине: основные положения по эффективному и безопасному применению (междисциплинарный консенсус) / А.М. Лила, Н.В. Загородний, Л.И. </w:t>
      </w:r>
    </w:p>
    <w:p w:rsidR="000A3B51" w:rsidRDefault="003D0A08">
      <w:pPr>
        <w:spacing w:after="157"/>
        <w:ind w:right="755"/>
      </w:pPr>
      <w:r>
        <w:t>Алексеева [и др.] // Совре</w:t>
      </w:r>
      <w:r>
        <w:t xml:space="preserve">м. ревматол. – 2024. – Т. 18, № 6. – С. 114–123. </w:t>
      </w:r>
    </w:p>
    <w:p w:rsidR="000A3B51" w:rsidRDefault="003D0A08">
      <w:pPr>
        <w:numPr>
          <w:ilvl w:val="0"/>
          <w:numId w:val="28"/>
        </w:numPr>
        <w:spacing w:after="14" w:line="377" w:lineRule="auto"/>
        <w:ind w:right="755" w:hanging="1068"/>
      </w:pPr>
      <w:r>
        <w:t>Кашеварова Н.Г. Проспективное сравнительное рандомизированное исследование эффективности и безопасности топических форм теноксикама и диклофенака у пациентов с остеоартритом коленных суставов / Н.Г. Кашевар</w:t>
      </w:r>
      <w:r>
        <w:t xml:space="preserve">ова, Е.А. Таскина, Е.А. Стребкова [и др.] </w:t>
      </w:r>
    </w:p>
    <w:p w:rsidR="000A3B51" w:rsidRDefault="003D0A08">
      <w:pPr>
        <w:ind w:right="755"/>
      </w:pPr>
      <w:r>
        <w:t xml:space="preserve">// Современная ревматология. – 2023. – Т. 17, № 3. – С. 51–59. </w:t>
      </w:r>
    </w:p>
    <w:p w:rsidR="000A3B51" w:rsidRDefault="003D0A08">
      <w:pPr>
        <w:numPr>
          <w:ilvl w:val="0"/>
          <w:numId w:val="28"/>
        </w:numPr>
        <w:spacing w:after="24" w:line="358" w:lineRule="auto"/>
        <w:ind w:right="755" w:hanging="1068"/>
      </w:pPr>
      <w:r>
        <w:t>Zeng C. Relative efficacy and safety of topical non-steroidal anti-inflammatory drugs for osteoarthritis: a systematic review and network meta-analys</w:t>
      </w:r>
      <w:r>
        <w:t xml:space="preserve">is of randomised controlled trials and observational studies / C. Zeng, J. Wei, M.S.M. Persson [et al.] // Br. J. Sports Med. – 2018. – Vol. </w:t>
      </w:r>
    </w:p>
    <w:p w:rsidR="000A3B51" w:rsidRDefault="003D0A08">
      <w:pPr>
        <w:ind w:right="755"/>
      </w:pPr>
      <w:r>
        <w:t xml:space="preserve">52, № 10. – P. 642–650.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>Honvo G. Safety of Topical Non-steroidal Anti-Inflammatory Drugs in Osteoarthritis: Outco</w:t>
      </w:r>
      <w:r>
        <w:t xml:space="preserve">mes of a Systematic Review and Meta-Analysis / G. Honvo, V. Leclercq, A. Geerinck [et al.] // Drugs Aging. – 2019. – Vol. 36, № Suppl 1. – P. 45–64. </w:t>
      </w:r>
    </w:p>
    <w:p w:rsidR="000A3B51" w:rsidRDefault="003D0A08">
      <w:pPr>
        <w:numPr>
          <w:ilvl w:val="0"/>
          <w:numId w:val="28"/>
        </w:numPr>
        <w:spacing w:line="356" w:lineRule="auto"/>
        <w:ind w:right="755" w:hanging="1068"/>
      </w:pPr>
      <w:r>
        <w:t xml:space="preserve">Persson M.S.M. Predicting response to topical non-steroidal anti-inflammatory drugs in osteoarthritis: an </w:t>
      </w:r>
      <w:r>
        <w:t xml:space="preserve">individual patient data meta-analysis of randomized controlled trials / M.S.M. </w:t>
      </w:r>
    </w:p>
    <w:p w:rsidR="000A3B51" w:rsidRDefault="003D0A08">
      <w:pPr>
        <w:spacing w:after="0" w:line="359" w:lineRule="auto"/>
        <w:ind w:right="755"/>
      </w:pPr>
      <w:r>
        <w:t xml:space="preserve">Persson, J. Stocks, G. Varadi [et al.] // Rheumatology (Oxford). – 2020. – Vol. 59, № 9. – P. 2207– 2216.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>Shi C. Multidisciplinary Guidelines for the Rational Use of Topical N</w:t>
      </w:r>
      <w:r>
        <w:t xml:space="preserve">on-Steroidal AntiInflammatory Drugs for Musculoskeletal Pain (2022) / C. Shi, Z. Ye, Z. Shao [et al.] // J. Clin. </w:t>
      </w:r>
    </w:p>
    <w:p w:rsidR="000A3B51" w:rsidRDefault="003D0A08">
      <w:pPr>
        <w:ind w:right="755"/>
      </w:pPr>
      <w:r>
        <w:t xml:space="preserve">Med. – 2023. – Vol. 12, № 4. – Article ID 1544. </w:t>
      </w:r>
    </w:p>
    <w:p w:rsidR="000A3B51" w:rsidRDefault="003D0A08">
      <w:pPr>
        <w:numPr>
          <w:ilvl w:val="0"/>
          <w:numId w:val="28"/>
        </w:numPr>
        <w:spacing w:after="19" w:line="356" w:lineRule="auto"/>
        <w:ind w:right="755" w:hanging="1068"/>
      </w:pPr>
      <w:r>
        <w:t>Wang Y. Relative safety and efficacy of topical and oral NSAIDs in the treatment of osteoart</w:t>
      </w:r>
      <w:r>
        <w:t xml:space="preserve">hritis: A systematic review and meta-analysis / Y. Wang, M. Fan, H. Wang [et al.] // </w:t>
      </w:r>
    </w:p>
    <w:p w:rsidR="000A3B51" w:rsidRDefault="003D0A08">
      <w:pPr>
        <w:ind w:right="755"/>
      </w:pPr>
      <w:r>
        <w:t xml:space="preserve">Medicine. – 2022. – Vol. 101, № 36. – Article ID E30354. </w:t>
      </w:r>
    </w:p>
    <w:p w:rsidR="000A3B51" w:rsidRDefault="003D0A08">
      <w:pPr>
        <w:numPr>
          <w:ilvl w:val="0"/>
          <w:numId w:val="28"/>
        </w:numPr>
        <w:spacing w:after="20" w:line="358" w:lineRule="auto"/>
        <w:ind w:right="755" w:hanging="1068"/>
      </w:pPr>
      <w:r>
        <w:t>Lee J.K. Topical nonsteroidal anti-</w:t>
      </w:r>
      <w:r>
        <w:t xml:space="preserve">inflammatory drugs for management of osteoarthritis pain: A consensus recommendation / J.K. Lee, A.A. Abbas, T.E. Cheah [et al.] // J. Orthop. Res. </w:t>
      </w:r>
    </w:p>
    <w:p w:rsidR="000A3B51" w:rsidRDefault="003D0A08">
      <w:pPr>
        <w:ind w:right="755"/>
      </w:pPr>
      <w:r>
        <w:t xml:space="preserve">– 2023. – Vol. 41, № 9. – P. 1916–1924.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Hagen M. Skin penetration and tissue permeation after topical admi</w:t>
      </w:r>
      <w:r>
        <w:t xml:space="preserve">nistration of diclofenac </w:t>
      </w:r>
    </w:p>
    <w:p w:rsidR="000A3B51" w:rsidRDefault="003D0A08">
      <w:pPr>
        <w:ind w:right="755"/>
      </w:pPr>
      <w:r>
        <w:t xml:space="preserve">/ M. Hagen, M. Baker // Curr. Med. Res. Opin. – 2017. – Vol. 33, № 9. – P. 1623–1634. </w:t>
      </w:r>
    </w:p>
    <w:p w:rsidR="000A3B51" w:rsidRDefault="003D0A08">
      <w:pPr>
        <w:numPr>
          <w:ilvl w:val="0"/>
          <w:numId w:val="28"/>
        </w:numPr>
        <w:spacing w:after="0" w:line="371" w:lineRule="auto"/>
        <w:ind w:right="755" w:hanging="1068"/>
      </w:pPr>
      <w:r>
        <w:t>Figueras A. Spontaneous reporting of adverse drug reactions to non-steroidal antiinflammatory drugs. A report from the Spanish System of Pharma</w:t>
      </w:r>
      <w:r>
        <w:t xml:space="preserve">covigilance, including an early analysis of topical and enteric-coated formulations / A. Figueras, D. Capellà, J.M. Castel [et al.] // Eur. J. Clin. Pharmacol. – 1994. – Vol. 47, № 4. – P. 297–303.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Barkin R.L. Topical Nonsteroidal Anti-Inflammatory Drugs:</w:t>
      </w:r>
      <w:r>
        <w:t xml:space="preserve"> The Importance of Drug, </w:t>
      </w:r>
    </w:p>
    <w:p w:rsidR="000A3B51" w:rsidRDefault="003D0A08">
      <w:pPr>
        <w:spacing w:after="45" w:line="359" w:lineRule="auto"/>
        <w:ind w:right="755"/>
      </w:pPr>
      <w:r>
        <w:t xml:space="preserve">Delivery, and Therapeutic Outcome / R.L. Barkin // Am. J. Ther. – 2015. – Vol. 22, № 5. – P. 388– 407 </w:t>
      </w:r>
    </w:p>
    <w:p w:rsidR="000A3B51" w:rsidRDefault="003D0A08">
      <w:pPr>
        <w:numPr>
          <w:ilvl w:val="0"/>
          <w:numId w:val="28"/>
        </w:numPr>
        <w:spacing w:after="29" w:line="374" w:lineRule="auto"/>
        <w:ind w:right="755" w:hanging="1068"/>
      </w:pPr>
      <w:r>
        <w:t>Каратеев А.Е. Рациональное использование нестероидных противовоспалительных препаратов. Клинические рекомендации / А.Е. Каратее</w:t>
      </w:r>
      <w:r>
        <w:t xml:space="preserve">в, Е.Л. Насонов, В.Т. Ивашкин [и др.] // Научно-практическая ревматология. – 2018. – Т. 56, № 0. – С. 1–29. </w:t>
      </w:r>
    </w:p>
    <w:p w:rsidR="000A3B51" w:rsidRDefault="003D0A08">
      <w:pPr>
        <w:numPr>
          <w:ilvl w:val="0"/>
          <w:numId w:val="28"/>
        </w:numPr>
        <w:spacing w:after="42" w:line="356" w:lineRule="auto"/>
        <w:ind w:right="755" w:hanging="1068"/>
      </w:pPr>
      <w:r>
        <w:t xml:space="preserve">Таскина Е.А. Место нестероидных противовоспалительных препаратов в современных рекомендациях по остеоартриту / Е.А. Таскина, Н.Г. Кашеварова, Л.И. </w:t>
      </w:r>
    </w:p>
    <w:p w:rsidR="000A3B51" w:rsidRDefault="003D0A08">
      <w:pPr>
        <w:spacing w:after="155"/>
        <w:ind w:right="755"/>
      </w:pPr>
      <w:r>
        <w:t xml:space="preserve">Алексеева // Современная ревматология. – 2020. – Т. 14, № 2. – С. 123–130. </w:t>
      </w:r>
    </w:p>
    <w:p w:rsidR="000A3B51" w:rsidRDefault="003D0A08">
      <w:pPr>
        <w:numPr>
          <w:ilvl w:val="0"/>
          <w:numId w:val="28"/>
        </w:numPr>
        <w:spacing w:after="10" w:line="358" w:lineRule="auto"/>
        <w:ind w:right="755" w:hanging="1068"/>
      </w:pPr>
      <w:r>
        <w:t xml:space="preserve">Geenen R. EULAR recommendations for the health professional’s approach to pain management in inflammatory arthritis and osteoarthritis / R. Geenen, C. L. Overman, R. </w:t>
      </w:r>
    </w:p>
    <w:p w:rsidR="000A3B51" w:rsidRDefault="003D0A08">
      <w:pPr>
        <w:ind w:right="755"/>
      </w:pPr>
      <w:r>
        <w:t xml:space="preserve">Christensen </w:t>
      </w:r>
      <w:r>
        <w:t xml:space="preserve">[et al.] // Ann. Rheum. Dis. – 2018. – Vol. 77, № 6. – P. 797–807.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Osani M.C. Duration of symptom relief and early trajectory of adverse events for oral NSAIDs in knee osteoarthritis: a systematic review and meta-analysis / M.C. Osani, E.E. Vaysbrot, </w:t>
      </w:r>
    </w:p>
    <w:p w:rsidR="000A3B51" w:rsidRDefault="003D0A08">
      <w:pPr>
        <w:ind w:right="755"/>
      </w:pPr>
      <w:r>
        <w:t xml:space="preserve">M. Zhou [et al.] // Arthritis Care Res (Hoboken). – 2020. – Vol. 72, № 5. – Article AD 641. </w:t>
      </w:r>
    </w:p>
    <w:p w:rsidR="000A3B51" w:rsidRDefault="003D0A08">
      <w:pPr>
        <w:numPr>
          <w:ilvl w:val="0"/>
          <w:numId w:val="28"/>
        </w:numPr>
        <w:spacing w:line="356" w:lineRule="auto"/>
        <w:ind w:right="755" w:hanging="1068"/>
      </w:pPr>
      <w:r>
        <w:t>Jarupongprapa S. Comparison of gastrointestinal adverse effects between cyclooxygenase2 inhibitors and non-selective, non-steroidal anti-inflammatory drugs plus pr</w:t>
      </w:r>
      <w:r>
        <w:t xml:space="preserve">oton pump inhibitors: </w:t>
      </w:r>
    </w:p>
    <w:p w:rsidR="000A3B51" w:rsidRDefault="003D0A08">
      <w:pPr>
        <w:ind w:right="755"/>
      </w:pPr>
      <w:r>
        <w:t xml:space="preserve">a systematic review and meta-analysis / S. Jarupongprapa, P. Ussavasodhi, W. Katchamart // J. </w:t>
      </w:r>
    </w:p>
    <w:p w:rsidR="000A3B51" w:rsidRDefault="003D0A08">
      <w:pPr>
        <w:ind w:right="755"/>
      </w:pPr>
      <w:r>
        <w:t xml:space="preserve">Gastroenterol. – 2013. – Vol. 48, № 7. – P. 830–838. </w:t>
      </w:r>
    </w:p>
    <w:p w:rsidR="000A3B51" w:rsidRDefault="003D0A08">
      <w:pPr>
        <w:numPr>
          <w:ilvl w:val="0"/>
          <w:numId w:val="28"/>
        </w:numPr>
        <w:spacing w:after="0" w:line="362" w:lineRule="auto"/>
        <w:ind w:right="755" w:hanging="1068"/>
      </w:pPr>
      <w:r>
        <w:t>Trelle S. Cardiovascular safety of non-steroidal anti-inflammatory drugs: network me</w:t>
      </w:r>
      <w:r>
        <w:t xml:space="preserve">taanalysis / S. Trelle, S. Reichenbach, S. Wandel [et al.] // BMJ. – 2011. – Vol. 342, № 7789. – Article AD 154.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Grosser T. The cardiovascular pharmacology of nonsteroidal anti-inflammatory drugs / T. </w:t>
      </w:r>
    </w:p>
    <w:p w:rsidR="000A3B51" w:rsidRDefault="003D0A08">
      <w:pPr>
        <w:spacing w:after="1" w:line="358" w:lineRule="auto"/>
        <w:ind w:right="755"/>
      </w:pPr>
      <w:r>
        <w:t>Grosser, E. Ricciotti, G.A. FitzGerald // Trends Phar</w:t>
      </w:r>
      <w:r>
        <w:t xml:space="preserve">macol Sci. – 2017. – Vol. 38, № 8. – P. 733– 748.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Richard M.J. Pharmaceutical treatment of osteoarthritis / M.J. Richard, J.B. Driban, T.E. </w:t>
      </w:r>
    </w:p>
    <w:p w:rsidR="000A3B51" w:rsidRDefault="003D0A08">
      <w:pPr>
        <w:ind w:right="755"/>
      </w:pPr>
      <w:r>
        <w:t xml:space="preserve">McAlindon // Osteoarthritis Cartilage. – 2023. – Vol. 31, № 4. – P. 458–466. </w:t>
      </w:r>
    </w:p>
    <w:p w:rsidR="000A3B51" w:rsidRDefault="003D0A08">
      <w:pPr>
        <w:numPr>
          <w:ilvl w:val="0"/>
          <w:numId w:val="28"/>
        </w:numPr>
        <w:spacing w:after="9" w:line="359" w:lineRule="auto"/>
        <w:ind w:right="755" w:hanging="1068"/>
      </w:pPr>
      <w:r>
        <w:t xml:space="preserve">Leopoldino A.O. Paracetamol versus placebo for knee and hip osteoarthritis / A.O. Leopoldino, G.C. MacHado, P.H. Ferreira [et al.] // Cochrane Database Syst Rev. – 2019. – Vol. </w:t>
      </w:r>
    </w:p>
    <w:p w:rsidR="000A3B51" w:rsidRDefault="003D0A08">
      <w:pPr>
        <w:ind w:right="755"/>
      </w:pPr>
      <w:r>
        <w:t xml:space="preserve">2, № 2. – Article AD CD013273. </w:t>
      </w:r>
    </w:p>
    <w:p w:rsidR="000A3B51" w:rsidRDefault="003D0A08">
      <w:pPr>
        <w:numPr>
          <w:ilvl w:val="0"/>
          <w:numId w:val="28"/>
        </w:numPr>
        <w:spacing w:after="13" w:line="357" w:lineRule="auto"/>
        <w:ind w:right="755" w:hanging="1068"/>
      </w:pPr>
      <w:r>
        <w:t>Zeng C. Comparative efficacy and safety of ace</w:t>
      </w:r>
      <w:r>
        <w:t xml:space="preserve">taminophen, topical and oral non-steroidal anti-inflammatory drugs for knee osteoarthritis: evidence from a network meta-analysis of randomized controlled trials and real-world data / C. Zeng, M. Doherty, M.S.M. Persson [et al.] // </w:t>
      </w:r>
    </w:p>
    <w:p w:rsidR="000A3B51" w:rsidRDefault="003D0A08">
      <w:pPr>
        <w:ind w:right="755"/>
      </w:pPr>
      <w:r>
        <w:t>Osteoarthritis Cartilag</w:t>
      </w:r>
      <w:r>
        <w:t xml:space="preserve">e. – 2021. – Vol. 29, № 9. – P. 1242–1251. </w:t>
      </w:r>
    </w:p>
    <w:p w:rsidR="000A3B51" w:rsidRDefault="003D0A08">
      <w:pPr>
        <w:numPr>
          <w:ilvl w:val="0"/>
          <w:numId w:val="28"/>
        </w:numPr>
        <w:spacing w:after="5" w:line="357" w:lineRule="auto"/>
        <w:ind w:right="755" w:hanging="1068"/>
      </w:pPr>
      <w:r>
        <w:t xml:space="preserve">Moretti A. The challenge of pharmacotherapy for musculoskeletal pain: an overview of unmet needs / A. Moretti, F. Snichelotto, S. Liguori [et al.] // Ther Adv Musculoskelet Dis. – 2024. </w:t>
      </w:r>
    </w:p>
    <w:p w:rsidR="000A3B51" w:rsidRDefault="003D0A08">
      <w:pPr>
        <w:ind w:right="755"/>
      </w:pPr>
      <w:r>
        <w:t xml:space="preserve">– Vol. 16. – </w:t>
      </w:r>
      <w:r>
        <w:t xml:space="preserve">Article ID 1759720X241253656.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Machado G.C. Efficacy and safety of paracetamol for spinal pain and osteoarthritis: </w:t>
      </w:r>
    </w:p>
    <w:p w:rsidR="000A3B51" w:rsidRDefault="003D0A08">
      <w:pPr>
        <w:spacing w:after="3" w:line="358" w:lineRule="auto"/>
        <w:ind w:right="755"/>
      </w:pPr>
      <w:r>
        <w:t>systematic review and meta-analysis of randomised placebo controlled trials / G.C. Machado, C.G. Maher, P.H. Ferreira [et al.] // BMJ. – 201</w:t>
      </w:r>
      <w:r>
        <w:t xml:space="preserve">5. – Vol. 350. – Article ID h1225. </w:t>
      </w:r>
    </w:p>
    <w:p w:rsidR="000A3B51" w:rsidRDefault="003D0A08">
      <w:pPr>
        <w:numPr>
          <w:ilvl w:val="0"/>
          <w:numId w:val="28"/>
        </w:numPr>
        <w:spacing w:after="29" w:line="357" w:lineRule="auto"/>
        <w:ind w:right="755" w:hanging="1068"/>
      </w:pPr>
      <w:r>
        <w:t xml:space="preserve">Roberts E. Paracetamol: not as safe as we thought? A systematic literature review of observational studies / E. Roberts, V.D. Nunes, S. Buckner [et al.] // Ann Rheum Dis. – 2016. – </w:t>
      </w:r>
    </w:p>
    <w:p w:rsidR="000A3B51" w:rsidRDefault="003D0A08">
      <w:pPr>
        <w:ind w:right="755"/>
      </w:pPr>
      <w:r>
        <w:t xml:space="preserve">Vol. 75, № 3. – P. 552–559. </w:t>
      </w:r>
    </w:p>
    <w:p w:rsidR="000A3B51" w:rsidRDefault="003D0A08">
      <w:pPr>
        <w:numPr>
          <w:ilvl w:val="0"/>
          <w:numId w:val="28"/>
        </w:numPr>
        <w:spacing w:after="16" w:line="358" w:lineRule="auto"/>
        <w:ind w:right="755" w:hanging="1068"/>
      </w:pPr>
      <w:r>
        <w:t xml:space="preserve">da Costa </w:t>
      </w:r>
      <w:r>
        <w:t xml:space="preserve">B.R. Effectiveness of non-steroidal anti-inflammatory drugs for the treatment of pain in knee and hip osteoarthritis: a network meta-analysis / B.R. da Costa, S. Reichenbach, N. </w:t>
      </w:r>
    </w:p>
    <w:p w:rsidR="000A3B51" w:rsidRDefault="003D0A08">
      <w:pPr>
        <w:ind w:right="755"/>
      </w:pPr>
      <w:r>
        <w:t xml:space="preserve">Keller [et al.] // Lancet. – 2017. – Vol. 390, № 10090. – P. e21–e33. </w:t>
      </w:r>
    </w:p>
    <w:p w:rsidR="000A3B51" w:rsidRDefault="003D0A08">
      <w:pPr>
        <w:numPr>
          <w:ilvl w:val="0"/>
          <w:numId w:val="28"/>
        </w:numPr>
        <w:spacing w:line="365" w:lineRule="auto"/>
        <w:ind w:right="755" w:hanging="1068"/>
      </w:pPr>
      <w:r>
        <w:t>Bliede</w:t>
      </w:r>
      <w:r>
        <w:t xml:space="preserve">n M. A perspective on the epidemiology of acetaminophen exposure and toxicity in the United States / M. Blieden, L.C. Paramore, D. Shah, R. Ben-Joseph // Expert Rev Clin Pharmacol. – 2014. – Vol. 7, № 3. – P. 341–348.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Conaghan P.G. Safety of Paracetamol i</w:t>
      </w:r>
      <w:r>
        <w:t xml:space="preserve">n Osteoarthritis: What Does the Literature Say? / </w:t>
      </w:r>
    </w:p>
    <w:p w:rsidR="000A3B51" w:rsidRDefault="003D0A08">
      <w:pPr>
        <w:ind w:right="755"/>
      </w:pPr>
      <w:r>
        <w:t xml:space="preserve">P.G. Conaghan, N. Arden, B. Avouac [et al.] // Drugs Aging. – 2019. – Vol. 36, № Suppl 1. – P. </w:t>
      </w:r>
    </w:p>
    <w:p w:rsidR="000A3B51" w:rsidRDefault="003D0A08">
      <w:pPr>
        <w:ind w:right="755"/>
      </w:pPr>
      <w:r>
        <w:t xml:space="preserve">7–14. </w:t>
      </w:r>
    </w:p>
    <w:p w:rsidR="000A3B51" w:rsidRDefault="003D0A08">
      <w:pPr>
        <w:numPr>
          <w:ilvl w:val="0"/>
          <w:numId w:val="28"/>
        </w:numPr>
        <w:spacing w:after="40" w:line="357" w:lineRule="auto"/>
        <w:ind w:right="755" w:hanging="1068"/>
      </w:pPr>
      <w:r>
        <w:t>American Academy of Orthopaedic Surgeons. Quality ID #109: Osteoarthritis (OA): Function and Pain Asse</w:t>
      </w:r>
      <w:r>
        <w:t>ssment—National Quality Strategy Domain: Person and Caregiver-</w:t>
      </w:r>
    </w:p>
    <w:p w:rsidR="000A3B51" w:rsidRDefault="003D0A08">
      <w:pPr>
        <w:tabs>
          <w:tab w:val="center" w:pos="792"/>
          <w:tab w:val="center" w:pos="2037"/>
          <w:tab w:val="center" w:pos="3025"/>
          <w:tab w:val="center" w:pos="3958"/>
          <w:tab w:val="center" w:pos="5456"/>
          <w:tab w:val="center" w:pos="6876"/>
          <w:tab w:val="center" w:pos="7624"/>
          <w:tab w:val="center" w:pos="8228"/>
          <w:tab w:val="center" w:pos="8831"/>
          <w:tab w:val="center" w:pos="9439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Centered </w:t>
      </w:r>
      <w:r>
        <w:tab/>
        <w:t xml:space="preserve">Experience </w:t>
      </w:r>
      <w:r>
        <w:tab/>
        <w:t xml:space="preserve">and </w:t>
      </w:r>
      <w:r>
        <w:tab/>
        <w:t xml:space="preserve">Outcomes </w:t>
      </w:r>
      <w:r>
        <w:tab/>
        <w:t xml:space="preserve">[Электронный </w:t>
      </w:r>
      <w:r>
        <w:tab/>
        <w:t xml:space="preserve">ресурс]. </w:t>
      </w:r>
      <w:r>
        <w:tab/>
        <w:t xml:space="preserve">– </w:t>
      </w:r>
      <w:r>
        <w:tab/>
        <w:t xml:space="preserve">2025. </w:t>
      </w:r>
      <w:r>
        <w:tab/>
        <w:t xml:space="preserve">– </w:t>
      </w:r>
      <w:r>
        <w:tab/>
        <w:t xml:space="preserve">URL: </w:t>
      </w:r>
    </w:p>
    <w:p w:rsidR="000A3B51" w:rsidRDefault="003D0A08">
      <w:pPr>
        <w:spacing w:after="0" w:line="388" w:lineRule="auto"/>
        <w:ind w:right="755"/>
      </w:pPr>
      <w:r>
        <w:t>https://www.aaos.org/globalassets/quality-and-practice-resources/osteoarthritis-of-thehip/measure-109-</w:t>
      </w:r>
      <w:r>
        <w:t xml:space="preserve">specifications.pdf (дата обращения: 06.03.2025). </w:t>
      </w:r>
    </w:p>
    <w:p w:rsidR="000A3B51" w:rsidRDefault="003D0A08">
      <w:pPr>
        <w:numPr>
          <w:ilvl w:val="0"/>
          <w:numId w:val="28"/>
        </w:numPr>
        <w:spacing w:after="0" w:line="369" w:lineRule="auto"/>
        <w:ind w:right="755" w:hanging="1068"/>
      </w:pPr>
      <w:r>
        <w:t xml:space="preserve">Food and Drug Administration. Acetaminophen Label [Электронный ресурс]. – 2022. – URL: www.fda.gov/medwatch (дата обращения: 06.03.2025).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Hunter D.J. Osteoarthritis: Yet another death knell for paracetamol</w:t>
      </w:r>
      <w:r>
        <w:t xml:space="preserve"> in OA / D.J. Hunter, </w:t>
      </w:r>
    </w:p>
    <w:p w:rsidR="000A3B51" w:rsidRDefault="003D0A08">
      <w:pPr>
        <w:ind w:right="755"/>
      </w:pPr>
      <w:r>
        <w:t xml:space="preserve">M.L. Ferreira // Nat Rev Rheumatol. – 2016. – Vol. 12, № 6. – P. 320-321.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>Doherty M. A randomised controlled trial of ibuprofen, paracetamol or a combination tablet of ibuprofen/paracetamol in community-derived people with knee pain</w:t>
      </w:r>
      <w:r>
        <w:t xml:space="preserve"> / M. Doherty, C. Hawkey, M. Goulder [et al.] // Ann Rheum Dis. – 2011. – Vol. 70, № 9. – P. 1534–1541. </w:t>
      </w:r>
    </w:p>
    <w:p w:rsidR="000A3B51" w:rsidRDefault="003D0A08">
      <w:pPr>
        <w:numPr>
          <w:ilvl w:val="0"/>
          <w:numId w:val="28"/>
        </w:numPr>
        <w:spacing w:after="15" w:line="356" w:lineRule="auto"/>
        <w:ind w:right="755" w:hanging="1068"/>
      </w:pPr>
      <w:r>
        <w:t>Rahme E. Hospitalizations for upper and lower GI events associated with traditional NSAIDs and acetaminophen among the elderly in Quebec, Canada / E. R</w:t>
      </w:r>
      <w:r>
        <w:t xml:space="preserve">ahme, A. Barkun, H. </w:t>
      </w:r>
    </w:p>
    <w:p w:rsidR="000A3B51" w:rsidRDefault="003D0A08">
      <w:pPr>
        <w:ind w:right="755"/>
      </w:pPr>
      <w:r>
        <w:t xml:space="preserve">Nedjar [et al.] // Am J Gastroenterol. – 2008. – Vol. 103, № 4. – P. 872–882.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Curhan G.C. Lifetime nonnarcotic analgesic use and decline in renal function in women / </w:t>
      </w:r>
    </w:p>
    <w:p w:rsidR="000A3B51" w:rsidRDefault="003D0A08">
      <w:pPr>
        <w:ind w:right="755"/>
      </w:pPr>
      <w:r>
        <w:t xml:space="preserve">G.C. Curhan, E.L. Knight, B. Rosner [et al.] // Arch Intern Med. – </w:t>
      </w:r>
      <w:r>
        <w:t xml:space="preserve">2004. – Vol. 164, № 14. – P. </w:t>
      </w:r>
    </w:p>
    <w:p w:rsidR="000A3B51" w:rsidRDefault="003D0A08">
      <w:pPr>
        <w:ind w:right="755"/>
      </w:pPr>
      <w:r>
        <w:t xml:space="preserve">1519–1524.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Curhan G.C. Frequency of analgesic use and risk of hypertension in younger women / G.C. </w:t>
      </w:r>
    </w:p>
    <w:p w:rsidR="000A3B51" w:rsidRDefault="003D0A08">
      <w:pPr>
        <w:spacing w:after="1" w:line="358" w:lineRule="auto"/>
        <w:ind w:right="755"/>
      </w:pPr>
      <w:r>
        <w:t xml:space="preserve">Curhan, W.C. Willett, B. Rosner [et al.] // Arch Intern Med. – 2002. – Vol. 162, № 19. – P. 2204– 2208. </w:t>
      </w:r>
    </w:p>
    <w:p w:rsidR="000A3B51" w:rsidRDefault="003D0A08">
      <w:pPr>
        <w:numPr>
          <w:ilvl w:val="0"/>
          <w:numId w:val="28"/>
        </w:numPr>
        <w:spacing w:after="9" w:line="358" w:lineRule="auto"/>
        <w:ind w:right="755" w:hanging="1068"/>
      </w:pPr>
      <w:r>
        <w:t xml:space="preserve">Zhang X. Efficacy and Safety of Tramadol for Knee or Hip Osteoarthritis: A Systematic Review and Network Meta-Analysis of Randomized Controlled Trials / X. Zhang, X. Li, Y. Xiong </w:t>
      </w:r>
    </w:p>
    <w:p w:rsidR="000A3B51" w:rsidRDefault="003D0A08">
      <w:pPr>
        <w:ind w:right="755"/>
      </w:pPr>
      <w:r>
        <w:t>[et al.] // Arthritis Care Res (Hoboken). – 2023. – Vol. 75, № 1. – P. 158–1</w:t>
      </w:r>
      <w:r>
        <w:t xml:space="preserve">65.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April K.T. Tramadol for osteoarthritis / K.T. April, J. Bisaillon, V. Welch [et al.] // </w:t>
      </w:r>
    </w:p>
    <w:p w:rsidR="000A3B51" w:rsidRDefault="003D0A08">
      <w:pPr>
        <w:ind w:right="755"/>
      </w:pPr>
      <w:r>
        <w:t xml:space="preserve">Cochrane Database Syst Rev. – 2019. – Vol. 5, № 5. – Article ID CD005522.PUB3.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Busse J.W. Opioids for Chronic Noncancer Pain: A Systematic Review and Meta-analys</w:t>
      </w:r>
      <w:r>
        <w:t xml:space="preserve">is </w:t>
      </w:r>
    </w:p>
    <w:p w:rsidR="000A3B51" w:rsidRDefault="003D0A08">
      <w:pPr>
        <w:spacing w:after="1" w:line="358" w:lineRule="auto"/>
        <w:ind w:right="755"/>
      </w:pPr>
      <w:r>
        <w:t xml:space="preserve">/ J.W. Busse, L. Wang, M. Kamaleldin [et al.] // JAMA. – 2018. – Vol. 320, № 23. – P. 2448– 2460. </w:t>
      </w:r>
    </w:p>
    <w:p w:rsidR="000A3B51" w:rsidRDefault="003D0A08">
      <w:pPr>
        <w:numPr>
          <w:ilvl w:val="0"/>
          <w:numId w:val="28"/>
        </w:numPr>
        <w:spacing w:line="368" w:lineRule="auto"/>
        <w:ind w:right="755" w:hanging="1068"/>
      </w:pPr>
      <w:r>
        <w:t>Nicholas E. Non-operative Treatment Options for Osteoarthritis in the Hip / E. Nicholas, J. Cheng, P.J. Moley // HSS J. – 2023. – Vol. 19, № 4. – P. 486–</w:t>
      </w:r>
      <w:r>
        <w:t xml:space="preserve">493.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 xml:space="preserve">Zeng C. Association of Tramadol With All-Cause Mortality Among Patients With Osteoarthritis / C. Zeng, M. Dubreuil, M.R. Larochelle [et al.] // JAMA. – 2019. – Vol. 321, № 10. – P. 969–982.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>Li L. Association of tramadol with all-cause mortality, car</w:t>
      </w:r>
      <w:r>
        <w:t xml:space="preserve">diovascular diseases, venous thromboembolism, and hip fractures among patients with osteoarthritis: a population-based study </w:t>
      </w:r>
    </w:p>
    <w:p w:rsidR="000A3B51" w:rsidRDefault="003D0A08">
      <w:pPr>
        <w:ind w:right="755"/>
      </w:pPr>
      <w:r>
        <w:t xml:space="preserve">/ L. Li, S. Marozoff, N. Lu [et al.] // Arthritis Res Ther. – 2022. – Vol. 24, № 1.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Rahimi H.R. Acute tramadol poisoning and its </w:t>
      </w:r>
      <w:r>
        <w:t xml:space="preserve">clinical and laboratory findings / H.R. </w:t>
      </w:r>
    </w:p>
    <w:p w:rsidR="000A3B51" w:rsidRDefault="003D0A08">
      <w:pPr>
        <w:ind w:right="755"/>
      </w:pPr>
      <w:r>
        <w:t xml:space="preserve">Rahimi, K. Soltaninejad, S. Shadnia // J Res Med Sci. – 2014. – Vol. 19, № 9. – P. 855–859.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>Nakhaee S. A review on tramadol toxicity: mechanism of action, clinical presentation, and treatment / S. Nakhaee, C. Hoyte</w:t>
      </w:r>
      <w:r>
        <w:t xml:space="preserve">, R.C. Dart [et al.] // Forensic Toxicol. – 2021. – Vol. 39. – P. 293–310.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Beakley B.D. Tramadol, Pharmacology, Side Effects, and Serotonin Syndrome: A Review </w:t>
      </w:r>
    </w:p>
    <w:p w:rsidR="000A3B51" w:rsidRDefault="003D0A08">
      <w:pPr>
        <w:ind w:right="755"/>
      </w:pPr>
      <w:r>
        <w:t xml:space="preserve">/ B.D. Beakley, K.A. Kaye, R.D. Kaye // Pain Physician. – 2015. – Vol. 18, № 4. – P. 395–400. </w:t>
      </w:r>
    </w:p>
    <w:p w:rsidR="000A3B51" w:rsidRDefault="003D0A08">
      <w:pPr>
        <w:numPr>
          <w:ilvl w:val="0"/>
          <w:numId w:val="28"/>
        </w:numPr>
        <w:spacing w:after="25" w:line="356" w:lineRule="auto"/>
        <w:ind w:right="755" w:hanging="1068"/>
      </w:pPr>
      <w:r>
        <w:t xml:space="preserve">Narayan S.W. Efficacy and safety of antidepressants for pain in older adults: A systematic review and meta-analysis / S.W. Narayan, V. Naganathan, L. Vizza [et al.] // Br J Clin Pharmacol. </w:t>
      </w:r>
    </w:p>
    <w:p w:rsidR="000A3B51" w:rsidRDefault="003D0A08">
      <w:pPr>
        <w:ind w:right="755"/>
      </w:pPr>
      <w:r>
        <w:t xml:space="preserve">– 2024. – Vol. 90, № 12. – P. 3097–3118.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Leaney A.A. Antidepressants for hip and knee osteoarthritis / A.A. Leaney, J.R. Lyttle, J. </w:t>
      </w:r>
    </w:p>
    <w:p w:rsidR="000A3B51" w:rsidRDefault="003D0A08">
      <w:pPr>
        <w:ind w:right="755"/>
      </w:pPr>
      <w:r>
        <w:t xml:space="preserve">Segan [et al.] // Cochrane Database Syst Rev. – 2022. – Vol. 10, № 10. – Article ID CD012157. </w:t>
      </w:r>
    </w:p>
    <w:p w:rsidR="000A3B51" w:rsidRDefault="003D0A08">
      <w:pPr>
        <w:numPr>
          <w:ilvl w:val="0"/>
          <w:numId w:val="28"/>
        </w:numPr>
        <w:spacing w:after="2" w:line="360" w:lineRule="auto"/>
        <w:ind w:right="755" w:hanging="1068"/>
      </w:pPr>
      <w:r>
        <w:t>Uchio Y. A randomized, double-blind, placebo-controlled Phase III tri</w:t>
      </w:r>
      <w:r>
        <w:t xml:space="preserve">al of duloxetine in Japanese patients with knee pain due to osteoarthritis / Y. Uchio, H. Enomoto, L. Alev [et al.] // J Pain Res. – 2018. – Vol. 11. – P. 809–821. </w:t>
      </w:r>
    </w:p>
    <w:p w:rsidR="000A3B51" w:rsidRDefault="003D0A08">
      <w:pPr>
        <w:numPr>
          <w:ilvl w:val="0"/>
          <w:numId w:val="28"/>
        </w:numPr>
        <w:spacing w:after="13" w:line="356" w:lineRule="auto"/>
        <w:ind w:right="755" w:hanging="1068"/>
      </w:pPr>
      <w:r>
        <w:t>Risser R.C. Responsiveness of the Intermittent and Constant Osteoarthritis Pain (ICOAP) sca</w:t>
      </w:r>
      <w:r>
        <w:t xml:space="preserve">le in a trial of duloxetine for treatment of osteoarthritis knee pain / R.C. Risser, M.C. Hochberg, </w:t>
      </w:r>
    </w:p>
    <w:p w:rsidR="000A3B51" w:rsidRDefault="003D0A08">
      <w:pPr>
        <w:ind w:right="755"/>
      </w:pPr>
      <w:r>
        <w:t xml:space="preserve">P.J. Gaynor [et al.] // Osteoarthritis Cartilage. – 2013. – Vol. 21, № 5. – P. 691–694.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 xml:space="preserve">Osani M.C. Efficacy and safety of duloxetine in osteoarthritis: a </w:t>
      </w:r>
      <w:r>
        <w:t xml:space="preserve">systematic review and meta-analysis / M.C. Osani, R.R. Bannuru // Korean J Intern Med. – 2019. – Vol. 34, № 5. – P. </w:t>
      </w:r>
    </w:p>
    <w:p w:rsidR="000A3B51" w:rsidRDefault="003D0A08">
      <w:pPr>
        <w:ind w:right="755"/>
      </w:pPr>
      <w:r>
        <w:t xml:space="preserve">966–973.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>Gao S.H. The short-term effect and safety of duloxetine in osteoarthritis: A systematic review and meta-analysis / S.H. Gao, J. B</w:t>
      </w:r>
      <w:r>
        <w:t xml:space="preserve">in Huo, Q.M. Pan [et al.] // Medicine. – 2019. – Vol. 98, </w:t>
      </w:r>
    </w:p>
    <w:p w:rsidR="000A3B51" w:rsidRDefault="003D0A08">
      <w:pPr>
        <w:ind w:right="755"/>
      </w:pPr>
      <w:r>
        <w:t xml:space="preserve">№ 44. – Article ID 17541. </w:t>
      </w:r>
    </w:p>
    <w:p w:rsidR="000A3B51" w:rsidRDefault="003D0A08">
      <w:pPr>
        <w:numPr>
          <w:ilvl w:val="0"/>
          <w:numId w:val="28"/>
        </w:numPr>
        <w:spacing w:after="21" w:line="358" w:lineRule="auto"/>
        <w:ind w:right="755" w:hanging="1068"/>
      </w:pPr>
      <w:r>
        <w:t>Weng C. Efficacy and safety of duloxetine in osteoarthritis or chronic low back pain: a systematic review and meta-analysis / C. Weng, J. Xu, Q. Wang [et al.] // Osteoart</w:t>
      </w:r>
      <w:r>
        <w:t xml:space="preserve">hritis Cartilage. </w:t>
      </w:r>
    </w:p>
    <w:p w:rsidR="000A3B51" w:rsidRDefault="003D0A08">
      <w:pPr>
        <w:ind w:right="755"/>
      </w:pPr>
      <w:r>
        <w:t xml:space="preserve">– 2020. – Vol. 28, № 6. – P. 721–734. </w:t>
      </w:r>
    </w:p>
    <w:p w:rsidR="000A3B51" w:rsidRDefault="003D0A08">
      <w:pPr>
        <w:numPr>
          <w:ilvl w:val="0"/>
          <w:numId w:val="28"/>
        </w:numPr>
        <w:spacing w:after="37" w:line="365" w:lineRule="auto"/>
        <w:ind w:right="755" w:hanging="1068"/>
      </w:pPr>
      <w:r>
        <w:t>Pergolizzi J.V. A review of duloxetine 60 mg once-</w:t>
      </w:r>
      <w:r>
        <w:t>daily dosing for the management of diabetic peripheral neuropathic pain, fibromyalgia, and chronic musculoskeletal pain due to chronic osteoarthritis pain and low back pain / J.V. Pergolizzi, R.B. Raffa, R. Taylor [et al.] // Pain Pract. – 2013. – Vol. 13,</w:t>
      </w:r>
      <w:r>
        <w:t xml:space="preserve"> № 3. – P. 239–252. </w:t>
      </w:r>
    </w:p>
    <w:p w:rsidR="000A3B51" w:rsidRDefault="003D0A08">
      <w:pPr>
        <w:numPr>
          <w:ilvl w:val="0"/>
          <w:numId w:val="28"/>
        </w:numPr>
        <w:spacing w:after="0" w:line="367" w:lineRule="auto"/>
        <w:ind w:right="755" w:hanging="1068"/>
      </w:pPr>
      <w:r>
        <w:t>Филатова Е.С. Эффективность и безопасность комбинированной терапии ацеклофенаком и прегабалином хронического болевого синдрома у пациентов с остеоартритом коленных суставов / Е.С. Филатова, Л.И. Алексеева, Е.А. Таскина [и др.] // Фарма</w:t>
      </w:r>
      <w:r>
        <w:t xml:space="preserve">тека. – 2020. – С. 101–107.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Wiffen P.J. Gabapentin for chronic neuropathic pain in adults / P.J. Wiffen, S. Derry, R.F. </w:t>
      </w:r>
    </w:p>
    <w:p w:rsidR="000A3B51" w:rsidRDefault="003D0A08">
      <w:pPr>
        <w:ind w:right="755"/>
      </w:pPr>
      <w:r>
        <w:t xml:space="preserve">Bell [et al.] // Cochrane Database Syst Rev. – 2017. – Vol. 6, № 6. – Article ID CD007938. </w:t>
      </w:r>
    </w:p>
    <w:p w:rsidR="000A3B51" w:rsidRDefault="003D0A08">
      <w:pPr>
        <w:numPr>
          <w:ilvl w:val="0"/>
          <w:numId w:val="28"/>
        </w:numPr>
        <w:spacing w:after="41" w:line="364" w:lineRule="auto"/>
        <w:ind w:right="755" w:hanging="1068"/>
      </w:pPr>
      <w:r>
        <w:t>Enteshari-Moghaddam A. Efficacy of duloxet</w:t>
      </w:r>
      <w:r>
        <w:t xml:space="preserve">ine and gabapentin in pain reduction in patients with knee osteoarthritis / A. Enteshari-Moghaddam, A. Azami, K. Isazadehfar [et al.] // Clin Rheumatol. – 2019. – Vol. 38, № 10. – P. 2873–2880. </w:t>
      </w:r>
    </w:p>
    <w:p w:rsidR="000A3B51" w:rsidRDefault="003D0A08">
      <w:pPr>
        <w:numPr>
          <w:ilvl w:val="0"/>
          <w:numId w:val="28"/>
        </w:numPr>
        <w:spacing w:after="25" w:line="374" w:lineRule="auto"/>
        <w:ind w:right="755" w:hanging="1068"/>
      </w:pPr>
      <w:r>
        <w:t>Филатова, Е. С. Нейрогенные механизмы хронической суставной б</w:t>
      </w:r>
      <w:r>
        <w:t xml:space="preserve">оли: дис. д-ра мед. наук: 14.01.11 – Нервные болезни и 3.1.27 (14.01.22) – Ревматология / Е. С. Филатова; ФГАОУ ВО Первый Московский государственный медицинский университет имени И. М. </w:t>
      </w:r>
    </w:p>
    <w:p w:rsidR="000A3B51" w:rsidRDefault="003D0A08">
      <w:pPr>
        <w:ind w:right="755"/>
      </w:pPr>
      <w:r>
        <w:t xml:space="preserve">Сеченова. – Москва, 2021.  </w:t>
      </w:r>
    </w:p>
    <w:p w:rsidR="000A3B51" w:rsidRDefault="003D0A08">
      <w:pPr>
        <w:numPr>
          <w:ilvl w:val="0"/>
          <w:numId w:val="28"/>
        </w:numPr>
        <w:spacing w:after="15" w:line="356" w:lineRule="auto"/>
        <w:ind w:right="755" w:hanging="1068"/>
      </w:pPr>
      <w:r>
        <w:t>Van Den Driest J.J. Antidepressant and ant</w:t>
      </w:r>
      <w:r>
        <w:t xml:space="preserve">iconvulsant prescription rates in patients with osteoarthritis: a population-based cohort study / J.J. Van Den Driest, D. Schiphof, M. De Wilde </w:t>
      </w:r>
    </w:p>
    <w:p w:rsidR="000A3B51" w:rsidRDefault="003D0A08">
      <w:pPr>
        <w:ind w:right="755"/>
      </w:pPr>
      <w:r>
        <w:t xml:space="preserve">[et al.] // Rheumatology (Oxford). – 2021. – Vol. 60, № 5. – P. 2206–2216.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>Ohtori S. Efficacy of combination o</w:t>
      </w:r>
      <w:r>
        <w:t xml:space="preserve">f meloxicam and pregabalin for pain in knee osteoarthritis / S. Ohtori, G. Inoue, S. Orita [et al.] // Yonsei Med J. – 2013. – Vol. 54, № 5. – P. </w:t>
      </w:r>
    </w:p>
    <w:p w:rsidR="000A3B51" w:rsidRDefault="003D0A08">
      <w:pPr>
        <w:ind w:right="755"/>
      </w:pPr>
      <w:r>
        <w:t xml:space="preserve">1253–1258. </w:t>
      </w:r>
    </w:p>
    <w:p w:rsidR="000A3B51" w:rsidRDefault="003D0A08">
      <w:pPr>
        <w:numPr>
          <w:ilvl w:val="0"/>
          <w:numId w:val="28"/>
        </w:numPr>
        <w:spacing w:after="0" w:line="359" w:lineRule="auto"/>
        <w:ind w:right="755" w:hanging="1068"/>
      </w:pPr>
      <w:r>
        <w:t>Sofat N. The effect of pregabalin or duloxetine on arthritis pain: a clinical and mechanistic stu</w:t>
      </w:r>
      <w:r>
        <w:t xml:space="preserve">dy in people with hand osteoarthritis / N. Sofat, A. Harrison, M.D. Russell [et al.] // J Pain Res. – 2017. – Vol. 10. – P. 2437-2449.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 xml:space="preserve">Shaheen A. Clinical efficacy and tolerability of Gabapentinoids with current prescription patterns in patients with Neuropathic pain / A. Shaheen, S.M. Alam, A. Ahmad [et al.] // Pak J </w:t>
      </w:r>
    </w:p>
    <w:p w:rsidR="000A3B51" w:rsidRDefault="003D0A08">
      <w:pPr>
        <w:ind w:right="755"/>
      </w:pPr>
      <w:r>
        <w:t xml:space="preserve">Med Sci. – 2019. – Vol. 35, № 6. – P. 1505-1510. </w:t>
      </w:r>
    </w:p>
    <w:p w:rsidR="000A3B51" w:rsidRDefault="003D0A08">
      <w:pPr>
        <w:numPr>
          <w:ilvl w:val="0"/>
          <w:numId w:val="28"/>
        </w:numPr>
        <w:spacing w:after="22" w:line="356" w:lineRule="auto"/>
        <w:ind w:right="755" w:hanging="1068"/>
      </w:pPr>
      <w:r>
        <w:t>Molero Y. Associatio</w:t>
      </w:r>
      <w:r>
        <w:t xml:space="preserve">ns between gabapentinoids and suicidal behaviour, unintentional overdoses, injuries, road traffic incidents, and violent crime: population based cohort study in </w:t>
      </w:r>
    </w:p>
    <w:p w:rsidR="000A3B51" w:rsidRDefault="003D0A08">
      <w:pPr>
        <w:spacing w:line="356" w:lineRule="auto"/>
        <w:ind w:right="755"/>
      </w:pPr>
      <w:r>
        <w:t xml:space="preserve">Sweden / Y. Molero, H. Larsson, B.M. D’Onofrio [et al.] // BMJ. – 2019. – Vol. 365. – Article </w:t>
      </w:r>
      <w:r>
        <w:t xml:space="preserve">ID L2147. </w:t>
      </w:r>
    </w:p>
    <w:p w:rsidR="000A3B51" w:rsidRDefault="003D0A08">
      <w:pPr>
        <w:numPr>
          <w:ilvl w:val="0"/>
          <w:numId w:val="28"/>
        </w:numPr>
        <w:spacing w:after="0" w:line="386" w:lineRule="auto"/>
        <w:ind w:right="755" w:hanging="1068"/>
      </w:pPr>
      <w:r>
        <w:t xml:space="preserve">FDA. Full Prescribing Information: Neurontin (gabapentin) [Электронный ресурс] // </w:t>
      </w:r>
      <w:hyperlink r:id="rId37">
        <w:r>
          <w:rPr>
            <w:color w:val="0000FF"/>
            <w:u w:val="single" w:color="0000FF"/>
          </w:rPr>
          <w:t>www.fda.gov/medwatch</w:t>
        </w:r>
      </w:hyperlink>
      <w:hyperlink r:id="rId38">
        <w:r>
          <w:t xml:space="preserve"> </w:t>
        </w:r>
      </w:hyperlink>
      <w:r>
        <w:t xml:space="preserve">(дата обращения: 06.03.2025).  </w:t>
      </w:r>
    </w:p>
    <w:p w:rsidR="000A3B51" w:rsidRDefault="003D0A08">
      <w:pPr>
        <w:numPr>
          <w:ilvl w:val="0"/>
          <w:numId w:val="28"/>
        </w:numPr>
        <w:spacing w:after="5" w:line="360" w:lineRule="auto"/>
        <w:ind w:right="755" w:hanging="1068"/>
      </w:pPr>
      <w:r>
        <w:t>Evoy K.E. Report</w:t>
      </w:r>
      <w:r>
        <w:t xml:space="preserve">s of gabapentin and pregabalin abuse, misuse, dependence, or overdose: An analysis of the Food And Drug Administration Adverse Events Reporting System (FAERS) / K.E. Evoy, J.R. Covvey, A.M. Peckham [et al.] // Res Social Adm Pharm. – 2019. – Vol. 15, № </w:t>
      </w:r>
    </w:p>
    <w:p w:rsidR="000A3B51" w:rsidRDefault="003D0A08">
      <w:pPr>
        <w:ind w:right="755"/>
      </w:pPr>
      <w:r>
        <w:t>8.</w:t>
      </w:r>
      <w:r>
        <w:t xml:space="preserve"> – P. 953–958. </w:t>
      </w:r>
    </w:p>
    <w:p w:rsidR="000A3B51" w:rsidRDefault="003D0A08">
      <w:pPr>
        <w:numPr>
          <w:ilvl w:val="0"/>
          <w:numId w:val="28"/>
        </w:numPr>
        <w:spacing w:after="47" w:line="359" w:lineRule="auto"/>
        <w:ind w:right="755" w:hanging="1068"/>
      </w:pPr>
      <w:r>
        <w:t xml:space="preserve">Zhong H.M. Intra-Articular Steroid Injection for Patients with Hip Osteoarthritis: A Systematic Review and Meta-Analysis / H.M. Zhong, G.F. Zhao, T. Lin [et al.] // Biomed Res Int. – 2020. – Vol. 2020. – Article ID 6320154.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>Jüni P. Intra-a</w:t>
      </w:r>
      <w:r>
        <w:t xml:space="preserve">rticular corticosteroid for knee osteoarthritis / P. Jüni, R. Hari, A.W.S. Rutjes [et al.] // Cochrane Database Syst Rev. – 2015. – Vol. 2015, № 10. – Article ID CD005328.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Stout A. Systemic Absorption and Side Effects of Locally Injected Glucocorticoids /</w:t>
      </w:r>
      <w:r>
        <w:t xml:space="preserve"> A. </w:t>
      </w:r>
    </w:p>
    <w:p w:rsidR="000A3B51" w:rsidRDefault="003D0A08">
      <w:pPr>
        <w:ind w:right="755"/>
      </w:pPr>
      <w:r>
        <w:t xml:space="preserve">Stout, J. Friedly, C.J. Standaert // PM R. – 2019. – Vol. 11, № 4. – P. 409–419. </w:t>
      </w:r>
    </w:p>
    <w:p w:rsidR="000A3B51" w:rsidRDefault="003D0A08">
      <w:pPr>
        <w:numPr>
          <w:ilvl w:val="0"/>
          <w:numId w:val="28"/>
        </w:numPr>
        <w:spacing w:after="23" w:line="358" w:lineRule="auto"/>
        <w:ind w:right="755" w:hanging="1068"/>
      </w:pPr>
      <w:r>
        <w:t xml:space="preserve">Guermazi A. Intra-articular Corticosteroid Injections for the Treatment of Hip and Knee Osteoarthritis-related Pain: Considerations and Controversies with </w:t>
      </w:r>
      <w:r>
        <w:t xml:space="preserve">a Focus on Imaging- Radiology Scientific Expert Panel / A. Guermazi, T. Neogi, J.N. Katz [et al.] // Radiology. – 2020. – Vol. </w:t>
      </w:r>
    </w:p>
    <w:p w:rsidR="000A3B51" w:rsidRDefault="003D0A08">
      <w:pPr>
        <w:ind w:right="755"/>
      </w:pPr>
      <w:r>
        <w:t xml:space="preserve">297, № 3. – P. 503–512. </w:t>
      </w:r>
    </w:p>
    <w:p w:rsidR="000A3B51" w:rsidRDefault="003D0A08">
      <w:pPr>
        <w:numPr>
          <w:ilvl w:val="0"/>
          <w:numId w:val="28"/>
        </w:numPr>
        <w:spacing w:after="13" w:line="356" w:lineRule="auto"/>
        <w:ind w:right="755" w:hanging="1068"/>
      </w:pPr>
      <w:r>
        <w:t>McAlindon T.E. Effect of Intra-articular Triamcinolone vs Saline on Knee Cartilage Volume and Pain in P</w:t>
      </w:r>
      <w:r>
        <w:t xml:space="preserve">atients With Knee Osteoarthritis: A Randomized Clinical Trial / T.E. </w:t>
      </w:r>
    </w:p>
    <w:p w:rsidR="000A3B51" w:rsidRDefault="003D0A08">
      <w:pPr>
        <w:spacing w:after="6" w:line="356" w:lineRule="auto"/>
        <w:ind w:right="755"/>
      </w:pPr>
      <w:r>
        <w:t xml:space="preserve">McAlindon, M.P. LaValley, W.F. Harvey [et al.] // JAMA. – 2017. – Vol. 317, № 19. – P. 1967– 1975. </w:t>
      </w:r>
    </w:p>
    <w:p w:rsidR="000A3B51" w:rsidRDefault="003D0A08">
      <w:pPr>
        <w:numPr>
          <w:ilvl w:val="0"/>
          <w:numId w:val="28"/>
        </w:numPr>
        <w:spacing w:after="15" w:line="356" w:lineRule="auto"/>
        <w:ind w:right="755" w:hanging="1068"/>
      </w:pPr>
      <w:r>
        <w:t>Miller L.E. Safety of Intra-Articular Hyaluronic Acid for Knee Osteoarthritis: Systema</w:t>
      </w:r>
      <w:r>
        <w:t xml:space="preserve">tic Review and Meta-Analysis of Randomized Trials Involving More than 8,000 Patients / L.E. </w:t>
      </w:r>
    </w:p>
    <w:p w:rsidR="000A3B51" w:rsidRDefault="003D0A08">
      <w:pPr>
        <w:ind w:right="755"/>
      </w:pPr>
      <w:r>
        <w:t xml:space="preserve">Miller, S. Bhattacharyya, W.R. Parrish [et al.] // Cartilage. – 2021. – Vol. 13, № 1_suppl. – P. </w:t>
      </w:r>
    </w:p>
    <w:p w:rsidR="000A3B51" w:rsidRDefault="003D0A08">
      <w:pPr>
        <w:ind w:right="755"/>
      </w:pPr>
      <w:r>
        <w:t xml:space="preserve">351S-363S. </w:t>
      </w:r>
    </w:p>
    <w:p w:rsidR="000A3B51" w:rsidRDefault="003D0A08">
      <w:pPr>
        <w:numPr>
          <w:ilvl w:val="0"/>
          <w:numId w:val="28"/>
        </w:numPr>
        <w:spacing w:after="40" w:line="365" w:lineRule="auto"/>
        <w:ind w:right="755" w:hanging="1068"/>
      </w:pPr>
      <w:r>
        <w:t>Campbell K.A. Is Local Viscosupplementation Injection</w:t>
      </w:r>
      <w:r>
        <w:t xml:space="preserve"> Clinically Superior to Other Therapies in the Treatment of Osteoarthritis of the Knee: A Systematic Review of Overlapping Meta-analyses / K.A. Campbell, B.J. Erickson, B.M. Saltzman [et al.] // Arthroscopy. – 2015. – Vol. 31, № 10. – P. 2036-2045. </w:t>
      </w:r>
    </w:p>
    <w:p w:rsidR="000A3B51" w:rsidRDefault="003D0A08">
      <w:pPr>
        <w:numPr>
          <w:ilvl w:val="0"/>
          <w:numId w:val="28"/>
        </w:numPr>
        <w:spacing w:line="374" w:lineRule="auto"/>
        <w:ind w:right="755" w:hanging="1068"/>
      </w:pPr>
      <w:r>
        <w:t xml:space="preserve">Стребкова Е.А. Эффективность внутрисуставной терапии препаратами гиалуроновой кислоты у больных остеоартритом / Е.А. Стребкова, Л.И. Алексеева // Современная ревматология. – 2019. – Т. 13, № 2. – С. 96–104. </w:t>
      </w:r>
    </w:p>
    <w:p w:rsidR="000A3B51" w:rsidRDefault="003D0A08">
      <w:pPr>
        <w:numPr>
          <w:ilvl w:val="0"/>
          <w:numId w:val="28"/>
        </w:numPr>
        <w:spacing w:after="1" w:line="364" w:lineRule="auto"/>
        <w:ind w:right="755" w:hanging="1068"/>
      </w:pPr>
      <w:r>
        <w:t>Hummer C.D. High molecular weight Intraarticular</w:t>
      </w:r>
      <w:r>
        <w:t xml:space="preserve"> hyaluronic acid for the treatment of knee osteoarthritis: a network meta-analysis / C.D. Hummer, F. Angst, W. Ngai [et al.] // BMC </w:t>
      </w:r>
    </w:p>
    <w:p w:rsidR="000A3B51" w:rsidRDefault="003D0A08">
      <w:pPr>
        <w:ind w:right="755"/>
      </w:pPr>
      <w:r>
        <w:t xml:space="preserve">Musculoskelet Disord. – 2020. – Vol. 21, № 1. – Article ID S12891-020-03729-W. </w:t>
      </w:r>
    </w:p>
    <w:p w:rsidR="000A3B51" w:rsidRDefault="003D0A08">
      <w:pPr>
        <w:numPr>
          <w:ilvl w:val="0"/>
          <w:numId w:val="28"/>
        </w:numPr>
        <w:spacing w:after="17" w:line="356" w:lineRule="auto"/>
        <w:ind w:right="755" w:hanging="1068"/>
      </w:pPr>
      <w:r>
        <w:t xml:space="preserve">Concoff A. The efficacy of multiple versus </w:t>
      </w:r>
      <w:r>
        <w:t xml:space="preserve">single hyaluronic acid injections: a systematic review and meta-analysis / A. Concoff, P. Sancheti, F. Niazi [et al.] // BMC Musculoskelet Disord. </w:t>
      </w:r>
    </w:p>
    <w:p w:rsidR="000A3B51" w:rsidRDefault="003D0A08">
      <w:pPr>
        <w:ind w:right="755"/>
      </w:pPr>
      <w:r>
        <w:t xml:space="preserve">– 2017. – Vol. 18, № 1. – Article ID S12891-017-1897-2. </w:t>
      </w:r>
    </w:p>
    <w:p w:rsidR="000A3B51" w:rsidRDefault="003D0A08">
      <w:pPr>
        <w:numPr>
          <w:ilvl w:val="0"/>
          <w:numId w:val="28"/>
        </w:numPr>
        <w:spacing w:after="17" w:line="358" w:lineRule="auto"/>
        <w:ind w:right="755" w:hanging="1068"/>
      </w:pPr>
      <w:r>
        <w:t xml:space="preserve">Altman R. Efficacy and safety of repeated courses of hyaluronic acid injections for knee osteoarthritis: A systematic review / R. Altman, J. Hackel, F. Niazi [et al.] // Semin Arthritis </w:t>
      </w:r>
    </w:p>
    <w:p w:rsidR="000A3B51" w:rsidRDefault="003D0A08">
      <w:pPr>
        <w:ind w:right="755"/>
      </w:pPr>
      <w:r>
        <w:t xml:space="preserve">Rheum. – 2018. – Vol. 48, № 2. – P. 168–175. </w:t>
      </w:r>
    </w:p>
    <w:p w:rsidR="000A3B51" w:rsidRDefault="003D0A08">
      <w:pPr>
        <w:numPr>
          <w:ilvl w:val="0"/>
          <w:numId w:val="28"/>
        </w:numPr>
        <w:spacing w:after="11" w:line="357" w:lineRule="auto"/>
        <w:ind w:right="755" w:hanging="1068"/>
      </w:pPr>
      <w:r>
        <w:t>Wu Y.Z. Molecular Weigh</w:t>
      </w:r>
      <w:r>
        <w:t xml:space="preserve">t of Hyaluronic Acid Has Major Influence on Its Efficacy and Safety for Viscosupplementation in Hip Osteoarthritis: A Systematic Review and Meta-Analysis </w:t>
      </w:r>
    </w:p>
    <w:p w:rsidR="000A3B51" w:rsidRDefault="003D0A08">
      <w:pPr>
        <w:ind w:right="755"/>
      </w:pPr>
      <w:r>
        <w:t xml:space="preserve">/ Y.Z. Wu, H.T. Huang, C.J. Ho [et al.] // Cartilage. – 2021. – Vol. 13, № 1. – P. 169S-184S. </w:t>
      </w:r>
    </w:p>
    <w:p w:rsidR="000A3B51" w:rsidRDefault="003D0A08">
      <w:pPr>
        <w:numPr>
          <w:ilvl w:val="0"/>
          <w:numId w:val="28"/>
        </w:numPr>
        <w:spacing w:after="3" w:line="358" w:lineRule="auto"/>
        <w:ind w:right="755" w:hanging="1068"/>
      </w:pPr>
      <w:r>
        <w:t>Miglio</w:t>
      </w:r>
      <w:r>
        <w:t>re A. Systematic Literature Review and Expert Opinion for the Use of Viscosupplementation with Hyaluronic Acid in Different Localizations of Osteoarthritis / A. Migliore, G. Gigliucci, L. Alekseeva [et al.] // Orthop Res Rev. – 2021. – Vol. 13. – P. 255–27</w:t>
      </w:r>
      <w:r>
        <w:t xml:space="preserve">3. </w:t>
      </w:r>
    </w:p>
    <w:p w:rsidR="000A3B51" w:rsidRDefault="003D0A08">
      <w:pPr>
        <w:numPr>
          <w:ilvl w:val="0"/>
          <w:numId w:val="28"/>
        </w:numPr>
        <w:spacing w:after="20" w:line="356" w:lineRule="auto"/>
        <w:ind w:right="755" w:hanging="1068"/>
      </w:pPr>
      <w:r>
        <w:t xml:space="preserve">Hoeber S. Ultrasound-guided hip joint injections are more accurate than landmark-guided injections: a systematic review and meta-analysis / S. Hoeber, A.R. Aly, N. Ashworth [et al.] // Br </w:t>
      </w:r>
    </w:p>
    <w:p w:rsidR="000A3B51" w:rsidRDefault="003D0A08">
      <w:pPr>
        <w:ind w:right="755"/>
      </w:pPr>
      <w:r>
        <w:t xml:space="preserve">J Sports Med. – 2016. – Vol. 50, № 7. – P. 392–396. </w:t>
      </w:r>
    </w:p>
    <w:p w:rsidR="000A3B51" w:rsidRDefault="003D0A08">
      <w:pPr>
        <w:numPr>
          <w:ilvl w:val="0"/>
          <w:numId w:val="28"/>
        </w:numPr>
        <w:spacing w:after="84" w:line="322" w:lineRule="auto"/>
        <w:ind w:right="755" w:hanging="1068"/>
      </w:pPr>
      <w:r>
        <w:t>Ruiz Santi</w:t>
      </w:r>
      <w:r>
        <w:t xml:space="preserve">ago F. Ultrasound guided procedures in the musculoskeletal system: a narrative review with illustrative examples / F. Ruiz Santiago, C. Orellana González, B. Moraleda Cabrera [et al.] // Quant Imaging Med Surg. – 2024. – Vol. 14, № 11. – P. 8028–8049. </w:t>
      </w:r>
    </w:p>
    <w:p w:rsidR="000A3B51" w:rsidRDefault="003D0A08">
      <w:pPr>
        <w:numPr>
          <w:ilvl w:val="0"/>
          <w:numId w:val="28"/>
        </w:numPr>
        <w:spacing w:after="0" w:line="381" w:lineRule="auto"/>
        <w:ind w:right="755" w:hanging="1068"/>
      </w:pPr>
      <w:r>
        <w:t>Лил</w:t>
      </w:r>
      <w:r>
        <w:t>а А.М. Локальная инъекционная терапия в комплексном лечении болезней костно-мышечной системы: основные принципы использования, доказательная база, безопасность / А.М. Лила, Н.В. Загородний, А.Е. Каратеев [и др.] // Современная ревматология. – 2023. – Т. 17</w:t>
      </w:r>
      <w:r>
        <w:t xml:space="preserve">, № 4. – С. 120–137. </w:t>
      </w:r>
    </w:p>
    <w:p w:rsidR="000A3B51" w:rsidRDefault="003D0A08">
      <w:pPr>
        <w:numPr>
          <w:ilvl w:val="0"/>
          <w:numId w:val="28"/>
        </w:numPr>
        <w:spacing w:after="24" w:line="357" w:lineRule="auto"/>
        <w:ind w:right="755" w:hanging="1068"/>
      </w:pPr>
      <w:r>
        <w:t xml:space="preserve">Cooper C. Use of Intraarticular Hyaluronic Acid in the Management of Knee Osteoarthritis in Clinical Practice / C. Cooper, F. Rannou, P. Richette [et al.] // Arthritis Care Res (Hoboken). – </w:t>
      </w:r>
    </w:p>
    <w:p w:rsidR="000A3B51" w:rsidRDefault="003D0A08">
      <w:pPr>
        <w:ind w:right="755"/>
      </w:pPr>
      <w:r>
        <w:t xml:space="preserve">2017. – Vol. 69, № 9. – P. 1287–1296. </w:t>
      </w:r>
    </w:p>
    <w:p w:rsidR="000A3B51" w:rsidRDefault="003D0A08">
      <w:pPr>
        <w:numPr>
          <w:ilvl w:val="0"/>
          <w:numId w:val="28"/>
        </w:numPr>
        <w:spacing w:line="373" w:lineRule="auto"/>
        <w:ind w:right="755" w:hanging="1068"/>
      </w:pPr>
      <w:r>
        <w:t>Monf</w:t>
      </w:r>
      <w:r>
        <w:t>ort J. Comparative efficacy of intra-articular hyaluronic acid and corticoid injections in osteoarthritis of the first carpometacarpal joint: results of a 6-month single-masked randomized study / J. Monfort, D. Rotés-Sala, N. Segalés [et al.] // Joint Bone</w:t>
      </w:r>
      <w:r>
        <w:t xml:space="preserve"> Spine. – 2015. – Vol. 82, № 2. – P. 116–121. </w:t>
      </w:r>
    </w:p>
    <w:p w:rsidR="000A3B51" w:rsidRDefault="003D0A08">
      <w:pPr>
        <w:numPr>
          <w:ilvl w:val="0"/>
          <w:numId w:val="28"/>
        </w:numPr>
        <w:spacing w:after="0" w:line="369" w:lineRule="auto"/>
        <w:ind w:right="755" w:hanging="1068"/>
      </w:pPr>
      <w:r>
        <w:t xml:space="preserve">Oo W.M. Efficacy, Safety, and Accuracy of Intra-articular Therapies for Hand Osteoarthritis: Current Evidence / W.M. Oo, D.J. Hunter // Drugs Aging. – 2023. – Vol. 40, № 1. – P. 1–20. </w:t>
      </w:r>
    </w:p>
    <w:p w:rsidR="000A3B51" w:rsidRDefault="003D0A08">
      <w:pPr>
        <w:numPr>
          <w:ilvl w:val="0"/>
          <w:numId w:val="28"/>
        </w:numPr>
        <w:spacing w:after="5" w:line="356" w:lineRule="auto"/>
        <w:ind w:right="755" w:hanging="1068"/>
      </w:pPr>
      <w:r>
        <w:t xml:space="preserve">Thakker A. Comparison between intra-articular injections of corticosteroids, hyaluronic acid, PRP and placebo for thumb base osteoarthritis: A frequentist network meta-analysis / A. </w:t>
      </w:r>
    </w:p>
    <w:p w:rsidR="000A3B51" w:rsidRDefault="003D0A08">
      <w:pPr>
        <w:ind w:right="755"/>
      </w:pPr>
      <w:r>
        <w:t>Thakker, S.C. Sharma, N. Johnson [et al.] // J Orthop. – 2023. – Vol. 45.</w:t>
      </w:r>
      <w:r>
        <w:t xml:space="preserve"> – P. 78–86.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Papalia R. Intrarticular injections of hyaluronic acid for trapezio-metacarpal osteoarthritis: </w:t>
      </w:r>
    </w:p>
    <w:p w:rsidR="000A3B51" w:rsidRDefault="003D0A08">
      <w:pPr>
        <w:spacing w:after="136"/>
        <w:ind w:right="755"/>
      </w:pPr>
      <w:r>
        <w:t xml:space="preserve">a systematic review / R. Papalia, L.A. Diaz, G. Torre [et al.] // J Biol Regul Homeost Agents. – </w:t>
      </w:r>
    </w:p>
    <w:p w:rsidR="000A3B51" w:rsidRDefault="003D0A08">
      <w:pPr>
        <w:ind w:right="755"/>
      </w:pPr>
      <w:r>
        <w:t xml:space="preserve">2017. – Vol. 31, № 4 Suppl 2. – P. 45–53. </w:t>
      </w:r>
    </w:p>
    <w:p w:rsidR="000A3B51" w:rsidRDefault="003D0A08">
      <w:pPr>
        <w:numPr>
          <w:ilvl w:val="0"/>
          <w:numId w:val="28"/>
        </w:numPr>
        <w:spacing w:after="11" w:line="357" w:lineRule="auto"/>
        <w:ind w:right="755" w:hanging="1068"/>
      </w:pPr>
      <w:r>
        <w:t>Munte</w:t>
      </w:r>
      <w:r>
        <w:t xml:space="preserve">anu S.E. Effectiveness of intra-articular hyaluronan (Synvisc, hylan G-F 20) for the treatment of first metatarsophalangeal joint osteoarthritis: a randomised placebo-controlled trial / </w:t>
      </w:r>
    </w:p>
    <w:p w:rsidR="000A3B51" w:rsidRDefault="003D0A08">
      <w:pPr>
        <w:ind w:right="755"/>
      </w:pPr>
      <w:r>
        <w:t>S.E. Munteanu, G.V. Zammit, H.B. Menz [et al.] // Ann Rheum Dis. – 20</w:t>
      </w:r>
      <w:r>
        <w:t xml:space="preserve">11. – Vol. 70, № 10. – </w:t>
      </w:r>
    </w:p>
    <w:p w:rsidR="000A3B51" w:rsidRDefault="003D0A08">
      <w:pPr>
        <w:spacing w:after="157"/>
        <w:ind w:right="755"/>
      </w:pPr>
      <w:r>
        <w:t xml:space="preserve">P. 1838–1841. </w:t>
      </w:r>
    </w:p>
    <w:p w:rsidR="000A3B51" w:rsidRDefault="003D0A08">
      <w:pPr>
        <w:numPr>
          <w:ilvl w:val="0"/>
          <w:numId w:val="28"/>
        </w:numPr>
        <w:spacing w:after="0" w:line="382" w:lineRule="auto"/>
        <w:ind w:right="755" w:hanging="1068"/>
      </w:pPr>
      <w:r>
        <w:t>Бялик В.Е. Изучение эффективности локальной инъекционной терапии препаратами гиалуроновой кислоты различной молекулярной массы у больных остеоартритом коленного сустава / В.Е. Бялик, И.Б. Еременко, А.А. Малышева [и др</w:t>
      </w:r>
      <w:r>
        <w:t xml:space="preserve">.] // Научнопрактическая ревматология. – 2019. – Т. 57, № 2. – С. 235–242. </w:t>
      </w:r>
    </w:p>
    <w:p w:rsidR="000A3B51" w:rsidRDefault="003D0A08">
      <w:pPr>
        <w:numPr>
          <w:ilvl w:val="0"/>
          <w:numId w:val="28"/>
        </w:numPr>
        <w:spacing w:after="19" w:line="357" w:lineRule="auto"/>
        <w:ind w:right="755" w:hanging="1068"/>
      </w:pPr>
      <w:r>
        <w:t xml:space="preserve">Sahi G. Current state of systematic reviews for platelet-rich plasma use in knee osteoarthritis / G. Sahi, J.T. Du, A. Abbas [et al.] // Orthop Traumatol Surg Res. – 2024. – Vol. </w:t>
      </w:r>
    </w:p>
    <w:p w:rsidR="000A3B51" w:rsidRDefault="003D0A08">
      <w:pPr>
        <w:ind w:right="755"/>
      </w:pPr>
      <w:r>
        <w:t xml:space="preserve">110, № 1. – Article ID 103735. </w:t>
      </w:r>
    </w:p>
    <w:p w:rsidR="000A3B51" w:rsidRDefault="003D0A08">
      <w:pPr>
        <w:numPr>
          <w:ilvl w:val="0"/>
          <w:numId w:val="28"/>
        </w:numPr>
        <w:spacing w:after="7" w:line="358" w:lineRule="auto"/>
        <w:ind w:right="755" w:hanging="1068"/>
      </w:pPr>
      <w:r>
        <w:t xml:space="preserve">Migliorini F. Comparison between intra-articular infiltrations of placebo, steroids, hyaluronic and PRP for knee osteoarthritis: a Bayesian network meta-analysis / F. Migliorini, A. </w:t>
      </w:r>
    </w:p>
    <w:p w:rsidR="000A3B51" w:rsidRDefault="003D0A08">
      <w:pPr>
        <w:ind w:right="755"/>
      </w:pPr>
      <w:r>
        <w:t xml:space="preserve">Driessen, V. Quack [et al.] // Arch Orthop Trauma Surg. – 2021. – Vol. 141, № 9. – P. 1473–1490. </w:t>
      </w:r>
    </w:p>
    <w:p w:rsidR="000A3B51" w:rsidRDefault="003D0A08">
      <w:pPr>
        <w:numPr>
          <w:ilvl w:val="0"/>
          <w:numId w:val="28"/>
        </w:numPr>
        <w:spacing w:after="14" w:line="357" w:lineRule="auto"/>
        <w:ind w:right="755" w:hanging="1068"/>
      </w:pPr>
      <w:r>
        <w:t>Shahbaz A. Efficacy of Platelet-Rich Plasma Intra-articular Injections in Hip and Knee Osteoarthritis / A. Shahbaz, A. Alzarooni, V.R. Veeranagari [et al.] //</w:t>
      </w:r>
      <w:r>
        <w:t xml:space="preserve"> Cureus. – 2024. – Vol. 16, </w:t>
      </w:r>
    </w:p>
    <w:p w:rsidR="000A3B51" w:rsidRDefault="003D0A08">
      <w:pPr>
        <w:ind w:right="755"/>
      </w:pPr>
      <w:r>
        <w:t xml:space="preserve">№ 9. – Article ID 69656. </w:t>
      </w:r>
    </w:p>
    <w:p w:rsidR="000A3B51" w:rsidRDefault="003D0A08">
      <w:pPr>
        <w:numPr>
          <w:ilvl w:val="0"/>
          <w:numId w:val="28"/>
        </w:numPr>
        <w:spacing w:after="10" w:line="358" w:lineRule="auto"/>
        <w:ind w:right="755" w:hanging="1068"/>
      </w:pPr>
      <w:r>
        <w:t xml:space="preserve">Sax O.C. The Efficacy of Platelet-Rich Plasma for the Treatment of Knee Osteoarthritis Symptoms and Structural Changes: A Systematic Review and Meta-Analysis / O.C. Sax, Z. Chen, </w:t>
      </w:r>
    </w:p>
    <w:p w:rsidR="000A3B51" w:rsidRDefault="003D0A08">
      <w:pPr>
        <w:ind w:right="755"/>
      </w:pPr>
      <w:r>
        <w:t>M.A. Mont [et al.] //</w:t>
      </w:r>
      <w:r>
        <w:t xml:space="preserve"> J Arthroplasty. – 2022. – Vol. 37, № 11. – P. 2282-2290.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McLarnon M. Intra-articular platelet-rich plasma injections versus intra-articular corticosteroid injections for symptomatic management of knee osteoarthritis: systematic review and meta-analysis /</w:t>
      </w:r>
      <w:r>
        <w:t xml:space="preserve"> M. McLarnon, N. Heron // BMC Musculoskelet Disord. – 2021. – Vol. 22, № </w:t>
      </w:r>
    </w:p>
    <w:p w:rsidR="000A3B51" w:rsidRDefault="003D0A08">
      <w:pPr>
        <w:ind w:right="755"/>
      </w:pPr>
      <w:r>
        <w:t xml:space="preserve">1. – Article ID 4308.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Belk J.W. Platelet-Rich Plasma Versus Hyaluronic Acid for Hip Osteoarthritis Yields Similarly Beneficial Short-Term Clinical Outcomes: A Systematic Review and </w:t>
      </w:r>
      <w:r>
        <w:t xml:space="preserve">Meta-analysis of </w:t>
      </w:r>
    </w:p>
    <w:p w:rsidR="000A3B51" w:rsidRDefault="003D0A08">
      <w:pPr>
        <w:ind w:right="755"/>
      </w:pPr>
      <w:r>
        <w:t xml:space="preserve">Level I and II Randomized Controlled Trials / J.W. Belk, D.A. Houck, C.P. Littlefield [et al.] // </w:t>
      </w:r>
    </w:p>
    <w:p w:rsidR="000A3B51" w:rsidRDefault="003D0A08">
      <w:pPr>
        <w:ind w:right="755"/>
      </w:pPr>
      <w:r>
        <w:t xml:space="preserve">Arthroscopy. – 2022. – Vol. 38, № 6. – P. 2035–2046. </w:t>
      </w:r>
    </w:p>
    <w:p w:rsidR="000A3B51" w:rsidRDefault="003D0A08">
      <w:pPr>
        <w:numPr>
          <w:ilvl w:val="0"/>
          <w:numId w:val="28"/>
        </w:numPr>
        <w:spacing w:after="8" w:line="358" w:lineRule="auto"/>
        <w:ind w:right="755" w:hanging="1068"/>
      </w:pPr>
      <w:r>
        <w:t xml:space="preserve">Lim A. The Use of Intra-articular Platelet-Rich Plasma as a Therapeutic Intervention </w:t>
      </w:r>
      <w:r>
        <w:t xml:space="preserve">for Hip Osteoarthritis: A Systematic Review and Meta-analysis / A. Lim, J.B. Zhu, V. Khanduja // </w:t>
      </w:r>
    </w:p>
    <w:p w:rsidR="000A3B51" w:rsidRDefault="003D0A08">
      <w:pPr>
        <w:ind w:right="755"/>
      </w:pPr>
      <w:r>
        <w:t xml:space="preserve">Am J Sports Med. – 2023. – Vol. 51, № 9. – P. 2487–2497. – Article ID 03635465221095563.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Zhao Z. Different Intra-articular Injections as Therapy for Hip Oste</w:t>
      </w:r>
      <w:r>
        <w:t xml:space="preserve">oarthritis: A Systematic </w:t>
      </w:r>
    </w:p>
    <w:p w:rsidR="000A3B51" w:rsidRDefault="003D0A08">
      <w:pPr>
        <w:ind w:right="755"/>
      </w:pPr>
      <w:r>
        <w:t xml:space="preserve">Review and Network Meta-analysis / Z. Zhao, J. Ma Xiong, X. Ma Long // Arthroscopy. – 2020. </w:t>
      </w:r>
    </w:p>
    <w:p w:rsidR="000A3B51" w:rsidRDefault="003D0A08">
      <w:pPr>
        <w:ind w:right="755"/>
      </w:pPr>
      <w:r>
        <w:t xml:space="preserve">– Vol. 36, № 5. – P. 1452-1464. </w:t>
      </w:r>
    </w:p>
    <w:p w:rsidR="000A3B51" w:rsidRDefault="003D0A08">
      <w:pPr>
        <w:numPr>
          <w:ilvl w:val="0"/>
          <w:numId w:val="28"/>
        </w:numPr>
        <w:spacing w:after="8" w:line="358" w:lineRule="auto"/>
        <w:ind w:right="755" w:hanging="1068"/>
      </w:pPr>
      <w:r>
        <w:t>Khalid S. Comparative effectiveness of intra-articular therapies in knee osteoarthritis: a meta-</w:t>
      </w:r>
      <w:r>
        <w:t xml:space="preserve">analysis comparing platelet-rich plasma (PRP) with other treatment modalities / S. Khalid, </w:t>
      </w:r>
    </w:p>
    <w:p w:rsidR="000A3B51" w:rsidRDefault="003D0A08">
      <w:pPr>
        <w:ind w:right="755"/>
      </w:pPr>
      <w:r>
        <w:t xml:space="preserve">A. Ali, F. Deepak [et al.] // Ann Med Surg (Lond). – 2023. – Vol. 86, № 1. – P. 361–372. </w:t>
      </w:r>
    </w:p>
    <w:p w:rsidR="000A3B51" w:rsidRDefault="003D0A08">
      <w:pPr>
        <w:numPr>
          <w:ilvl w:val="0"/>
          <w:numId w:val="28"/>
        </w:numPr>
        <w:spacing w:after="22" w:line="356" w:lineRule="auto"/>
        <w:ind w:right="755" w:hanging="1068"/>
      </w:pPr>
      <w:r>
        <w:t>Winter R. Minimally Invasive Treatment of Trapeziometacarpal Osteoarthriti</w:t>
      </w:r>
      <w:r>
        <w:t xml:space="preserve">s: Results of a Blinded Randomized Controlled Trial / R. Winter, A.C. Tuca, I. Justich [et al.] // Plast Reconstr </w:t>
      </w:r>
    </w:p>
    <w:p w:rsidR="000A3B51" w:rsidRDefault="003D0A08">
      <w:pPr>
        <w:ind w:right="755"/>
      </w:pPr>
      <w:r>
        <w:t xml:space="preserve">Surg. – 2023. – Vol. 152, № 6. – P. 1277–1285. </w:t>
      </w:r>
    </w:p>
    <w:p w:rsidR="000A3B51" w:rsidRDefault="003D0A08">
      <w:pPr>
        <w:numPr>
          <w:ilvl w:val="0"/>
          <w:numId w:val="28"/>
        </w:numPr>
        <w:spacing w:after="28" w:line="358" w:lineRule="auto"/>
        <w:ind w:right="755" w:hanging="1068"/>
      </w:pPr>
      <w:r>
        <w:t>D’Souza R. Evidence-Based Clinical Practice Guidelines on Regenerative Medicine Treatment for</w:t>
      </w:r>
      <w:r>
        <w:t xml:space="preserve"> Chronic Pain: A Consensus Report from a Multispecialty Working Group / R. </w:t>
      </w:r>
    </w:p>
    <w:p w:rsidR="000A3B51" w:rsidRDefault="003D0A08">
      <w:pPr>
        <w:ind w:right="755"/>
      </w:pPr>
      <w:r>
        <w:t xml:space="preserve">D’Souza, Y. Her, N. Hussain [et al.] // J Pain Res. – 2024. – Vol. 17. – P. 2951–3001. </w:t>
      </w:r>
    </w:p>
    <w:p w:rsidR="000A3B51" w:rsidRDefault="003D0A08">
      <w:pPr>
        <w:numPr>
          <w:ilvl w:val="0"/>
          <w:numId w:val="28"/>
        </w:numPr>
        <w:spacing w:after="20" w:line="357" w:lineRule="auto"/>
        <w:ind w:right="755" w:hanging="1068"/>
      </w:pPr>
      <w:r>
        <w:t xml:space="preserve">Datta S. Systematic assessment of diagnostic accuracy and therapeutic utility of lumbar facet joint interventions / S. Datta, M. Lee, F.J. Falco [et al.] // Pain Physician. – 2009. – Vol. 12, </w:t>
      </w:r>
    </w:p>
    <w:p w:rsidR="000A3B51" w:rsidRDefault="003D0A08">
      <w:pPr>
        <w:ind w:right="755"/>
      </w:pPr>
      <w:r>
        <w:t xml:space="preserve">№ 2. – P. 437–460. </w:t>
      </w:r>
    </w:p>
    <w:p w:rsidR="000A3B51" w:rsidRDefault="003D0A08">
      <w:pPr>
        <w:numPr>
          <w:ilvl w:val="0"/>
          <w:numId w:val="28"/>
        </w:numPr>
        <w:spacing w:after="16" w:line="358" w:lineRule="auto"/>
        <w:ind w:right="755" w:hanging="1068"/>
      </w:pPr>
      <w:r>
        <w:t xml:space="preserve">Wu J. A New Technique for the Treatment of </w:t>
      </w:r>
      <w:r>
        <w:t xml:space="preserve">Lumbar Facet Joint Syndrome Using Intraarticular Injection with Autologous Platelet Rich Plasma / J. Wu, Z. Du, Y. Lv [et al.] // Pain </w:t>
      </w:r>
    </w:p>
    <w:p w:rsidR="000A3B51" w:rsidRDefault="003D0A08">
      <w:pPr>
        <w:ind w:right="755"/>
      </w:pPr>
      <w:r>
        <w:t xml:space="preserve">Physician. – 2016. – Vol. 19, № 8. – P. 617–625. </w:t>
      </w:r>
    </w:p>
    <w:p w:rsidR="000A3B51" w:rsidRDefault="003D0A08">
      <w:pPr>
        <w:numPr>
          <w:ilvl w:val="0"/>
          <w:numId w:val="28"/>
        </w:numPr>
        <w:spacing w:after="14" w:line="356" w:lineRule="auto"/>
        <w:ind w:right="755" w:hanging="1068"/>
      </w:pPr>
      <w:r>
        <w:t>Kirchner F. Intradiscal and intra-articular facet infiltrations with p</w:t>
      </w:r>
      <w:r>
        <w:t xml:space="preserve">lasma rich in growth factors reduce pain in patients with chronic low back pain / F. Kirchner, E. Anitua // J </w:t>
      </w:r>
    </w:p>
    <w:p w:rsidR="000A3B51" w:rsidRDefault="003D0A08">
      <w:pPr>
        <w:ind w:right="755"/>
      </w:pPr>
      <w:r>
        <w:t xml:space="preserve">Craniovertebr Junction Spine. – 2016. – Vol. 7, № 4. – P. 250-256. </w:t>
      </w:r>
    </w:p>
    <w:p w:rsidR="000A3B51" w:rsidRDefault="003D0A08">
      <w:pPr>
        <w:numPr>
          <w:ilvl w:val="0"/>
          <w:numId w:val="28"/>
        </w:numPr>
        <w:spacing w:after="43" w:line="362" w:lineRule="auto"/>
        <w:ind w:right="755" w:hanging="1068"/>
      </w:pPr>
      <w:r>
        <w:t>Wu J. A Prospective Study Comparing Platelet-</w:t>
      </w:r>
      <w:r>
        <w:t xml:space="preserve">Rich Plasma and Local Anesthetic (LA)/Corticosteroid in Intra-Articular Injection for the Treatment of Lumbar Facet Joint Syndrome / J. Wu, J. Zhou, C. Liu [et al.] // Pain Pract. – 2017. – Vol. 17, № 7. – P. 914–924. </w:t>
      </w:r>
    </w:p>
    <w:p w:rsidR="000A3B51" w:rsidRDefault="003D0A08">
      <w:pPr>
        <w:numPr>
          <w:ilvl w:val="0"/>
          <w:numId w:val="28"/>
        </w:numPr>
        <w:spacing w:line="377" w:lineRule="auto"/>
        <w:ind w:right="755" w:hanging="1068"/>
      </w:pPr>
      <w:r>
        <w:t>Бывальцев В.A. Анализ клинической эфф</w:t>
      </w:r>
      <w:r>
        <w:t xml:space="preserve">ективности терапии обогащенной тромбоцитами плазмой у пациентов с изолированным фасет-синдромом поясничного отдела позвоночника / В.А. Бывалцев, А.А. Калинин, А.К. Оконешникова, Э.Э. </w:t>
      </w:r>
    </w:p>
    <w:p w:rsidR="000A3B51" w:rsidRDefault="003D0A08">
      <w:pPr>
        <w:spacing w:after="146"/>
        <w:ind w:right="755"/>
      </w:pPr>
      <w:r>
        <w:t>Сатардинова // Журнал неврологии и психиатрии имени С.С. Корсакова. – 20</w:t>
      </w:r>
      <w:r>
        <w:t xml:space="preserve">19. – Т. 119, </w:t>
      </w:r>
    </w:p>
    <w:p w:rsidR="000A3B51" w:rsidRDefault="003D0A08">
      <w:pPr>
        <w:ind w:right="755"/>
      </w:pPr>
      <w:r>
        <w:t xml:space="preserve">№ 11. – С. 27–31.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Moraes V.Y. Platelet-rich therapies for musculoskeletal soft tissue injuries / V.Y. Moraes, </w:t>
      </w:r>
    </w:p>
    <w:p w:rsidR="000A3B51" w:rsidRDefault="003D0A08">
      <w:pPr>
        <w:spacing w:after="6" w:line="356" w:lineRule="auto"/>
        <w:ind w:right="755"/>
      </w:pPr>
      <w:r>
        <w:t xml:space="preserve">M. Lenza, M.J. Tamaoki [et al.] // Cochrane Database Syst Rev. – 2013. – Vol. 2013, № 12. – Article ID CD010071. </w:t>
      </w:r>
    </w:p>
    <w:p w:rsidR="000A3B51" w:rsidRDefault="003D0A08">
      <w:pPr>
        <w:numPr>
          <w:ilvl w:val="0"/>
          <w:numId w:val="28"/>
        </w:numPr>
        <w:spacing w:after="19" w:line="357" w:lineRule="auto"/>
        <w:ind w:right="755" w:hanging="1068"/>
      </w:pPr>
      <w:r>
        <w:t>Gazendam A. Int</w:t>
      </w:r>
      <w:r>
        <w:t>ra-articular saline injection is as effective as corticosteroids, platelet-rich plasma and hyaluronic acid for hip osteoarthritis pain: a systematic review and network metaanalysis of randomised controlled trials / A. Gazendam, S. Ekhtiari, A. Bozzo [et al</w:t>
      </w:r>
      <w:r>
        <w:t xml:space="preserve">.] // Br J Sports </w:t>
      </w:r>
    </w:p>
    <w:p w:rsidR="000A3B51" w:rsidRDefault="003D0A08">
      <w:pPr>
        <w:ind w:right="755"/>
      </w:pPr>
      <w:r>
        <w:t xml:space="preserve">Med. – 2021. – Vol. 55, № 5. – P. 256–261. </w:t>
      </w:r>
    </w:p>
    <w:p w:rsidR="000A3B51" w:rsidRDefault="003D0A08">
      <w:pPr>
        <w:numPr>
          <w:ilvl w:val="0"/>
          <w:numId w:val="28"/>
        </w:numPr>
        <w:spacing w:after="21" w:line="358" w:lineRule="auto"/>
        <w:ind w:right="755" w:hanging="1068"/>
      </w:pPr>
      <w:r>
        <w:t xml:space="preserve">Peng Y.N. Intra-Articular Leukocyte-Rich Platelet-Rich Plasma versus Intra-Articular Hyaluronic Acid in the Treatment of Knee Osteoarthritis: A Meta-Analysis of 14 Randomized Controlled Trials </w:t>
      </w:r>
      <w:r>
        <w:t xml:space="preserve">/ Y.N. Peng, J.L. Chen, C.C. Hsu [et al.] // Pharmaceuticals (Basel). – 2022. – </w:t>
      </w:r>
    </w:p>
    <w:p w:rsidR="000A3B51" w:rsidRDefault="003D0A08">
      <w:pPr>
        <w:ind w:right="755"/>
      </w:pPr>
      <w:r>
        <w:t xml:space="preserve">Vol. 15, № 8. – Article ID 974. </w:t>
      </w:r>
    </w:p>
    <w:p w:rsidR="000A3B51" w:rsidRDefault="003D0A08">
      <w:pPr>
        <w:numPr>
          <w:ilvl w:val="0"/>
          <w:numId w:val="28"/>
        </w:numPr>
        <w:spacing w:after="4" w:line="357" w:lineRule="auto"/>
        <w:ind w:right="755" w:hanging="1068"/>
      </w:pPr>
      <w:r>
        <w:t>Pak J. Cartilage Regeneration in Human with Adipose Tissue-Derived Stem Cells: Current Status in Clinical Implications / J. Pak, J.H. Lee, W.A</w:t>
      </w:r>
      <w:r>
        <w:t xml:space="preserve">. Kartolo [et al.] // Biomed Res Int. – 2016. </w:t>
      </w:r>
    </w:p>
    <w:p w:rsidR="000A3B51" w:rsidRDefault="003D0A08">
      <w:pPr>
        <w:ind w:right="755"/>
      </w:pPr>
      <w:r>
        <w:t xml:space="preserve">– Article ID 4702674. </w:t>
      </w:r>
    </w:p>
    <w:p w:rsidR="000A3B51" w:rsidRDefault="003D0A08">
      <w:pPr>
        <w:numPr>
          <w:ilvl w:val="0"/>
          <w:numId w:val="28"/>
        </w:numPr>
        <w:spacing w:after="20" w:line="358" w:lineRule="auto"/>
        <w:ind w:right="755" w:hanging="1068"/>
      </w:pPr>
      <w:r>
        <w:t>Yokota N. Comparative Clinical Outcomes After Intra-articular Injection With Adipose</w:t>
      </w:r>
      <w:r>
        <w:t xml:space="preserve">Derived Cultured Stem Cells or Noncultured Stromal Vascular Fraction for the Treatment of Knee Osteoarthritis / N. Yokota, M. Hattori, T. Ohtsuru [et al.] // Am J Sports Med. – 2019. – Vol. 47, </w:t>
      </w:r>
    </w:p>
    <w:p w:rsidR="000A3B51" w:rsidRDefault="003D0A08">
      <w:pPr>
        <w:ind w:right="755"/>
      </w:pPr>
      <w:r>
        <w:t xml:space="preserve">№ 11. – P. 2577–2583. </w:t>
      </w:r>
    </w:p>
    <w:p w:rsidR="000A3B51" w:rsidRDefault="003D0A08">
      <w:pPr>
        <w:numPr>
          <w:ilvl w:val="0"/>
          <w:numId w:val="28"/>
        </w:numPr>
        <w:spacing w:after="8" w:line="358" w:lineRule="auto"/>
        <w:ind w:right="755" w:hanging="1068"/>
      </w:pPr>
      <w:r>
        <w:t>Heidari N. Comparison of the Effect of</w:t>
      </w:r>
      <w:r>
        <w:t xml:space="preserve"> MFAT and MFAT + PRP on Treatment of Hip Osteoarthritis: An Observational, Intention-to-Treat Study at One Year / N. Heidari, M. Slevin, Y. </w:t>
      </w:r>
    </w:p>
    <w:p w:rsidR="000A3B51" w:rsidRDefault="003D0A08">
      <w:pPr>
        <w:ind w:right="755"/>
      </w:pPr>
      <w:r>
        <w:t xml:space="preserve">Zeinolabediny [et al.] // J Clin Med. – 2022. – Vol. 11, № 4. – Article ID 1056. </w:t>
      </w:r>
    </w:p>
    <w:p w:rsidR="000A3B51" w:rsidRDefault="003D0A08">
      <w:pPr>
        <w:numPr>
          <w:ilvl w:val="0"/>
          <w:numId w:val="28"/>
        </w:numPr>
        <w:spacing w:after="20" w:line="356" w:lineRule="auto"/>
        <w:ind w:right="755" w:hanging="1068"/>
      </w:pPr>
      <w:r>
        <w:t>Natali S. Is intra-articular inje</w:t>
      </w:r>
      <w:r>
        <w:t xml:space="preserve">ction of autologous micro-fragmented adipose tissue effective in hip osteoarthritis? A three year follow-up / S. Natali, D. Screpis, M. Romeo [et al.] // </w:t>
      </w:r>
    </w:p>
    <w:p w:rsidR="000A3B51" w:rsidRDefault="003D0A08">
      <w:pPr>
        <w:ind w:right="755"/>
      </w:pPr>
      <w:r>
        <w:t xml:space="preserve">Int Orthop. – 2023. – Vol. 47, № 6. – P. 1487–1492. </w:t>
      </w:r>
    </w:p>
    <w:p w:rsidR="000A3B51" w:rsidRDefault="003D0A08">
      <w:pPr>
        <w:numPr>
          <w:ilvl w:val="0"/>
          <w:numId w:val="28"/>
        </w:numPr>
        <w:spacing w:after="32" w:line="358" w:lineRule="auto"/>
        <w:ind w:right="755" w:hanging="1068"/>
      </w:pPr>
      <w:r>
        <w:t>Centeno C. A specific protocol of autologous bon</w:t>
      </w:r>
      <w:r>
        <w:t xml:space="preserve">e marrow concentrate and platelet products versus exercise therapy for symptomatic knee osteoarthritis: A randomized controlled trial with 2 year follow-up / C. Centeno, M. Sheinkop, E. Dodson [et al.] // J Transl Med. – 2018. </w:t>
      </w:r>
    </w:p>
    <w:p w:rsidR="000A3B51" w:rsidRDefault="003D0A08">
      <w:pPr>
        <w:ind w:right="755"/>
      </w:pPr>
      <w:r>
        <w:t xml:space="preserve">– Vol. 16, № 1. – P. 1–10. </w:t>
      </w:r>
    </w:p>
    <w:p w:rsidR="000A3B51" w:rsidRDefault="003D0A08">
      <w:pPr>
        <w:numPr>
          <w:ilvl w:val="0"/>
          <w:numId w:val="28"/>
        </w:numPr>
        <w:spacing w:line="364" w:lineRule="auto"/>
        <w:ind w:right="755" w:hanging="1068"/>
      </w:pPr>
      <w:r>
        <w:t>Hernigou P. Subchondral bone or intra-articular injection of bone marrow concentrate mesenchymal stem cells in bilateral knee osteoarthritis: what better postpone knee arthroplasty at fifteen years? A randomized study / P. Hernigou, C. Bouthors, C. Bastard</w:t>
      </w:r>
      <w:r>
        <w:t xml:space="preserve"> [et al.] // Int Orthop. – 2021. – Vol. 45, № 2. – P. 391–399. </w:t>
      </w:r>
    </w:p>
    <w:p w:rsidR="000A3B51" w:rsidRDefault="003D0A08">
      <w:pPr>
        <w:numPr>
          <w:ilvl w:val="0"/>
          <w:numId w:val="28"/>
        </w:numPr>
        <w:spacing w:after="24" w:line="358" w:lineRule="auto"/>
        <w:ind w:right="755" w:hanging="1068"/>
      </w:pPr>
      <w:r>
        <w:t xml:space="preserve">Hernigou P. Human bone marrow mesenchymal stem cell injection in subchondral lesions of knee osteoarthritis: a prospective randomized study versus contralateral arthroplasty at a mean fifteen </w:t>
      </w:r>
      <w:r>
        <w:t xml:space="preserve">year follow-up / P. Hernigou, J. Delambre, S. Quiennec [et al.] // Int Orthop. – 2021. – Vol. </w:t>
      </w:r>
    </w:p>
    <w:p w:rsidR="000A3B51" w:rsidRDefault="003D0A08">
      <w:pPr>
        <w:ind w:right="755"/>
      </w:pPr>
      <w:r>
        <w:t xml:space="preserve">45, № 2. – P. 365–373.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>Shapiro S.A. A Prospective, Single-Blind, Placebo-Controlled Trial of Bone Marrow Aspirate Concentrate for Knee Osteoarthritis / S.A. Sha</w:t>
      </w:r>
      <w:r>
        <w:t xml:space="preserve">piro, S.E. Kazmerchak, M.G. Heckman [et al.] // Am J Sports Med. – 2017. – Vol. 45, № 1. – P. 82–90. </w:t>
      </w:r>
    </w:p>
    <w:p w:rsidR="000A3B51" w:rsidRDefault="003D0A08">
      <w:pPr>
        <w:numPr>
          <w:ilvl w:val="0"/>
          <w:numId w:val="28"/>
        </w:numPr>
        <w:spacing w:after="24" w:line="356" w:lineRule="auto"/>
        <w:ind w:right="755" w:hanging="1068"/>
      </w:pPr>
      <w:r>
        <w:t xml:space="preserve">Wilson J.E. Safety of bone marrow derived mesenchymal stem cell extracellular vesicle injection for lumbar facet joint pain / J.E. Wilson, B.A. Today, M. Salazar [et al.] // Regenerative </w:t>
      </w:r>
    </w:p>
    <w:p w:rsidR="000A3B51" w:rsidRDefault="003D0A08">
      <w:pPr>
        <w:ind w:right="755"/>
      </w:pPr>
      <w:r>
        <w:t xml:space="preserve">Med. – 2024. – Vol. 19, № 1. – P. 19–26.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Herberts C.A. Risk factors</w:t>
      </w:r>
      <w:r>
        <w:t xml:space="preserve"> in the development of stem cell therapy / C.A. Herberts, M.S.G. </w:t>
      </w:r>
    </w:p>
    <w:p w:rsidR="000A3B51" w:rsidRDefault="003D0A08">
      <w:pPr>
        <w:ind w:right="755"/>
      </w:pPr>
      <w:r>
        <w:t xml:space="preserve">Kwa, H.P.H. Hermsen // J Transl Med. – 2011. – Vol. 9. – Article ID 29.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Barbieri A. Effects of clinical pathways in the joint replacement: a meta-analysis / A. Barbieri, K. Vanhaecht, P. Va</w:t>
      </w:r>
      <w:r>
        <w:t xml:space="preserve">n Herck [et al.] // BMC Med. – 2009. – Vol. 7. – Article ID 32. </w:t>
      </w:r>
    </w:p>
    <w:p w:rsidR="000A3B51" w:rsidRDefault="003D0A08">
      <w:pPr>
        <w:numPr>
          <w:ilvl w:val="0"/>
          <w:numId w:val="28"/>
        </w:numPr>
        <w:spacing w:after="8" w:line="358" w:lineRule="auto"/>
        <w:ind w:right="755" w:hanging="1068"/>
      </w:pPr>
      <w:r>
        <w:t xml:space="preserve">Gooch K. Comparative effectiveness of alternative clinical pathways for primary hip and knee joint replacement patients: a pragmatic randomized, controlled trial / K. Gooch, D.A. </w:t>
      </w:r>
    </w:p>
    <w:p w:rsidR="000A3B51" w:rsidRDefault="003D0A08">
      <w:pPr>
        <w:ind w:right="755"/>
      </w:pPr>
      <w:r>
        <w:t>Marshall, P</w:t>
      </w:r>
      <w:r>
        <w:t xml:space="preserve">.D. Faris [et al.] // Osteoarthritis Cartilage. – 2012. – Vol. 20, № 10. – P. 1086–1094. </w:t>
      </w:r>
    </w:p>
    <w:p w:rsidR="000A3B51" w:rsidRDefault="003D0A08">
      <w:pPr>
        <w:numPr>
          <w:ilvl w:val="0"/>
          <w:numId w:val="28"/>
        </w:numPr>
        <w:spacing w:after="33" w:line="357" w:lineRule="auto"/>
        <w:ind w:right="755" w:hanging="1068"/>
      </w:pPr>
      <w:r>
        <w:t>Van Herck P. Key interventions and outcomes in joint arthroplasty clinical pathways: a systematic review / P. Van Herck, K. Vanhaecht, S. Deneckere [et al.] // J Eval</w:t>
      </w:r>
      <w:r>
        <w:t xml:space="preserve"> Clin Pract. – 2010. </w:t>
      </w:r>
    </w:p>
    <w:p w:rsidR="000A3B51" w:rsidRDefault="003D0A08">
      <w:pPr>
        <w:ind w:right="755"/>
      </w:pPr>
      <w:r>
        <w:t xml:space="preserve">– Vol. 16, № 1. – P. 39–49. </w:t>
      </w:r>
    </w:p>
    <w:p w:rsidR="000A3B51" w:rsidRDefault="003D0A08">
      <w:pPr>
        <w:numPr>
          <w:ilvl w:val="0"/>
          <w:numId w:val="28"/>
        </w:numPr>
        <w:spacing w:after="15" w:line="359" w:lineRule="auto"/>
        <w:ind w:right="755" w:hanging="1068"/>
      </w:pPr>
      <w:r>
        <w:t xml:space="preserve">Gibson J.N.A. Arthrodesis or total replacement arthroplasty for hallux rigidus: a randomized controlled trial / J.N.A. Gibson, C.E. Thomson // Foot Ankle Int. – 2005. – Vol. 26, </w:t>
      </w:r>
    </w:p>
    <w:p w:rsidR="000A3B51" w:rsidRDefault="003D0A08">
      <w:pPr>
        <w:ind w:right="755"/>
      </w:pPr>
      <w:r>
        <w:t xml:space="preserve">№ 9. – P. 680–690. </w:t>
      </w:r>
    </w:p>
    <w:p w:rsidR="000A3B51" w:rsidRDefault="003D0A08">
      <w:pPr>
        <w:numPr>
          <w:ilvl w:val="0"/>
          <w:numId w:val="28"/>
        </w:numPr>
        <w:spacing w:after="0" w:line="363" w:lineRule="auto"/>
        <w:ind w:right="755" w:hanging="1068"/>
      </w:pPr>
      <w:r>
        <w:t xml:space="preserve">Stone </w:t>
      </w:r>
      <w:r>
        <w:t xml:space="preserve">O.D. Long-Term Follow-up of Arthrodesis vs Total Joint Arthroplasty for Hallux Rigidus / O.D. Stone, R. Ray, C.E. Thomson [et al.] // Foot Ankle Int. – 2017. – Vol. 38, № 4. – P. 375–380. </w:t>
      </w:r>
    </w:p>
    <w:p w:rsidR="000A3B51" w:rsidRDefault="003D0A08">
      <w:pPr>
        <w:numPr>
          <w:ilvl w:val="0"/>
          <w:numId w:val="28"/>
        </w:numPr>
        <w:spacing w:after="12" w:line="358" w:lineRule="auto"/>
        <w:ind w:right="755" w:hanging="1068"/>
      </w:pPr>
      <w:r>
        <w:t xml:space="preserve">Ariani A. The Italian Society for Rheumatology clinical practice guidelines for the diagnosis and management of knee, hip and hand osteoarthritis / A. Ariani, M. Manara, A. </w:t>
      </w:r>
    </w:p>
    <w:p w:rsidR="000A3B51" w:rsidRDefault="003D0A08">
      <w:pPr>
        <w:ind w:right="755"/>
      </w:pPr>
      <w:r>
        <w:t xml:space="preserve">Fioravanti [et al.] // Reumatismo. – 2019. – Vol. 71, № S1. – P. 5–21. </w:t>
      </w:r>
    </w:p>
    <w:p w:rsidR="000A3B51" w:rsidRDefault="003D0A08">
      <w:pPr>
        <w:numPr>
          <w:ilvl w:val="0"/>
          <w:numId w:val="28"/>
        </w:numPr>
        <w:spacing w:line="361" w:lineRule="auto"/>
        <w:ind w:right="755" w:hanging="1068"/>
      </w:pPr>
      <w:r>
        <w:t>Rice, D. B</w:t>
      </w:r>
      <w:r>
        <w:t xml:space="preserve">est Evidence Rehabilitation for Chronic Pain Part 5: Osteoarthritis / D. Rice, P. McNair, E. Huysmans, J. Letzen, P. Finan // J. Clin. Med. – 2019. – Vol. 8, № 11. – Article ID 1769.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Conley B. Core Recommendations for Osteoarthritis Care: A Systematic Rev</w:t>
      </w:r>
      <w:r>
        <w:t xml:space="preserve">iew of </w:t>
      </w:r>
    </w:p>
    <w:p w:rsidR="000A3B51" w:rsidRDefault="003D0A08">
      <w:pPr>
        <w:ind w:right="755"/>
      </w:pPr>
      <w:r>
        <w:t xml:space="preserve">Clinical Practice Guidelines / B. Conley, S. Bunzli, J. Bullen [et al.] // Arthritis Care Res. </w:t>
      </w:r>
    </w:p>
    <w:p w:rsidR="000A3B51" w:rsidRDefault="003D0A08">
      <w:pPr>
        <w:ind w:right="755"/>
      </w:pPr>
      <w:r>
        <w:t xml:space="preserve">(Hoboken). – 2023. – Vol. 75, № 9. – P. 1897–1907. </w:t>
      </w:r>
    </w:p>
    <w:p w:rsidR="000A3B51" w:rsidRDefault="003D0A08">
      <w:pPr>
        <w:numPr>
          <w:ilvl w:val="0"/>
          <w:numId w:val="28"/>
        </w:numPr>
        <w:spacing w:after="18" w:line="356" w:lineRule="auto"/>
        <w:ind w:right="755" w:hanging="1068"/>
      </w:pPr>
      <w:r>
        <w:t>Moseng T. EULAR recommendations for the non-pharmacological core management of hip and knee osteoart</w:t>
      </w:r>
      <w:r>
        <w:t xml:space="preserve">hritis: 2023 update / T. Moseng, T. P. M. Vliet Vlieland, S. Battista [et al.] // </w:t>
      </w:r>
    </w:p>
    <w:p w:rsidR="000A3B51" w:rsidRDefault="003D0A08">
      <w:pPr>
        <w:ind w:right="755"/>
      </w:pPr>
      <w:r>
        <w:t xml:space="preserve">Ann. Rheum. Dis. – 2024. – Vol. 83, № 6. – P. 730–740.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Kroon, F. P. Self-management education programmes for osteoarthritis / F. P. Kroon, L. </w:t>
      </w:r>
    </w:p>
    <w:p w:rsidR="000A3B51" w:rsidRDefault="003D0A08">
      <w:pPr>
        <w:ind w:right="755"/>
      </w:pPr>
      <w:r>
        <w:t xml:space="preserve">R. van der Burg, R. Buchbinder [et al.] // Cochrane Database Syst. Rev. – 2014. – Vol. 2014, № </w:t>
      </w:r>
    </w:p>
    <w:p w:rsidR="000A3B51" w:rsidRDefault="003D0A08">
      <w:pPr>
        <w:ind w:right="755"/>
      </w:pPr>
      <w:r>
        <w:t xml:space="preserve">1. – Article ID CD008963. </w:t>
      </w:r>
    </w:p>
    <w:p w:rsidR="000A3B51" w:rsidRDefault="003D0A08">
      <w:pPr>
        <w:numPr>
          <w:ilvl w:val="0"/>
          <w:numId w:val="28"/>
        </w:numPr>
        <w:spacing w:after="0" w:line="371" w:lineRule="auto"/>
        <w:ind w:right="755" w:hanging="1068"/>
      </w:pPr>
      <w:r>
        <w:t>Hansson, E. E. Effect of an education programme for patients with osteoarthritis in primary care – a randomized controlled trial / E.</w:t>
      </w:r>
      <w:r>
        <w:t xml:space="preserve"> E. Hansson, M. Jönsson-Lundgren, A. M. Ronnheden [et al.] // BMC Musculoskelet. Disord. – 2010. – Vol. 11. – Article ID 244.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 xml:space="preserve">Allen K. D. Telephone-based self-management of osteoarthritis: A randomized trial / K. D. Allen, E. Z. Oddone, C. J. Coffman [et </w:t>
      </w:r>
      <w:r>
        <w:t xml:space="preserve">al.] // Ann. Intern. Med. – 2010. – Vol. 153, № 9. – P. </w:t>
      </w:r>
    </w:p>
    <w:p w:rsidR="000A3B51" w:rsidRDefault="003D0A08">
      <w:pPr>
        <w:ind w:right="755"/>
      </w:pPr>
      <w:r>
        <w:t xml:space="preserve">570–579. </w:t>
      </w:r>
    </w:p>
    <w:p w:rsidR="000A3B51" w:rsidRDefault="003D0A08">
      <w:pPr>
        <w:numPr>
          <w:ilvl w:val="0"/>
          <w:numId w:val="28"/>
        </w:numPr>
        <w:spacing w:after="23" w:line="357" w:lineRule="auto"/>
        <w:ind w:right="755" w:hanging="1068"/>
      </w:pPr>
      <w:r>
        <w:t>Panunzi, S. Comparative efficacy of different weight loss treatments on knee osteoarthritis: A network meta-analysis / S. Panunzi, S. Maltese, A. De Gaetano [et al.] // Obes. Rev. – 2021. –</w:t>
      </w:r>
      <w:r>
        <w:t xml:space="preserve"> </w:t>
      </w:r>
    </w:p>
    <w:p w:rsidR="000A3B51" w:rsidRDefault="003D0A08">
      <w:pPr>
        <w:ind w:right="755"/>
      </w:pPr>
      <w:r>
        <w:t xml:space="preserve">Vol. 22, № 8. – Article ID 13230. </w:t>
      </w:r>
    </w:p>
    <w:p w:rsidR="000A3B51" w:rsidRDefault="003D0A08">
      <w:pPr>
        <w:numPr>
          <w:ilvl w:val="0"/>
          <w:numId w:val="28"/>
        </w:numPr>
        <w:spacing w:after="11" w:line="359" w:lineRule="auto"/>
        <w:ind w:right="755" w:hanging="1068"/>
      </w:pPr>
      <w:r>
        <w:t xml:space="preserve">Chu I. J. H. Effects of meaningful weight loss beyond symptomatic relief in adults with knee osteoarthritis and obesity: a systematic review and meta-analysis / I. J. H. Chu, A. Y. T. Lim, </w:t>
      </w:r>
    </w:p>
    <w:p w:rsidR="000A3B51" w:rsidRDefault="003D0A08">
      <w:pPr>
        <w:ind w:right="755"/>
      </w:pPr>
      <w:r>
        <w:t xml:space="preserve">C. L. W. Ng // Obes. Rev. – </w:t>
      </w:r>
      <w:r>
        <w:t xml:space="preserve">2018. – Vol. 19, № 11. – P. 1597–1607. </w:t>
      </w:r>
    </w:p>
    <w:p w:rsidR="000A3B51" w:rsidRDefault="003D0A08">
      <w:pPr>
        <w:numPr>
          <w:ilvl w:val="0"/>
          <w:numId w:val="28"/>
        </w:numPr>
        <w:spacing w:after="42" w:line="362" w:lineRule="auto"/>
        <w:ind w:right="755" w:hanging="1068"/>
      </w:pPr>
      <w:r>
        <w:t>Hall, M. Diet-induced weight loss alone or combined with exercise in overweight or obese people with knee osteoarthritis: A systematic review and meta-analysis / M. Hall, B. Castelein, R. Wittoek [et al.] // Semin. A</w:t>
      </w:r>
      <w:r>
        <w:t xml:space="preserve">rthritis Rheum. – 2019. – Vol. 48, № 5. – P. 765–777. </w:t>
      </w:r>
    </w:p>
    <w:p w:rsidR="000A3B51" w:rsidRDefault="003D0A08">
      <w:pPr>
        <w:numPr>
          <w:ilvl w:val="0"/>
          <w:numId w:val="28"/>
        </w:numPr>
        <w:spacing w:after="7" w:line="392" w:lineRule="auto"/>
        <w:ind w:right="755" w:hanging="1068"/>
      </w:pPr>
      <w:r>
        <w:t xml:space="preserve">Стребкова, Е. А. Остеоартроз и ожирение / Е. А. Стребкова, Л. И. Алексеева // Научно-практическая ревматология. – 2015. – Т. 53, № 5. – С. 542–552. </w:t>
      </w:r>
    </w:p>
    <w:p w:rsidR="000A3B51" w:rsidRDefault="003D0A08">
      <w:pPr>
        <w:numPr>
          <w:ilvl w:val="0"/>
          <w:numId w:val="28"/>
        </w:numPr>
        <w:spacing w:after="28" w:line="376" w:lineRule="auto"/>
        <w:ind w:right="755" w:hanging="1068"/>
      </w:pPr>
      <w:r>
        <w:t xml:space="preserve">Стребкова, Е. А. Применение медикаментозной терапии </w:t>
      </w:r>
      <w:r>
        <w:t xml:space="preserve">ожирения в схеме лечения больных метаболическим фенотипом остеоартрита коленных суставов / Е. А. Стребкова, Л. И. Алексеева // Остеопороз и остеопатии. – 2020. – Т. 23, № 2. – С. 167.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Соловьева, И. В. Влияние снижения массы тела на клинические проявления </w:t>
      </w:r>
    </w:p>
    <w:p w:rsidR="000A3B51" w:rsidRDefault="003D0A08">
      <w:pPr>
        <w:spacing w:after="147"/>
        <w:ind w:right="755"/>
      </w:pPr>
      <w:r>
        <w:t xml:space="preserve">остеоартроза коленных суставов / И. В. Соловьева, Е. А. Стребкова, Л. И. Алексеева [и др.] </w:t>
      </w:r>
    </w:p>
    <w:p w:rsidR="000A3B51" w:rsidRDefault="003D0A08">
      <w:pPr>
        <w:ind w:right="755"/>
      </w:pPr>
      <w:r>
        <w:t xml:space="preserve">// Ожирение и метаболизм. – 2014. – Т. 11, № 4. – С. 41–47. </w:t>
      </w:r>
    </w:p>
    <w:p w:rsidR="000A3B51" w:rsidRDefault="003D0A08">
      <w:pPr>
        <w:numPr>
          <w:ilvl w:val="0"/>
          <w:numId w:val="28"/>
        </w:numPr>
        <w:spacing w:line="356" w:lineRule="auto"/>
        <w:ind w:right="755" w:hanging="1068"/>
      </w:pPr>
      <w:r>
        <w:t>Robson, E. K. Effectiveness of Weight-Loss Interventions for Reducing Pain and Disability in People Wi</w:t>
      </w:r>
      <w:r>
        <w:t xml:space="preserve">th Common Musculoskeletal Disorders: A Systematic Review With Meta-Analysis / </w:t>
      </w:r>
    </w:p>
    <w:p w:rsidR="000A3B51" w:rsidRDefault="003D0A08">
      <w:pPr>
        <w:ind w:right="755"/>
      </w:pPr>
      <w:r>
        <w:t xml:space="preserve">E. K. Robson, R. K. Hodder, S. J. Kamper [et al.] // J. Orthop. Sports Phys. Ther. – 2020. – Vol. </w:t>
      </w:r>
    </w:p>
    <w:p w:rsidR="000A3B51" w:rsidRDefault="003D0A08">
      <w:pPr>
        <w:ind w:right="755"/>
      </w:pPr>
      <w:r>
        <w:t xml:space="preserve">50, № 6. – P. 319–333.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 xml:space="preserve">Salis, Z. Weight loss is associated with reduced risk </w:t>
      </w:r>
      <w:r>
        <w:t xml:space="preserve">of knee and hip replacement: a survival analysis using Osteoarthritis Initiative data / Z. Salis, A. Sainsbury, H. I. Keen [et al.] // Int. J. </w:t>
      </w:r>
    </w:p>
    <w:p w:rsidR="000A3B51" w:rsidRDefault="003D0A08">
      <w:pPr>
        <w:ind w:right="755"/>
      </w:pPr>
      <w:r>
        <w:t xml:space="preserve">Obes. (Lond). – 2022. – Vol. 46, № 4. – P. 874–884.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Salis, Z. Association of Weight Loss and Weight Gain With Structural Defects and Pain in Hand Osteoarthritis: Data From the Osteoarthritis Initiative / Z. Salis, J. B. Driban, T. E. </w:t>
      </w:r>
    </w:p>
    <w:p w:rsidR="000A3B51" w:rsidRDefault="003D0A08">
      <w:pPr>
        <w:ind w:right="755"/>
      </w:pPr>
      <w:r>
        <w:t>McAlindon [et al.] // Arthritis Care Res. (Hoboken). – 2024. – Vol. 76, №</w:t>
      </w:r>
      <w:r>
        <w:t xml:space="preserve"> 5. – P. 652–663. </w:t>
      </w:r>
    </w:p>
    <w:p w:rsidR="000A3B51" w:rsidRDefault="003D0A08">
      <w:pPr>
        <w:numPr>
          <w:ilvl w:val="0"/>
          <w:numId w:val="28"/>
        </w:numPr>
        <w:spacing w:after="19" w:line="358" w:lineRule="auto"/>
        <w:ind w:right="755" w:hanging="1068"/>
      </w:pPr>
      <w:r>
        <w:t xml:space="preserve">Butterworth, P. A. The association between body mass index and musculoskeletal foot disorders: a systematic review / P. A. Butterworth, K. B. Landorf, S. E. Smith, H. B. Menz // Obes. </w:t>
      </w:r>
    </w:p>
    <w:p w:rsidR="000A3B51" w:rsidRDefault="003D0A08">
      <w:pPr>
        <w:ind w:right="755"/>
      </w:pPr>
      <w:r>
        <w:t xml:space="preserve">Rev. – 2012. – Vol. 13, № 7. – P. 630–642. </w:t>
      </w:r>
    </w:p>
    <w:p w:rsidR="000A3B51" w:rsidRDefault="003D0A08">
      <w:pPr>
        <w:numPr>
          <w:ilvl w:val="0"/>
          <w:numId w:val="28"/>
        </w:numPr>
        <w:spacing w:after="18" w:line="356" w:lineRule="auto"/>
        <w:ind w:right="755" w:hanging="1068"/>
      </w:pPr>
      <w:r>
        <w:t xml:space="preserve">Morley, </w:t>
      </w:r>
      <w:r>
        <w:t xml:space="preserve">W. J. Simulated weight reduction using an anti-gravity treadmill – A pilot study of the impact of weight loss on foot and ankle arthritis / W. J. Morley, E. Dawe, R. Boyd [et al.] // </w:t>
      </w:r>
    </w:p>
    <w:p w:rsidR="000A3B51" w:rsidRDefault="003D0A08">
      <w:pPr>
        <w:ind w:right="755"/>
      </w:pPr>
      <w:r>
        <w:t xml:space="preserve">Foot Ankle Surg. – 2021. – Vol. 27, № 7. – P. 809–812. </w:t>
      </w:r>
    </w:p>
    <w:p w:rsidR="000A3B51" w:rsidRDefault="003D0A08">
      <w:pPr>
        <w:numPr>
          <w:ilvl w:val="0"/>
          <w:numId w:val="28"/>
        </w:numPr>
        <w:spacing w:after="28" w:line="374" w:lineRule="auto"/>
        <w:ind w:right="755" w:hanging="1068"/>
      </w:pPr>
      <w:r>
        <w:t xml:space="preserve">Gwinnutt, J. M. </w:t>
      </w:r>
      <w:r>
        <w:t>Effects of diet on the outcomes of rheumatic and musculoskeletal diseases (RMDs): systematic review and meta-analyses informing the 2021 EULAR recommendations for lifestyle improvements in people with RMDs / J. M. Gwinnutt, M. Wieczorek, J. Rodríguez-Carri</w:t>
      </w:r>
      <w:r>
        <w:t xml:space="preserve">o [et al.] // RMD Open. – 2022. – Vol. 8, № 2. – Article ID e002167. </w:t>
      </w:r>
    </w:p>
    <w:p w:rsidR="000A3B51" w:rsidRDefault="003D0A08">
      <w:pPr>
        <w:numPr>
          <w:ilvl w:val="0"/>
          <w:numId w:val="28"/>
        </w:numPr>
        <w:spacing w:after="26" w:line="371" w:lineRule="auto"/>
        <w:ind w:right="755" w:hanging="1068"/>
      </w:pPr>
      <w:r>
        <w:t>Лила, А. М. Оценка влияния комбинации глюкозамина и хондроитина сульфата, дополненной нативным (неденатурированным) коллагеном II типа, экстрактом имбиря, витаминами группы В и аскорбино</w:t>
      </w:r>
      <w:r>
        <w:t xml:space="preserve">вой кислотой на клинические проявления ОА при различных фенотипах заболевания (предварительные результаты) / А. М. Лила, Л. И. </w:t>
      </w:r>
    </w:p>
    <w:p w:rsidR="000A3B51" w:rsidRDefault="003D0A08">
      <w:pPr>
        <w:spacing w:after="1" w:line="358" w:lineRule="auto"/>
        <w:ind w:right="755"/>
      </w:pPr>
      <w:r>
        <w:t xml:space="preserve">Алексеева, Е. А. Таскина [и др.] // Современная ревматология. – 2024. – Т. 18, № 6. – С. 124– 127.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Kou, H. Effect of l-Carnitin</w:t>
      </w:r>
      <w:r>
        <w:t xml:space="preserve">e Supplementation on Osteoarthritis: A Systematic Review / </w:t>
      </w:r>
    </w:p>
    <w:p w:rsidR="000A3B51" w:rsidRDefault="003D0A08">
      <w:pPr>
        <w:spacing w:after="6" w:line="356" w:lineRule="auto"/>
        <w:ind w:right="755"/>
      </w:pPr>
      <w:r>
        <w:t xml:space="preserve">H. Kou, B. Li, Z. Wang, J. Ma // Mol. Nutr. Food Res. – 2024. – Vol. 68, № 8. – Article ID 2300614.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Fuggle, N. R. Alternative and complementary therapies in osteoarthritis and cartilage repair / </w:t>
      </w:r>
      <w:r>
        <w:t xml:space="preserve">N. R. Fuggle, C. Cooper, R. O. C. Oreffo [et al.] // Aging Clin. Exp. Res. – 2020. – Vol. 32, № 4. – P. 547–560. </w:t>
      </w:r>
    </w:p>
    <w:p w:rsidR="000A3B51" w:rsidRDefault="003D0A08">
      <w:pPr>
        <w:numPr>
          <w:ilvl w:val="0"/>
          <w:numId w:val="28"/>
        </w:numPr>
        <w:spacing w:after="0" w:line="365" w:lineRule="auto"/>
        <w:ind w:right="755" w:hanging="1068"/>
      </w:pPr>
      <w:r>
        <w:t xml:space="preserve">Vaishya, R. Current status of top 10 nutraceuticals used for Knee Osteoarthritis in India / </w:t>
      </w:r>
      <w:r>
        <w:t xml:space="preserve">R. Vaishya, A. K. Agarwal, A. Shah [et al.] // J. Clin. Orthop. Trauma. – 2018. – Vol. 9, № 4. – P. </w:t>
      </w:r>
    </w:p>
    <w:p w:rsidR="000A3B51" w:rsidRDefault="003D0A08">
      <w:pPr>
        <w:ind w:right="755"/>
      </w:pPr>
      <w:r>
        <w:t xml:space="preserve">338–348. </w:t>
      </w:r>
    </w:p>
    <w:p w:rsidR="000A3B51" w:rsidRDefault="003D0A08">
      <w:pPr>
        <w:numPr>
          <w:ilvl w:val="0"/>
          <w:numId w:val="28"/>
        </w:numPr>
        <w:spacing w:after="13" w:line="359" w:lineRule="auto"/>
        <w:ind w:right="755" w:hanging="1068"/>
      </w:pPr>
      <w:r>
        <w:t xml:space="preserve">Yu, G. Effectiveness of Boswellia and Boswellia extract for osteoarthritis patients: a systematic review and meta-analysis / G. Yu, W. Xiang, T. </w:t>
      </w:r>
      <w:r>
        <w:t xml:space="preserve">Zhang [et al.] // BMC Complement </w:t>
      </w:r>
    </w:p>
    <w:p w:rsidR="000A3B51" w:rsidRDefault="003D0A08">
      <w:pPr>
        <w:ind w:right="755"/>
      </w:pPr>
      <w:r>
        <w:t xml:space="preserve">Med. Ther. – 2020. – Vol. 20, № 1. – Article ID 225. </w:t>
      </w:r>
    </w:p>
    <w:p w:rsidR="000A3B51" w:rsidRDefault="003D0A08">
      <w:pPr>
        <w:numPr>
          <w:ilvl w:val="0"/>
          <w:numId w:val="28"/>
        </w:numPr>
        <w:spacing w:after="40" w:line="365" w:lineRule="auto"/>
        <w:ind w:right="755" w:hanging="1068"/>
      </w:pPr>
      <w:r>
        <w:t xml:space="preserve">Park J., Lee S. W. Medical treatment of osteoarthritis: botanical pharmacologic aspect / J. Park, S. W. Lee // J. Rheum. Dis. – 2024. – Vol. 31, № 2. – P. 68–78. </w:t>
      </w:r>
    </w:p>
    <w:p w:rsidR="000A3B51" w:rsidRDefault="003D0A08">
      <w:pPr>
        <w:numPr>
          <w:ilvl w:val="0"/>
          <w:numId w:val="28"/>
        </w:numPr>
        <w:spacing w:after="0" w:line="397" w:lineRule="auto"/>
        <w:ind w:right="755" w:hanging="1068"/>
      </w:pPr>
      <w:r>
        <w:t>Алекс</w:t>
      </w:r>
      <w:r>
        <w:t xml:space="preserve">еева Л. И. Эффективность и безопасность применения неденатурированного коллагена II типа у пациентов с остеоартритом коленных суставов: многоцентровое проспективное двойное слепое плацебо-контролируемое рандомизированное исследование / Л. И. Алексеева, Н. </w:t>
      </w:r>
      <w:r>
        <w:t xml:space="preserve">Г. Кашеварова, Е. А. Таскина [и др.] // Терапевтический архив. – 2024. </w:t>
      </w:r>
    </w:p>
    <w:p w:rsidR="000A3B51" w:rsidRDefault="003D0A08">
      <w:pPr>
        <w:spacing w:after="155"/>
        <w:ind w:right="755"/>
      </w:pPr>
      <w:r>
        <w:t xml:space="preserve">– Т. 96, № 5. – С. 500–509. </w:t>
      </w:r>
    </w:p>
    <w:p w:rsidR="000A3B51" w:rsidRDefault="003D0A08">
      <w:pPr>
        <w:numPr>
          <w:ilvl w:val="0"/>
          <w:numId w:val="28"/>
        </w:numPr>
        <w:spacing w:after="23" w:line="378" w:lineRule="auto"/>
        <w:ind w:right="755" w:hanging="1068"/>
      </w:pPr>
      <w:r>
        <w:t>Данилов А. Б. Новый фармаконутрицевтик Хондрогард®ТРИО для профилактики заболеваний опорно-двигательного аппарата и нутритивной поддержки пациентов с остео</w:t>
      </w:r>
      <w:r>
        <w:t>артритом и неспецифической болью в спине: оценка клинических возможностей. Резолюция мультидисциплинарного экспертного совета / А. Б. Данилов, А. М. Лила, Ю. Н. Маджидова [и др.] // Неврология, нейропсихиатрия, психосоматика. – 2023. – Т. 15, № 2. – С. 134</w:t>
      </w:r>
      <w:r>
        <w:t xml:space="preserve">–146. </w:t>
      </w:r>
    </w:p>
    <w:p w:rsidR="000A3B51" w:rsidRDefault="003D0A08">
      <w:pPr>
        <w:numPr>
          <w:ilvl w:val="0"/>
          <w:numId w:val="28"/>
        </w:numPr>
        <w:spacing w:after="34" w:line="371" w:lineRule="auto"/>
        <w:ind w:right="755" w:hanging="1068"/>
      </w:pPr>
      <w:r>
        <w:t xml:space="preserve">Алексеева Л. И., Шарапова Е. П. Применение препаратов АРТРА МСМ ФОРТЕ и АРТРА при остеоартрозе и болях в спине / Л. И. Алексеева, Е. П. Шарапова // Медицинский Совет. – 2017. – № 10. – С. 96–101. </w:t>
      </w:r>
    </w:p>
    <w:p w:rsidR="000A3B51" w:rsidRDefault="003D0A08">
      <w:pPr>
        <w:numPr>
          <w:ilvl w:val="0"/>
          <w:numId w:val="28"/>
        </w:numPr>
        <w:spacing w:after="39" w:line="357" w:lineRule="auto"/>
        <w:ind w:right="755" w:hanging="1068"/>
      </w:pPr>
      <w:r>
        <w:t>Алексеева Л. И. Применение АРТРА MСM ФОРТЕ у пациент</w:t>
      </w:r>
      <w:r>
        <w:t xml:space="preserve">ов с остеоартрозом коленного сустава: результаты рандомизированного открытого сравнительного изучения эффективности и переносимости препарата / Л. И. Алексеева, Е. П. Шарапова, Н. Г. </w:t>
      </w:r>
    </w:p>
    <w:p w:rsidR="000A3B51" w:rsidRDefault="003D0A08">
      <w:pPr>
        <w:ind w:right="755"/>
      </w:pPr>
      <w:r>
        <w:t>Кашеварова [и др.] // Терапевтический архив. – 2015. – Т. 87, № 12. – С.</w:t>
      </w:r>
      <w:r>
        <w:t xml:space="preserve"> 370–376. </w:t>
      </w:r>
    </w:p>
    <w:p w:rsidR="000A3B51" w:rsidRDefault="003D0A08">
      <w:pPr>
        <w:numPr>
          <w:ilvl w:val="0"/>
          <w:numId w:val="28"/>
        </w:numPr>
        <w:spacing w:after="21" w:line="357" w:lineRule="auto"/>
        <w:ind w:right="755" w:hanging="1068"/>
      </w:pPr>
      <w:r>
        <w:t xml:space="preserve">Kitagawa T. Effectiveness of Rehabilitation for Osteoarthritis of the Knee: A Scoping Review of Network Meta-Analyses / T. Kitagawa, T. Denda, W. Okuyama [et al.]  // Cureus. – </w:t>
      </w:r>
    </w:p>
    <w:p w:rsidR="000A3B51" w:rsidRDefault="003D0A08">
      <w:pPr>
        <w:ind w:right="755"/>
      </w:pPr>
      <w:r>
        <w:t xml:space="preserve">2024. – Vol. 16, № 4. – Article ID 57661.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 xml:space="preserve">Mo L. Exercise Therapy for Knee Osteoarthritis: A Systematic Review and Network Metaanalysis / L. Mo, B. Jiang, T. Mei [et al.] // Orthop. J. Sports Med. – 2023. – Vol. 11, № 5. – Article ID 1172773. </w:t>
      </w:r>
    </w:p>
    <w:p w:rsidR="000A3B51" w:rsidRDefault="003D0A08">
      <w:pPr>
        <w:numPr>
          <w:ilvl w:val="0"/>
          <w:numId w:val="28"/>
        </w:numPr>
        <w:spacing w:after="2" w:line="356" w:lineRule="auto"/>
        <w:ind w:right="755" w:hanging="1068"/>
      </w:pPr>
      <w:r>
        <w:t>Karanasios S. Exercise-Based Interventions Are Effectiv</w:t>
      </w:r>
      <w:r>
        <w:t xml:space="preserve">e in the Management of Patients with Thumb Carpometacarpal Osteoarthritis: A Systematic Review and Meta-Analysis of </w:t>
      </w:r>
    </w:p>
    <w:p w:rsidR="000A3B51" w:rsidRDefault="003D0A08">
      <w:pPr>
        <w:ind w:right="755"/>
      </w:pPr>
      <w:r>
        <w:t xml:space="preserve">Randomised Controlled Trials / S. Karanasios, D. Mertyri, F. Karydis [et al.] // Healthcare (Basel). </w:t>
      </w:r>
    </w:p>
    <w:p w:rsidR="000A3B51" w:rsidRDefault="003D0A08">
      <w:pPr>
        <w:ind w:right="755"/>
      </w:pPr>
      <w:r>
        <w:t xml:space="preserve">– 2024. – Vol. 12, № 8. – </w:t>
      </w:r>
      <w:r>
        <w:t xml:space="preserve">Article ID 80823.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 xml:space="preserve">Zhang Z. Y. Home-based vs center-based exercise on patient-reported and performancebased outcomes for knee osteoarthritis: a systematic review with meta-analysis / Z. Y. Zhang, L. Huang, L. Tian [et al.] // Front. Public Health. – 2024. </w:t>
      </w:r>
      <w:r>
        <w:t xml:space="preserve">– Vol. 12. – Article ID 1360824.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Mao Y. Efficacy of home-based exercise in the treatment of pain and disability at the hip and knee in patients with osteoarthritis: a systematic review and meta-analysis / Y. Mao, B. Qiu, </w:t>
      </w:r>
    </w:p>
    <w:p w:rsidR="000A3B51" w:rsidRDefault="003D0A08">
      <w:pPr>
        <w:ind w:right="755"/>
      </w:pPr>
      <w:r>
        <w:t>W. Wang [et al.] // BMC Musculosk</w:t>
      </w:r>
      <w:r>
        <w:t xml:space="preserve">elet. Disord. – 2024. – Vol. 25, № 1. – Article ID 7585. </w:t>
      </w:r>
    </w:p>
    <w:p w:rsidR="000A3B51" w:rsidRDefault="003D0A08">
      <w:pPr>
        <w:numPr>
          <w:ilvl w:val="0"/>
          <w:numId w:val="28"/>
        </w:numPr>
        <w:spacing w:after="0" w:line="363" w:lineRule="auto"/>
        <w:ind w:right="755" w:hanging="1068"/>
      </w:pPr>
      <w:r>
        <w:t xml:space="preserve">Roddy E. Aerobic walking or strengthening exercise for osteoarthritis of the knee? A systematic review / E. Roddy, W. Zhang, M. Doherty // Ann. Rheum. Dis. – 2005. – Vol. 64, № 4. – P. 544–548. </w:t>
      </w:r>
    </w:p>
    <w:p w:rsidR="000A3B51" w:rsidRDefault="003D0A08">
      <w:pPr>
        <w:numPr>
          <w:ilvl w:val="0"/>
          <w:numId w:val="28"/>
        </w:numPr>
        <w:spacing w:after="28" w:line="358" w:lineRule="auto"/>
        <w:ind w:right="755" w:hanging="1068"/>
      </w:pPr>
      <w:r>
        <w:t>Con</w:t>
      </w:r>
      <w:r>
        <w:t xml:space="preserve">n V. S. Physical activity interventions among adults with arthritis: meta-analysis of outcomes / V. S. Conn, A. R. Hafdahl, M. A. Minor [et al.] // Semin. Arthritis Rheum. – 2008. – </w:t>
      </w:r>
    </w:p>
    <w:p w:rsidR="000A3B51" w:rsidRDefault="003D0A08">
      <w:pPr>
        <w:ind w:right="755"/>
      </w:pPr>
      <w:r>
        <w:t xml:space="preserve">Vol. 37, № 5. – P. 307–316. </w:t>
      </w:r>
    </w:p>
    <w:p w:rsidR="000A3B51" w:rsidRDefault="003D0A08">
      <w:pPr>
        <w:numPr>
          <w:ilvl w:val="0"/>
          <w:numId w:val="28"/>
        </w:numPr>
        <w:spacing w:after="9" w:line="358" w:lineRule="auto"/>
        <w:ind w:right="755" w:hanging="1068"/>
      </w:pPr>
      <w:r>
        <w:t>Zhang W. OARSI recommendations for the manag</w:t>
      </w:r>
      <w:r>
        <w:t xml:space="preserve">ement of hip and knee osteoarthritis, Part II: OARSI evidence-based, expert consensus guidelines / W. Zhang, R. W. Moskowitz, G. </w:t>
      </w:r>
    </w:p>
    <w:p w:rsidR="000A3B51" w:rsidRDefault="003D0A08">
      <w:pPr>
        <w:ind w:right="755"/>
      </w:pPr>
      <w:r>
        <w:t xml:space="preserve">Nuki [et al.] // Osteoarthritis Cartilage. – 2008. – Vol. 16, № 2. – P. 137–162. </w:t>
      </w:r>
    </w:p>
    <w:p w:rsidR="000A3B51" w:rsidRDefault="003D0A08">
      <w:pPr>
        <w:numPr>
          <w:ilvl w:val="0"/>
          <w:numId w:val="28"/>
        </w:numPr>
        <w:spacing w:after="14" w:line="356" w:lineRule="auto"/>
        <w:ind w:right="755" w:hanging="1068"/>
      </w:pPr>
      <w:r>
        <w:t xml:space="preserve">Doi T. Effect of home exercise of quadriceps on knee osteoarthritis compared with nonsteroidal anti-inflammatory drugs: a randomized controlled trial / T. Doi, M. Akai, K. Fujino </w:t>
      </w:r>
    </w:p>
    <w:p w:rsidR="000A3B51" w:rsidRDefault="003D0A08">
      <w:pPr>
        <w:ind w:right="755"/>
      </w:pPr>
      <w:r>
        <w:t>[et al.] // Am. J. Phys. Med. Rehabil. – 2008. – Vol. 87, № 4. – P. 258–269.</w:t>
      </w:r>
      <w:r>
        <w:t xml:space="preserve"> </w:t>
      </w:r>
    </w:p>
    <w:p w:rsidR="000A3B51" w:rsidRDefault="003D0A08">
      <w:pPr>
        <w:numPr>
          <w:ilvl w:val="0"/>
          <w:numId w:val="28"/>
        </w:numPr>
        <w:spacing w:after="31" w:line="373" w:lineRule="auto"/>
        <w:ind w:right="755" w:hanging="1068"/>
      </w:pPr>
      <w:r>
        <w:t xml:space="preserve">Hernández-Molina G. Effect of therapeutic exercise for hip osteoarthritis pain: results of a meta-analysis / G. Hernández-Molina, S. Reichenbach, Z. Bin [et al.] // Arthritis Rheum. – 2008. – Vol. 59, № 9. – P. 1221–1228. </w:t>
      </w:r>
    </w:p>
    <w:p w:rsidR="000A3B51" w:rsidRDefault="003D0A08">
      <w:pPr>
        <w:numPr>
          <w:ilvl w:val="0"/>
          <w:numId w:val="28"/>
        </w:numPr>
        <w:spacing w:after="8" w:line="374" w:lineRule="auto"/>
        <w:ind w:right="755" w:hanging="1068"/>
      </w:pPr>
      <w:r>
        <w:t>O’Connor S. R. Walking exercise</w:t>
      </w:r>
      <w:r>
        <w:t xml:space="preserve"> for chronic musculoskeletal pain: systematic review and meta-analysis / S. R. O’Connor, M. A. Tully, B. Ryan [et al.] // Arch. Phys. Med. Rehabil. – 2015. </w:t>
      </w:r>
    </w:p>
    <w:p w:rsidR="000A3B51" w:rsidRDefault="003D0A08">
      <w:pPr>
        <w:ind w:right="755"/>
      </w:pPr>
      <w:r>
        <w:t xml:space="preserve">– Vol. 96, № 4. – P. 724-734. </w:t>
      </w:r>
    </w:p>
    <w:p w:rsidR="000A3B51" w:rsidRDefault="003D0A08">
      <w:pPr>
        <w:numPr>
          <w:ilvl w:val="0"/>
          <w:numId w:val="28"/>
        </w:numPr>
        <w:spacing w:after="9" w:line="358" w:lineRule="auto"/>
        <w:ind w:right="755" w:hanging="1068"/>
      </w:pPr>
      <w:r>
        <w:t>Hurley M. Exercise interventions and patient beliefs for people with</w:t>
      </w:r>
      <w:r>
        <w:t xml:space="preserve"> hip, knee or hip and knee osteoarthritis: a mixed methods review / M. Hurley, K. Dickson, R. Hallett [et al.] // Cochrane </w:t>
      </w:r>
    </w:p>
    <w:p w:rsidR="000A3B51" w:rsidRDefault="003D0A08">
      <w:pPr>
        <w:ind w:right="755"/>
      </w:pPr>
      <w:r>
        <w:t xml:space="preserve">Database Syst. Rev. – 2018. – Vol. 4, № 4. – Article ID CD010842.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Goh S. L. Relative Efficacy of Different Exercises for Pain, Func</w:t>
      </w:r>
      <w:r>
        <w:t xml:space="preserve">tion, Performance and </w:t>
      </w:r>
    </w:p>
    <w:p w:rsidR="000A3B51" w:rsidRDefault="003D0A08">
      <w:pPr>
        <w:ind w:right="755"/>
      </w:pPr>
      <w:r>
        <w:t xml:space="preserve">Quality of Life in Knee and Hip Osteoarthritis: Systematic Review and Network Meta-Analysis / </w:t>
      </w:r>
    </w:p>
    <w:p w:rsidR="000A3B51" w:rsidRDefault="003D0A08">
      <w:pPr>
        <w:spacing w:after="6" w:line="356" w:lineRule="auto"/>
        <w:ind w:right="755"/>
      </w:pPr>
      <w:r>
        <w:t xml:space="preserve">S. L. Goh, M. S. M. Persson, J. Stocks [et al.] // Sports Med. – 2019. – Vol. 49, № 5. – P. 743– 761. </w:t>
      </w:r>
    </w:p>
    <w:p w:rsidR="000A3B51" w:rsidRDefault="003D0A08">
      <w:pPr>
        <w:numPr>
          <w:ilvl w:val="0"/>
          <w:numId w:val="28"/>
        </w:numPr>
        <w:spacing w:after="0" w:line="356" w:lineRule="auto"/>
        <w:ind w:right="755" w:hanging="1068"/>
      </w:pPr>
      <w:r>
        <w:t xml:space="preserve">Gwinnutt J. M. Effects of physical </w:t>
      </w:r>
      <w:r>
        <w:t>exercise and body weight on disease-specific outcomes of people with rheumatic and musculoskeletal diseases (RMDs): systematic reviews and metaanalyses informing the 2021 EULAR recommendations for lifestyle improvements in people with RMDs / J. M. Gwinnutt</w:t>
      </w:r>
      <w:r>
        <w:t xml:space="preserve">, M. Wieczorek, G. Cavalli [et al.] // RMD Open. – 2022. – Vol. 8, № 1. – Article ID e002168. </w:t>
      </w:r>
    </w:p>
    <w:p w:rsidR="000A3B51" w:rsidRDefault="003D0A08">
      <w:pPr>
        <w:numPr>
          <w:ilvl w:val="0"/>
          <w:numId w:val="28"/>
        </w:numPr>
        <w:spacing w:after="11" w:line="357" w:lineRule="auto"/>
        <w:ind w:right="755" w:hanging="1068"/>
      </w:pPr>
      <w:r>
        <w:t>Lawford B. J. What should a toolkit to aid the delivery of therapeutic exercise for hip and knee osteoarthritis look like? Qualitative analysis of an internation</w:t>
      </w:r>
      <w:r>
        <w:t xml:space="preserve">al survey of 318 researchers, clinicians, and consumers by the OARSI Rehabilitation Discussion Group / B. J. Lawford, H. </w:t>
      </w:r>
    </w:p>
    <w:p w:rsidR="000A3B51" w:rsidRDefault="003D0A08">
      <w:pPr>
        <w:ind w:right="755"/>
      </w:pPr>
      <w:r>
        <w:t xml:space="preserve">Master, J. B. Larsen [et al.] // Musculoskelet. Care. – 2023. – Vol. 21, № 2. – P. 545–555. </w:t>
      </w:r>
    </w:p>
    <w:p w:rsidR="000A3B51" w:rsidRDefault="003D0A08">
      <w:pPr>
        <w:numPr>
          <w:ilvl w:val="0"/>
          <w:numId w:val="28"/>
        </w:numPr>
        <w:spacing w:after="3" w:line="359" w:lineRule="auto"/>
        <w:ind w:right="755" w:hanging="1068"/>
      </w:pPr>
      <w:r>
        <w:t>Xiang X. N. Telehealth-</w:t>
      </w:r>
      <w:r>
        <w:t xml:space="preserve">Supported Exercise or Physical Activity Programs for Knee Osteoarthritis: Systematic Review and Meta-Analysis / X. N. Xiang, Z. Z. Wang, J. Hu [et al.] // J. Med. Internet Res. – 2024. – Vol. 26. – Article ID 54876. </w:t>
      </w:r>
    </w:p>
    <w:p w:rsidR="000A3B51" w:rsidRDefault="003D0A08">
      <w:pPr>
        <w:numPr>
          <w:ilvl w:val="0"/>
          <w:numId w:val="28"/>
        </w:numPr>
        <w:spacing w:after="20" w:line="358" w:lineRule="auto"/>
        <w:ind w:right="755" w:hanging="1068"/>
      </w:pPr>
      <w:r>
        <w:t>Fenton S. A. M. Does the intensity of d</w:t>
      </w:r>
      <w:r>
        <w:t xml:space="preserve">aily walking matter for protecting against the development of a slow gait speed in people with or at high risk of knee osteoarthritis? An observational study / S. A. M. Fenton, T. Neogi, D. Dunlop [et al.] // Osteoarthritis Cartilage. – </w:t>
      </w:r>
    </w:p>
    <w:p w:rsidR="000A3B51" w:rsidRDefault="003D0A08">
      <w:pPr>
        <w:ind w:right="755"/>
      </w:pPr>
      <w:r>
        <w:t>2018. – Vol. 26, №</w:t>
      </w:r>
      <w:r>
        <w:t xml:space="preserve"> 9. – P. 1181–1189. </w:t>
      </w:r>
    </w:p>
    <w:p w:rsidR="000A3B51" w:rsidRDefault="003D0A08">
      <w:pPr>
        <w:numPr>
          <w:ilvl w:val="0"/>
          <w:numId w:val="28"/>
        </w:numPr>
        <w:spacing w:after="0" w:line="363" w:lineRule="auto"/>
        <w:ind w:right="755" w:hanging="1068"/>
      </w:pPr>
      <w:r>
        <w:t xml:space="preserve">White D. K. Potential Functional Benefit From Light Intensity Physical Activity in Knee Osteoarthritis / D. K. White, J. Lee, J. Song [et al.] // Am. J. Prev. Med. – 2017. – Vol. 53, № 5. – P. 689–696. </w:t>
      </w:r>
    </w:p>
    <w:p w:rsidR="000A3B51" w:rsidRDefault="003D0A08">
      <w:pPr>
        <w:numPr>
          <w:ilvl w:val="0"/>
          <w:numId w:val="28"/>
        </w:numPr>
        <w:spacing w:after="13" w:line="358" w:lineRule="auto"/>
        <w:ind w:right="755" w:hanging="1068"/>
      </w:pPr>
      <w:r>
        <w:t>White D. K. Daily walking and th</w:t>
      </w:r>
      <w:r>
        <w:t xml:space="preserve">e risk of incident functional limitation in knee OA: An observational study / D. K. White, C. Tudor-Locke, Y. Zhang [et al.] // Arthritis Care Res. </w:t>
      </w:r>
    </w:p>
    <w:p w:rsidR="000A3B51" w:rsidRDefault="003D0A08">
      <w:pPr>
        <w:ind w:right="755"/>
      </w:pPr>
      <w:r>
        <w:t xml:space="preserve">(Hoboken). – 2014. – Vol. 66, № 9. – Article ID 22362. </w:t>
      </w:r>
    </w:p>
    <w:p w:rsidR="000A3B51" w:rsidRDefault="003D0A08">
      <w:pPr>
        <w:numPr>
          <w:ilvl w:val="0"/>
          <w:numId w:val="28"/>
        </w:numPr>
        <w:spacing w:after="1" w:line="358" w:lineRule="auto"/>
        <w:ind w:right="755" w:hanging="1068"/>
      </w:pPr>
      <w:r>
        <w:t>Qiu P. Causal effects of walking pace on osteoarthr</w:t>
      </w:r>
      <w:r>
        <w:t xml:space="preserve">itis: a two-sample mendelian randomization study / P. Qiu, J. Wu, L. Kui [et al.] // Front. Genet. – 2023. – Vol. 14. – Article ID 1266158.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Beck S. Unloader bracing in osteoarthritis of the knee - Is there a direct effect on the damaged cartilage? / S. Be</w:t>
      </w:r>
      <w:r>
        <w:t xml:space="preserve">ck, F. Dittrich, A. Busch [et al.] // Knee. – 2023. – Vol. 40. – P. 16–23. </w:t>
      </w:r>
    </w:p>
    <w:p w:rsidR="000A3B51" w:rsidRDefault="003D0A08">
      <w:pPr>
        <w:numPr>
          <w:ilvl w:val="0"/>
          <w:numId w:val="28"/>
        </w:numPr>
        <w:spacing w:after="3" w:line="359" w:lineRule="auto"/>
        <w:ind w:right="755" w:hanging="1068"/>
      </w:pPr>
      <w:r>
        <w:t>Steingrebe H. Effects of Hip Bracing on Gait Biomechanics, Pain and Function in Subjects With Mild to Moderate Hip Osteoarthritis / H. Steingrebe, B. J. Stetter, S. Sell [et al.] /</w:t>
      </w:r>
      <w:r>
        <w:t xml:space="preserve">/ Front. Bioeng. Biotechnol. – 2022. – Vol. 10. – Article ID 888775. </w:t>
      </w:r>
    </w:p>
    <w:p w:rsidR="000A3B51" w:rsidRDefault="003D0A08">
      <w:pPr>
        <w:numPr>
          <w:ilvl w:val="0"/>
          <w:numId w:val="28"/>
        </w:numPr>
        <w:spacing w:after="11" w:line="357" w:lineRule="auto"/>
        <w:ind w:right="755" w:hanging="1068"/>
      </w:pPr>
      <w:r>
        <w:t xml:space="preserve">Fan Y. Valgus knee bracing may have no long-term effect on pain improvement and functional activity in patients with knee osteoarthritis: a meta-analysis of randomized trials / Y. </w:t>
      </w:r>
    </w:p>
    <w:p w:rsidR="000A3B51" w:rsidRDefault="003D0A08">
      <w:pPr>
        <w:ind w:right="755"/>
      </w:pPr>
      <w:r>
        <w:t xml:space="preserve">Fan, </w:t>
      </w:r>
      <w:r>
        <w:t xml:space="preserve">Z. Li, H. Zhang [et al.] // J. Orthop. Surg. Res. – 2020. – Vol. 15, № 1. – Article ID 13018.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>Marotta N. Comparative Effectiveness of Orthoses for Thumb Osteoarthritis: A Systematic Review and Network Meta-analysis / N. Marotta, A. Demeco, C. Marinaro [et</w:t>
      </w:r>
      <w:r>
        <w:t xml:space="preserve"> al.] // Arch. Phys. </w:t>
      </w:r>
    </w:p>
    <w:p w:rsidR="000A3B51" w:rsidRDefault="003D0A08">
      <w:pPr>
        <w:ind w:right="755"/>
      </w:pPr>
      <w:r>
        <w:t xml:space="preserve">Med. Rehabil. – 2021. – Vol. 102, № 3. – P. 502–509. </w:t>
      </w:r>
    </w:p>
    <w:p w:rsidR="000A3B51" w:rsidRDefault="003D0A08">
      <w:pPr>
        <w:numPr>
          <w:ilvl w:val="0"/>
          <w:numId w:val="28"/>
        </w:numPr>
        <w:spacing w:after="3" w:line="364" w:lineRule="auto"/>
        <w:ind w:right="755" w:hanging="1068"/>
      </w:pPr>
      <w:r>
        <w:t>Stetter B. J. Impact of a Semi-</w:t>
      </w:r>
      <w:r>
        <w:t xml:space="preserve">Rigid Knee Orthotic Intervention on Pain, Physical Activity, and Functional Capacity in Patients with Medial Knee Osteoarthritis / B. J. Stetter, J. Fiedler, M. </w:t>
      </w:r>
    </w:p>
    <w:p w:rsidR="000A3B51" w:rsidRDefault="003D0A08">
      <w:pPr>
        <w:ind w:right="755"/>
      </w:pPr>
      <w:r>
        <w:t xml:space="preserve">Arndt [et al.] // J. Clin. Med. – 2024. – Vol. 13, № 6. – Article ID 1535. </w:t>
      </w:r>
    </w:p>
    <w:p w:rsidR="000A3B51" w:rsidRDefault="003D0A08">
      <w:pPr>
        <w:numPr>
          <w:ilvl w:val="0"/>
          <w:numId w:val="28"/>
        </w:numPr>
        <w:spacing w:after="0" w:line="362" w:lineRule="auto"/>
        <w:ind w:right="755" w:hanging="1068"/>
      </w:pPr>
      <w:r>
        <w:t>Berteau J. P. Knee</w:t>
      </w:r>
      <w:r>
        <w:t xml:space="preserve"> Pain from Osteoarthritis: Pathogenesis, Risk Factors, and Recent Evidence on Physical Therapy Interventions / J. P. Berteau // J. Clin. Med. – 2022. – Vol. 11, № </w:t>
      </w:r>
    </w:p>
    <w:p w:rsidR="000A3B51" w:rsidRDefault="003D0A08">
      <w:pPr>
        <w:ind w:right="755"/>
      </w:pPr>
      <w:r>
        <w:t xml:space="preserve">12. – Article ID 23252. </w:t>
      </w:r>
    </w:p>
    <w:p w:rsidR="000A3B51" w:rsidRDefault="003D0A08">
      <w:pPr>
        <w:numPr>
          <w:ilvl w:val="0"/>
          <w:numId w:val="28"/>
        </w:numPr>
        <w:spacing w:after="16" w:line="358" w:lineRule="auto"/>
        <w:ind w:right="755" w:hanging="1068"/>
      </w:pPr>
      <w:r>
        <w:t>Brouwer R. W. Brace treatment for osteoarthritis of the knee: a pro</w:t>
      </w:r>
      <w:r>
        <w:t xml:space="preserve">spective randomized multi-centre trial / R. W. Brouwer, T. M. van Raaij, J. A. N. Verhaar [et al.] // Osteoarthritis </w:t>
      </w:r>
    </w:p>
    <w:p w:rsidR="000A3B51" w:rsidRDefault="003D0A08">
      <w:pPr>
        <w:ind w:right="755"/>
      </w:pPr>
      <w:r>
        <w:t xml:space="preserve">Cartilage. – 2006. – Vol. 14, № 8. – P. 777–783. </w:t>
      </w:r>
    </w:p>
    <w:p w:rsidR="000A3B51" w:rsidRDefault="003D0A08">
      <w:pPr>
        <w:numPr>
          <w:ilvl w:val="0"/>
          <w:numId w:val="28"/>
        </w:numPr>
        <w:spacing w:after="17" w:line="357" w:lineRule="auto"/>
        <w:ind w:right="755" w:hanging="1068"/>
      </w:pPr>
      <w:r>
        <w:t>Callaghan M. J. A randomised trial of a brace for patellofemoral osteoarthritis targetin</w:t>
      </w:r>
      <w:r>
        <w:t xml:space="preserve">g knee pain and bone marrow lesions / M. J. Callaghan, M. J. Parkes, C. E. Hutchinson [et al.] // </w:t>
      </w:r>
    </w:p>
    <w:p w:rsidR="000A3B51" w:rsidRDefault="003D0A08">
      <w:pPr>
        <w:ind w:right="755"/>
      </w:pPr>
      <w:r>
        <w:t xml:space="preserve">Ann. Rheum. Dis. – 2015. – Vol. 74, № 6. – P. 1164–1170.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Kirkley A. The effect of bracing on varus gonarthrosis / A. Kirkley, S. Webster-Bogaert, </w:t>
      </w:r>
    </w:p>
    <w:p w:rsidR="000A3B51" w:rsidRDefault="003D0A08">
      <w:pPr>
        <w:ind w:right="755"/>
      </w:pPr>
      <w:r>
        <w:t>R. Litchf</w:t>
      </w:r>
      <w:r>
        <w:t xml:space="preserve">ield [et al.] // J. Bone Joint Surg. Am. – 1999. – Vol. 81, № 4. – P. 539–548.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Van Raaij T. M. Medial knee osteoarthritis treated by insoles or braces: a randomized trial </w:t>
      </w:r>
    </w:p>
    <w:p w:rsidR="000A3B51" w:rsidRDefault="003D0A08">
      <w:pPr>
        <w:ind w:right="755"/>
      </w:pPr>
      <w:r>
        <w:t xml:space="preserve">/ T. M. Van Raaij, M. Reijman, R. W. Brouwer [et al.] // Clin. Orthop. Relat. Res. </w:t>
      </w:r>
      <w:r>
        <w:t xml:space="preserve">– 2010. – Vol. </w:t>
      </w:r>
    </w:p>
    <w:p w:rsidR="000A3B51" w:rsidRDefault="003D0A08">
      <w:pPr>
        <w:ind w:right="755"/>
      </w:pPr>
      <w:r>
        <w:t xml:space="preserve">468, № 7. – P. 1926–1932. </w:t>
      </w:r>
    </w:p>
    <w:p w:rsidR="000A3B51" w:rsidRDefault="003D0A08">
      <w:pPr>
        <w:numPr>
          <w:ilvl w:val="0"/>
          <w:numId w:val="28"/>
        </w:numPr>
        <w:spacing w:after="30" w:line="361" w:lineRule="auto"/>
        <w:ind w:right="755" w:hanging="1068"/>
      </w:pPr>
      <w:r>
        <w:t xml:space="preserve">Zafar A.Q. The effectiveness of foot orthoses in the treatment of medial knee osteoarthritis: A systematic review / A.Q. Zafar, R. Zamani, M. Akrami // Gait Posture. – 2020. – Vol. 76. – P. 238–251. </w:t>
      </w:r>
    </w:p>
    <w:p w:rsidR="000A3B51" w:rsidRDefault="003D0A08">
      <w:pPr>
        <w:numPr>
          <w:ilvl w:val="0"/>
          <w:numId w:val="28"/>
        </w:numPr>
        <w:spacing w:after="156"/>
        <w:ind w:right="755" w:hanging="1068"/>
      </w:pPr>
      <w:r>
        <w:t xml:space="preserve">Nérot A. Clinical study on the unloading effect of hip bracing on gait in patients with hip </w:t>
      </w:r>
    </w:p>
    <w:p w:rsidR="000A3B51" w:rsidRDefault="003D0A08">
      <w:pPr>
        <w:spacing w:after="6" w:line="356" w:lineRule="auto"/>
        <w:ind w:right="755"/>
      </w:pPr>
      <w:r>
        <w:t xml:space="preserve">osteoarthritis / A. Nérot, M. Nicholls // Prosthet. Orthot. Int. – 2017. – Vol. 41, № 2. – P. 127– 133. </w:t>
      </w:r>
    </w:p>
    <w:p w:rsidR="000A3B51" w:rsidRDefault="003D0A08">
      <w:pPr>
        <w:numPr>
          <w:ilvl w:val="0"/>
          <w:numId w:val="28"/>
        </w:numPr>
        <w:spacing w:after="0" w:line="363" w:lineRule="auto"/>
        <w:ind w:right="755" w:hanging="1068"/>
      </w:pPr>
      <w:r>
        <w:t>Menz H.B. Effectiveness of Foot Orthoses Versus Rocker-</w:t>
      </w:r>
      <w:r>
        <w:t xml:space="preserve">Sole Footwear for First Metatarsophalangeal Joint Osteoarthritis: Randomized Trial / H.B. Menz, M. Auhl, J.M. Tan [et al.] // Arthritis Care Res. – 2016. – Vol. 68, № 5. – P. 581–589. </w:t>
      </w:r>
    </w:p>
    <w:p w:rsidR="000A3B51" w:rsidRDefault="003D0A08">
      <w:pPr>
        <w:numPr>
          <w:ilvl w:val="0"/>
          <w:numId w:val="28"/>
        </w:numPr>
        <w:spacing w:after="21" w:line="359" w:lineRule="auto"/>
        <w:ind w:right="755" w:hanging="1068"/>
      </w:pPr>
      <w:r>
        <w:t>Munteanu S.E. Shoe-stiffening inserts for first metatarsophalangeal joi</w:t>
      </w:r>
      <w:r>
        <w:t xml:space="preserve">nt osteoarthritis: a randomised trial / S.E. Munteanu, K.B. Landorf, J.A. McClelland [et al.] // Osteoarthr. Cartil. – </w:t>
      </w:r>
    </w:p>
    <w:p w:rsidR="000A3B51" w:rsidRDefault="003D0A08">
      <w:pPr>
        <w:ind w:right="755"/>
      </w:pPr>
      <w:r>
        <w:t xml:space="preserve">2021. – Vol. 29, № 4. – P. 480–490. </w:t>
      </w:r>
    </w:p>
    <w:p w:rsidR="000A3B51" w:rsidRDefault="003D0A08">
      <w:pPr>
        <w:numPr>
          <w:ilvl w:val="0"/>
          <w:numId w:val="28"/>
        </w:numPr>
        <w:spacing w:line="363" w:lineRule="auto"/>
        <w:ind w:right="755" w:hanging="1068"/>
      </w:pPr>
      <w:r>
        <w:t xml:space="preserve">Paterson K.L. Foot orthoses for first metatarsophalangeal joint osteoarthritis: study protocol for </w:t>
      </w:r>
      <w:r>
        <w:t xml:space="preserve">the FORT randomised controlled trial / K.L. Paterson, R.S. Hinman, B.R. Metcalf [et al.] // BMC Musculoskelet. Disord. – 2020. – Vol. 21, № 1. – P. 1–9. </w:t>
      </w:r>
    </w:p>
    <w:p w:rsidR="000A3B51" w:rsidRDefault="003D0A08">
      <w:pPr>
        <w:numPr>
          <w:ilvl w:val="0"/>
          <w:numId w:val="28"/>
        </w:numPr>
        <w:spacing w:after="32" w:line="372" w:lineRule="auto"/>
        <w:ind w:right="755" w:hanging="1068"/>
      </w:pPr>
      <w:r>
        <w:t>Reichenbach S. Effect of Biomechanical Footwear on Knee Pain in People With Knee Osteoarthritis: The B</w:t>
      </w:r>
      <w:r>
        <w:t xml:space="preserve">IOTOK Randomized Clinical Trial / S. Reichenbach, D.T. Felson, C.A. Hincapié [et al.] // JAMA. – 2020. – Vol. 323, № 18. – P. 1802–1812. </w:t>
      </w:r>
    </w:p>
    <w:p w:rsidR="000A3B51" w:rsidRDefault="003D0A08">
      <w:pPr>
        <w:numPr>
          <w:ilvl w:val="0"/>
          <w:numId w:val="28"/>
        </w:numPr>
        <w:spacing w:after="43" w:line="356" w:lineRule="auto"/>
        <w:ind w:right="755" w:hanging="1068"/>
      </w:pPr>
      <w:r>
        <w:t>Ильченко Д.В. Комплексный подход к консервативному лечению пациентов с остеоартрозом первого плюснефалангового сустава</w:t>
      </w:r>
      <w:r>
        <w:t xml:space="preserve"> / Д.В. Ильченко, Д.О. Ильин, А.А. </w:t>
      </w:r>
    </w:p>
    <w:p w:rsidR="000A3B51" w:rsidRDefault="003D0A08">
      <w:pPr>
        <w:ind w:right="755"/>
      </w:pPr>
      <w:r>
        <w:t xml:space="preserve">Карданов [и др.] // Научно-практическая ревматология. – 2021. – Т. 59, № 4. – С. 463–470. </w:t>
      </w:r>
    </w:p>
    <w:p w:rsidR="000A3B51" w:rsidRDefault="003D0A08">
      <w:pPr>
        <w:numPr>
          <w:ilvl w:val="0"/>
          <w:numId w:val="28"/>
        </w:numPr>
        <w:spacing w:after="18" w:line="358" w:lineRule="auto"/>
        <w:ind w:right="755" w:hanging="1068"/>
      </w:pPr>
      <w:r>
        <w:t>Welsh B.J. A case-series study to explore the efficacy of foot orthoses in treating first metatarsophalangeal joint pain / B.J. W</w:t>
      </w:r>
      <w:r>
        <w:t xml:space="preserve">elsh, A.C. Redmond, N. Chockalingam [et al.] // J. Foot </w:t>
      </w:r>
    </w:p>
    <w:p w:rsidR="000A3B51" w:rsidRDefault="003D0A08">
      <w:pPr>
        <w:ind w:right="755"/>
      </w:pPr>
      <w:r>
        <w:t xml:space="preserve">Ankle Res. – 2010. – Vol. 3, № 1. 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Duong V. Evaluation and Treatment of Knee Pain: A Review / V. Duong, W.M. Oo, C. </w:t>
      </w:r>
    </w:p>
    <w:p w:rsidR="000A3B51" w:rsidRDefault="003D0A08">
      <w:pPr>
        <w:ind w:right="755"/>
      </w:pPr>
      <w:r>
        <w:t xml:space="preserve">Ding [et al.] // JAMA. – 2023. – Vol. 330, № 16. – P. 1568–1580. </w:t>
      </w:r>
    </w:p>
    <w:p w:rsidR="000A3B51" w:rsidRDefault="003D0A08">
      <w:pPr>
        <w:numPr>
          <w:ilvl w:val="0"/>
          <w:numId w:val="28"/>
        </w:numPr>
        <w:spacing w:after="28" w:line="357" w:lineRule="auto"/>
        <w:ind w:right="755" w:hanging="1068"/>
      </w:pPr>
      <w:r>
        <w:t xml:space="preserve">Jindasakchai P. Therapeutic significance of insoles in patients with knee osteoarthritis / P. Jindasakchai, C. Angthong, P. Panyarachun [et al.] // Eur. Rev. Med. Pharmacol. Sci. – 2023. – </w:t>
      </w:r>
    </w:p>
    <w:p w:rsidR="000A3B51" w:rsidRDefault="003D0A08">
      <w:pPr>
        <w:ind w:right="755"/>
      </w:pPr>
      <w:r>
        <w:t xml:space="preserve">Vol. 27, № 11. – P. 5023–5030.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Rillo O. PANLAR Consensus Recommen</w:t>
      </w:r>
      <w:r>
        <w:t xml:space="preserve">dations for the Management in Osteoarthritis of </w:t>
      </w:r>
    </w:p>
    <w:p w:rsidR="000A3B51" w:rsidRDefault="003D0A08">
      <w:pPr>
        <w:ind w:right="755"/>
      </w:pPr>
      <w:r>
        <w:t xml:space="preserve">Hand, Hip, and Knee / O. Rillo, H. Riera, C. Acosta [et al.] // J. Clin. Rheumatol. – 2016. – Vol. </w:t>
      </w:r>
    </w:p>
    <w:p w:rsidR="000A3B51" w:rsidRDefault="003D0A08">
      <w:pPr>
        <w:ind w:right="755"/>
      </w:pPr>
      <w:r>
        <w:t xml:space="preserve">22, № 7. – P. 345–354.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Hochberg M.C. American College of Rheumatology 2012 recommendations for the use of </w:t>
      </w:r>
      <w:r>
        <w:t xml:space="preserve">nonpharmacologic and pharmacologic therapies in osteoarthritis of the hand, hip, and knee / M.C. </w:t>
      </w:r>
    </w:p>
    <w:p w:rsidR="000A3B51" w:rsidRDefault="003D0A08">
      <w:pPr>
        <w:spacing w:after="6" w:line="356" w:lineRule="auto"/>
        <w:ind w:right="755"/>
      </w:pPr>
      <w:r>
        <w:t xml:space="preserve">Hochberg, R.D. Altman, K.T. April [et al.] // Arthritis Care Res. – 2012. – Vol. 64, № 4. – P. 465– 474. </w:t>
      </w:r>
    </w:p>
    <w:p w:rsidR="000A3B51" w:rsidRDefault="003D0A08">
      <w:pPr>
        <w:numPr>
          <w:ilvl w:val="0"/>
          <w:numId w:val="28"/>
        </w:numPr>
        <w:spacing w:after="16" w:line="356" w:lineRule="auto"/>
        <w:ind w:right="755" w:hanging="1068"/>
      </w:pPr>
      <w:r>
        <w:t xml:space="preserve">Rayegani S.M. Safety and Effectiveness of Low-Level </w:t>
      </w:r>
      <w:r>
        <w:t xml:space="preserve">Laser Therapy in Patients With Knee Osteoarthritis: A Systematic Review and Meta-analysis / S.M. Rayegani, S.A. Raeissadat, </w:t>
      </w:r>
    </w:p>
    <w:p w:rsidR="000A3B51" w:rsidRDefault="003D0A08">
      <w:pPr>
        <w:ind w:right="755"/>
      </w:pPr>
      <w:r>
        <w:t xml:space="preserve">S. Heidari [et al.] // J. Lasers Med. Sci. – 2017. – Vol. 8, № Suppl 1. – P. S12–S19.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Li S. Electromagnetic fields for treating os</w:t>
      </w:r>
      <w:r>
        <w:t xml:space="preserve">teoarthritis / S. Li, B. Yu, D. Zhou [et al.] // </w:t>
      </w:r>
    </w:p>
    <w:p w:rsidR="000A3B51" w:rsidRDefault="003D0A08">
      <w:pPr>
        <w:ind w:right="755"/>
      </w:pPr>
      <w:r>
        <w:t xml:space="preserve">Cochrane Database Syst. Rev. – 2013. – Vol. 2013, № 12. – Article ID CD003523.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We S.R. Effects of pulsed electromagnetic field on knee osteoarthritis: a systematic review </w:t>
      </w:r>
    </w:p>
    <w:p w:rsidR="000A3B51" w:rsidRDefault="003D0A08">
      <w:pPr>
        <w:ind w:right="755"/>
      </w:pPr>
      <w:r>
        <w:t xml:space="preserve">/ S.R. We, Y.H. Koog, K.I. Jeong </w:t>
      </w:r>
      <w:r>
        <w:t xml:space="preserve">[et al.] // Rheumatology. – 2013. – Vol. 52, № 5. – P. 815–824. </w:t>
      </w:r>
    </w:p>
    <w:p w:rsidR="000A3B51" w:rsidRDefault="003D0A08">
      <w:pPr>
        <w:numPr>
          <w:ilvl w:val="0"/>
          <w:numId w:val="28"/>
        </w:numPr>
        <w:spacing w:after="4" w:line="358" w:lineRule="auto"/>
        <w:ind w:right="755" w:hanging="1068"/>
      </w:pPr>
      <w:r>
        <w:t>Li S. Efficacy Comparison of Five Different Acupuncture Methods on Pain, Stiffness, and Function in Osteoarthritis of the Knee: A Network Meta-Analysis / S. Li, P. Xie, Z. Liang [et al.] // E</w:t>
      </w:r>
      <w:r>
        <w:t xml:space="preserve">vid. Based Complement. Alternat. Med. – 2018. – Vol. – Article ID 1638904. </w:t>
      </w:r>
    </w:p>
    <w:p w:rsidR="000A3B51" w:rsidRDefault="003D0A08">
      <w:pPr>
        <w:numPr>
          <w:ilvl w:val="0"/>
          <w:numId w:val="28"/>
        </w:numPr>
        <w:spacing w:line="363" w:lineRule="auto"/>
        <w:ind w:right="755" w:hanging="1068"/>
      </w:pPr>
      <w:r>
        <w:t>Xu Q. The effectiveness of manual therapy for relieving pain, stiffness, and dysfunction in knee osteoarthritis: A systematic review and meta-</w:t>
      </w:r>
      <w:r>
        <w:t xml:space="preserve">analysis / Q. Xu, B. Chen, Y. Wang [et al.] // Pain Physician. – 2017. – Vol. 20, № 4. – P. 229–243. </w:t>
      </w:r>
    </w:p>
    <w:p w:rsidR="000A3B51" w:rsidRDefault="003D0A08">
      <w:pPr>
        <w:numPr>
          <w:ilvl w:val="0"/>
          <w:numId w:val="28"/>
        </w:numPr>
        <w:spacing w:after="11" w:line="360" w:lineRule="auto"/>
        <w:ind w:right="755" w:hanging="1068"/>
      </w:pPr>
      <w:r>
        <w:t>Atamaz F.C. Comparison of the Efficacy of Transcutaneous Electrical Nerve Stimulation, Interferential Currents, and Shortwave Diathermy in Knee Osteoarthr</w:t>
      </w:r>
      <w:r>
        <w:t xml:space="preserve">itis: A Double-Blind, Randomized, Controlled, Multicenter Study / F.C. Atamaz, B. Durmaz, M. Baydar [et al.] // Arch. </w:t>
      </w:r>
    </w:p>
    <w:p w:rsidR="000A3B51" w:rsidRDefault="003D0A08">
      <w:pPr>
        <w:ind w:right="755"/>
      </w:pPr>
      <w:r>
        <w:t xml:space="preserve">Phys. Med. Rehabil. – 2012. – Vol. 93, № 5. – P. 748–756. </w:t>
      </w:r>
    </w:p>
    <w:p w:rsidR="000A3B51" w:rsidRDefault="003D0A08">
      <w:pPr>
        <w:numPr>
          <w:ilvl w:val="0"/>
          <w:numId w:val="28"/>
        </w:numPr>
        <w:spacing w:after="18" w:line="358" w:lineRule="auto"/>
        <w:ind w:right="755" w:hanging="1068"/>
      </w:pPr>
      <w:r>
        <w:t>Fary R.E. The effectiveness of pulsed electrical stimulation in the management</w:t>
      </w:r>
      <w:r>
        <w:t xml:space="preserve"> of osteoarthritis of the knee: results of a double-blind, randomized, placebo-controlled, repeatedmeasures trial / R.E. Fary, G.J. Carroll, T.G. Briffa [et al.] // Arthritis Rheum. – 2011. – Vol. 63, </w:t>
      </w:r>
    </w:p>
    <w:p w:rsidR="000A3B51" w:rsidRDefault="003D0A08">
      <w:pPr>
        <w:ind w:right="755"/>
      </w:pPr>
      <w:r>
        <w:t xml:space="preserve">№ 5. – P. 1333–1342. </w:t>
      </w:r>
    </w:p>
    <w:p w:rsidR="000A3B51" w:rsidRDefault="003D0A08">
      <w:pPr>
        <w:numPr>
          <w:ilvl w:val="0"/>
          <w:numId w:val="28"/>
        </w:numPr>
        <w:spacing w:after="29" w:line="373" w:lineRule="auto"/>
        <w:ind w:right="755" w:hanging="1068"/>
      </w:pPr>
      <w:r>
        <w:t>Yang P.F. Efficacy of ultrasound</w:t>
      </w:r>
      <w:r>
        <w:t xml:space="preserve"> in the treatment of osteoarthritis of the knee / P.F. Yang, D. Li, S.M. Zhang [et al.] // Orthop. Surg. – 2011. – Vol. 3, № 3. – P. 181–187. </w:t>
      </w:r>
    </w:p>
    <w:p w:rsidR="000A3B51" w:rsidRDefault="003D0A08">
      <w:pPr>
        <w:numPr>
          <w:ilvl w:val="0"/>
          <w:numId w:val="28"/>
        </w:numPr>
        <w:spacing w:after="160"/>
        <w:ind w:right="755" w:hanging="1068"/>
      </w:pPr>
      <w:r>
        <w:t xml:space="preserve">Абрамович С. Г. Физиотерапия: национальное руководство / под ред. Г. Н. </w:t>
      </w:r>
    </w:p>
    <w:p w:rsidR="000A3B51" w:rsidRDefault="003D0A08">
      <w:pPr>
        <w:spacing w:after="155"/>
        <w:ind w:right="755"/>
      </w:pPr>
      <w:r>
        <w:t xml:space="preserve">Пономаренко. - М. : ГЕОТАР-Медиа, 2009. </w:t>
      </w:r>
    </w:p>
    <w:p w:rsidR="000A3B51" w:rsidRDefault="003D0A08">
      <w:pPr>
        <w:numPr>
          <w:ilvl w:val="0"/>
          <w:numId w:val="28"/>
        </w:numPr>
        <w:spacing w:after="162"/>
        <w:ind w:right="755" w:hanging="1068"/>
      </w:pPr>
      <w:r>
        <w:t xml:space="preserve">Ушаков А.А. Практическая физиотерапия: Руководство для врачей / А.А. Ушаков. </w:t>
      </w:r>
    </w:p>
    <w:p w:rsidR="000A3B51" w:rsidRDefault="003D0A08">
      <w:pPr>
        <w:ind w:right="755"/>
      </w:pPr>
      <w:r>
        <w:t xml:space="preserve">— М. : ООО «Издательство «Медицинское информационное агентство», 2013. </w:t>
      </w:r>
    </w:p>
    <w:p w:rsidR="000A3B51" w:rsidRDefault="003D0A08">
      <w:pPr>
        <w:numPr>
          <w:ilvl w:val="0"/>
          <w:numId w:val="28"/>
        </w:numPr>
        <w:spacing w:after="12" w:line="358" w:lineRule="auto"/>
        <w:ind w:right="755" w:hanging="1068"/>
      </w:pPr>
      <w:r>
        <w:t>Wuschech H. Effects of PEMF on patients with osteoarthritis: Results of a prospective, placebo-controlled</w:t>
      </w:r>
      <w:r>
        <w:t xml:space="preserve">, double-blind study / H. Wuschech, U. von Hehn, E. Mikus, R.H. Funk [et al.] </w:t>
      </w:r>
    </w:p>
    <w:p w:rsidR="000A3B51" w:rsidRDefault="003D0A08">
      <w:pPr>
        <w:ind w:right="755"/>
      </w:pPr>
      <w:r>
        <w:t xml:space="preserve">// Bioelectromagnetics. – 2015. – Vol. 36, № 8. – P. 576–585. </w:t>
      </w:r>
    </w:p>
    <w:p w:rsidR="000A3B51" w:rsidRDefault="003D0A08">
      <w:pPr>
        <w:numPr>
          <w:ilvl w:val="0"/>
          <w:numId w:val="28"/>
        </w:numPr>
        <w:spacing w:after="14" w:line="357" w:lineRule="auto"/>
        <w:ind w:right="755" w:hanging="1068"/>
      </w:pPr>
      <w:r>
        <w:t>Servodio Iammarrone C. Is there a role of pulsed electromagnetic fields in management of patellofemoral pain syndrome? Randomized controlled study at one year follow-up / C. Servodio Iammarrone, M. Cadossi, A. Sambri, E. Grosso, B. Corrado, F. Servodio Iam</w:t>
      </w:r>
      <w:r>
        <w:t xml:space="preserve">marrone [et al.] // </w:t>
      </w:r>
    </w:p>
    <w:p w:rsidR="000A3B51" w:rsidRDefault="003D0A08">
      <w:pPr>
        <w:ind w:right="755"/>
      </w:pPr>
      <w:r>
        <w:t xml:space="preserve">Bioelectromagnetics. – 2016. – Vol. 37, № 2. – P. 81–88. </w:t>
      </w:r>
    </w:p>
    <w:p w:rsidR="000A3B51" w:rsidRDefault="003D0A08">
      <w:pPr>
        <w:numPr>
          <w:ilvl w:val="0"/>
          <w:numId w:val="28"/>
        </w:numPr>
        <w:spacing w:after="16" w:line="356" w:lineRule="auto"/>
        <w:ind w:right="755" w:hanging="1068"/>
      </w:pPr>
      <w:r>
        <w:t>Abdel-aziem A.A. Effect of a physiotherapy rehabilitation program on knee osteoarthritis in patients with different pain intensities / A.A. Abdel-aziem, E.S. Soliman, D.M. Mosaa</w:t>
      </w:r>
      <w:r>
        <w:t xml:space="preserve">d, A.H. </w:t>
      </w:r>
    </w:p>
    <w:p w:rsidR="000A3B51" w:rsidRDefault="003D0A08">
      <w:pPr>
        <w:ind w:right="755"/>
      </w:pPr>
      <w:r>
        <w:t xml:space="preserve">Draz [et al.] // J Phys Ther Sci – 2018. – Vol. 30, № 2. – P. 307–312. </w:t>
      </w:r>
    </w:p>
    <w:p w:rsidR="000A3B51" w:rsidRDefault="003D0A08">
      <w:pPr>
        <w:numPr>
          <w:ilvl w:val="0"/>
          <w:numId w:val="28"/>
        </w:numPr>
        <w:spacing w:after="19" w:line="358" w:lineRule="auto"/>
        <w:ind w:right="755" w:hanging="1068"/>
      </w:pPr>
      <w:r>
        <w:t>Martin-Vega F.J. Phonophoresis through Nonsteroidal Anti-Inflammatory Drugs for Knee Osteoarthritis Treatment: Systematic Review and Meta-Analysis / F.J. Martin-Vega, D. Lucen</w:t>
      </w:r>
      <w:r>
        <w:t>a-</w:t>
      </w:r>
    </w:p>
    <w:p w:rsidR="000A3B51" w:rsidRDefault="003D0A08">
      <w:pPr>
        <w:ind w:right="755"/>
      </w:pPr>
      <w:r>
        <w:t xml:space="preserve">Anton, A. Galán-Mercant [et al.] // Biomedicines. – 2022. – Vol. 10, № 12. </w:t>
      </w:r>
    </w:p>
    <w:p w:rsidR="000A3B51" w:rsidRDefault="003D0A08">
      <w:pPr>
        <w:numPr>
          <w:ilvl w:val="0"/>
          <w:numId w:val="28"/>
        </w:numPr>
        <w:spacing w:after="23" w:line="358" w:lineRule="auto"/>
        <w:ind w:right="755" w:hanging="1068"/>
      </w:pPr>
      <w:r>
        <w:t>Yang F.A. A systematic review and meta-analysis of the effect of phonophoresis on patients with knee osteoarthritis / F.A. Yang, H.L. Chen, C.W. Peng [et al.] // Sci. Rep. – 202</w:t>
      </w:r>
      <w:r>
        <w:t xml:space="preserve">2. – </w:t>
      </w:r>
    </w:p>
    <w:p w:rsidR="000A3B51" w:rsidRDefault="003D0A08">
      <w:pPr>
        <w:ind w:right="755"/>
      </w:pPr>
      <w:r>
        <w:t xml:space="preserve">Vol. 12, № 1. – Article ID 3254. </w:t>
      </w:r>
    </w:p>
    <w:p w:rsidR="000A3B51" w:rsidRDefault="003D0A08">
      <w:pPr>
        <w:numPr>
          <w:ilvl w:val="0"/>
          <w:numId w:val="28"/>
        </w:numPr>
        <w:spacing w:line="368" w:lineRule="auto"/>
        <w:ind w:right="755" w:hanging="1068"/>
      </w:pPr>
      <w:r>
        <w:t>Liu Y. Impact of soft tissue around the knee on the efficacy of extracorporeal shockwave therapy in knee osteoarthritis / Y. Liu, C. Wu, C. Chen [et al.] // Medicine (Baltimore). – 2022. – Vol. 101, № 50. – Article I</w:t>
      </w:r>
      <w:r>
        <w:t xml:space="preserve">D e32334. </w:t>
      </w:r>
    </w:p>
    <w:p w:rsidR="000A3B51" w:rsidRDefault="003D0A08">
      <w:pPr>
        <w:numPr>
          <w:ilvl w:val="0"/>
          <w:numId w:val="28"/>
        </w:numPr>
        <w:spacing w:after="0" w:line="371" w:lineRule="auto"/>
        <w:ind w:right="755" w:hanging="1068"/>
      </w:pPr>
      <w:r>
        <w:t>Avendaño-Coy J. Extracorporeal shockwave therapy improves pain and function in subjects with knee osteoarthritis: A systematic review and meta-analysis of randomized clinical trials / J. Avendaño-Coy, N. Comino-Suárez, J. Grande-Muñoz [et al.] /</w:t>
      </w:r>
      <w:r>
        <w:t xml:space="preserve">/ Int. J. Surg. – 2020. – Vol. 82. – P. 64–75. </w:t>
      </w:r>
    </w:p>
    <w:p w:rsidR="000A3B51" w:rsidRDefault="003D0A08">
      <w:pPr>
        <w:numPr>
          <w:ilvl w:val="0"/>
          <w:numId w:val="28"/>
        </w:numPr>
        <w:spacing w:after="19" w:line="359" w:lineRule="auto"/>
        <w:ind w:right="755" w:hanging="1068"/>
      </w:pPr>
      <w:r>
        <w:t xml:space="preserve">Tsokanos A. The Efficacy of Manual Therapy in Patients with Knee Osteoarthritis: A Systematic Review / A. Tsokanos, E. Livieratou, E. Billis [et al.] // Medicina (Kaunas). – 2021. – </w:t>
      </w:r>
    </w:p>
    <w:p w:rsidR="000A3B51" w:rsidRDefault="003D0A08">
      <w:pPr>
        <w:ind w:right="755"/>
      </w:pPr>
      <w:r>
        <w:t>Vol. 57, № 7. – Article I</w:t>
      </w:r>
      <w:r>
        <w:t xml:space="preserve">D 0696. </w:t>
      </w:r>
    </w:p>
    <w:p w:rsidR="000A3B51" w:rsidRDefault="003D0A08">
      <w:pPr>
        <w:numPr>
          <w:ilvl w:val="0"/>
          <w:numId w:val="28"/>
        </w:numPr>
        <w:spacing w:after="1" w:line="359" w:lineRule="auto"/>
        <w:ind w:right="755" w:hanging="1068"/>
      </w:pPr>
      <w:r>
        <w:t xml:space="preserve">Feng T. Effectiveness and safety of manual therapy for knee osteoarthritis: An overview of systematic reviews and meta-analyses / T. Feng, X. Wang, Z. Jin [et al.] // Front. Public Health. – 2023. – Vol. 11. – Article ID 1081238. </w:t>
      </w:r>
    </w:p>
    <w:p w:rsidR="000A3B51" w:rsidRDefault="003D0A08">
      <w:pPr>
        <w:numPr>
          <w:ilvl w:val="0"/>
          <w:numId w:val="28"/>
        </w:numPr>
        <w:spacing w:after="3" w:line="359" w:lineRule="auto"/>
        <w:ind w:right="755" w:hanging="1068"/>
      </w:pPr>
      <w:r>
        <w:t xml:space="preserve">Wu Q. Efficacy of massage therapy in improving outcomes in knee osteoarthritis: A systematic review and meta-analysis / Q. Wu, J. Zhao, W. Guo [et al.] // Complement. Ther. Clin. Pract. – 2022. – Vol. 46. – Article ID 101522. </w:t>
      </w:r>
    </w:p>
    <w:p w:rsidR="000A3B51" w:rsidRDefault="003D0A08">
      <w:pPr>
        <w:numPr>
          <w:ilvl w:val="0"/>
          <w:numId w:val="28"/>
        </w:numPr>
        <w:spacing w:after="17" w:line="358" w:lineRule="auto"/>
        <w:ind w:right="755" w:hanging="1068"/>
      </w:pPr>
      <w:r>
        <w:t>Mohammedsadiq H.A. Effectiven</w:t>
      </w:r>
      <w:r>
        <w:t xml:space="preserve">ess of home-based conventional exercise and cryotherapy on daily living activities in patients with knee osteoarthritis: A randomized controlled clinical trial / H.A. Mohammedsadiq, M.T. Rasool [et al.] // Medicine (Baltimore). – 2023. – Vol. </w:t>
      </w:r>
    </w:p>
    <w:p w:rsidR="000A3B51" w:rsidRDefault="003D0A08">
      <w:pPr>
        <w:ind w:right="755"/>
      </w:pPr>
      <w:r>
        <w:t>102, № 18. –</w:t>
      </w:r>
      <w:r>
        <w:t xml:space="preserve"> Article ID e33678. </w:t>
      </w:r>
    </w:p>
    <w:p w:rsidR="000A3B51" w:rsidRDefault="003D0A08">
      <w:pPr>
        <w:numPr>
          <w:ilvl w:val="0"/>
          <w:numId w:val="28"/>
        </w:numPr>
        <w:spacing w:after="2" w:line="361" w:lineRule="auto"/>
        <w:ind w:right="755" w:hanging="1068"/>
      </w:pPr>
      <w:r>
        <w:t>Madzia A. Sustained Acoustic Medicine Combined with A Diclofenac Ultrasound Coupling Patch for the Rapid Symptomatic Relief of Knee Osteoarthritis: Multi-Site Clinical Efficacy Study / A. Madzia, C. Agrawal, P. Jarit [et al.] // Open O</w:t>
      </w:r>
      <w:r>
        <w:t xml:space="preserve">rthop. J. – 2020. – Vol. 14, № </w:t>
      </w:r>
    </w:p>
    <w:p w:rsidR="000A3B51" w:rsidRDefault="003D0A08">
      <w:pPr>
        <w:ind w:right="755"/>
      </w:pPr>
      <w:r>
        <w:t xml:space="preserve">1. – P. 176–l85. 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Valdes K. A systematic review of conservative interventions for osteoarthritis of the hand </w:t>
      </w:r>
    </w:p>
    <w:p w:rsidR="000A3B51" w:rsidRDefault="003D0A08">
      <w:pPr>
        <w:ind w:right="755"/>
      </w:pPr>
      <w:r>
        <w:t xml:space="preserve">/ K. Valdes, T. Marik [et al.] // J. Hand Ther. – 2010. – Vol. 23, № 4. – P. 334–351.  </w:t>
      </w:r>
    </w:p>
    <w:p w:rsidR="000A3B51" w:rsidRDefault="003D0A08">
      <w:pPr>
        <w:numPr>
          <w:ilvl w:val="0"/>
          <w:numId w:val="28"/>
        </w:numPr>
        <w:spacing w:after="27" w:line="357" w:lineRule="auto"/>
        <w:ind w:right="755" w:hanging="1068"/>
      </w:pPr>
      <w:r>
        <w:t>Beasley J. Conservative t</w:t>
      </w:r>
      <w:r>
        <w:t xml:space="preserve">herapeutic interventions for osteoarthritic finger joints: A systematic review / J. Beasley, L.A. Ward, K. Knipper-Fisher [et al.] // J. Hand Ther. – 2019. – </w:t>
      </w:r>
    </w:p>
    <w:p w:rsidR="000A3B51" w:rsidRDefault="003D0A08">
      <w:pPr>
        <w:ind w:right="755"/>
      </w:pPr>
      <w:r>
        <w:t xml:space="preserve">Vol. 32, № 2. – P. 153-164. </w:t>
      </w:r>
    </w:p>
    <w:p w:rsidR="000A3B51" w:rsidRDefault="003D0A08">
      <w:pPr>
        <w:numPr>
          <w:ilvl w:val="0"/>
          <w:numId w:val="28"/>
        </w:numPr>
        <w:spacing w:after="2" w:line="359" w:lineRule="auto"/>
        <w:ind w:right="755" w:hanging="1068"/>
      </w:pPr>
      <w:r>
        <w:t>Ahern M. The effectiveness of physical therapies for patients with b</w:t>
      </w:r>
      <w:r>
        <w:t xml:space="preserve">ase of thumb osteoarthritis: Systematic review and meta-analysis / M. Ahern, J. Skyllas, A. Wajon, J. Hush [et al.] // Musculoskelet. Sci. Pract. – 2018. – Vol. 35. – P. 46–54. </w:t>
      </w:r>
    </w:p>
    <w:p w:rsidR="000A3B51" w:rsidRDefault="003D0A08">
      <w:pPr>
        <w:numPr>
          <w:ilvl w:val="0"/>
          <w:numId w:val="28"/>
        </w:numPr>
        <w:spacing w:after="33" w:line="372" w:lineRule="auto"/>
        <w:ind w:right="755" w:hanging="1068"/>
      </w:pPr>
      <w:r>
        <w:t>Flynn D.M. Chronic Musculoskeletal Pain: Nonpharmacologic, Noninvasive Treatme</w:t>
      </w:r>
      <w:r>
        <w:t xml:space="preserve">nts / D.M. Flynn [et al.] // Am. Fam. Physician. – 2020. – Vol. 102, № 8. – P. 465–477. </w:t>
      </w:r>
    </w:p>
    <w:p w:rsidR="000A3B51" w:rsidRDefault="003D0A08">
      <w:pPr>
        <w:numPr>
          <w:ilvl w:val="0"/>
          <w:numId w:val="28"/>
        </w:numPr>
        <w:spacing w:line="368" w:lineRule="auto"/>
        <w:ind w:right="755" w:hanging="1068"/>
      </w:pPr>
      <w:r>
        <w:t xml:space="preserve">Andersen M.Ø. [Osteoarthritis of facet and sacroiliac joints] / M.Ø. Andersen, A.K. Holst, H.C. Horn [et al.] // Ugeskr. Laeger. – 2020. – Vol. 182, № 42. </w:t>
      </w:r>
    </w:p>
    <w:p w:rsidR="000A3B51" w:rsidRDefault="003D0A08">
      <w:pPr>
        <w:numPr>
          <w:ilvl w:val="0"/>
          <w:numId w:val="28"/>
        </w:numPr>
        <w:spacing w:after="0" w:line="368" w:lineRule="auto"/>
        <w:ind w:right="755" w:hanging="1068"/>
      </w:pPr>
      <w:r>
        <w:t xml:space="preserve">Maicki T. PNF and manual therapy treatment results of patients with cervical spine osteoarthritis / T. Maicki, J. Bilski, E. Szczygiel, R. Trąbka [et al.] // J. Back Musculoskelet. Rehabil. – 2017. – Vol. 30, № 5. – P. 1095–1101. </w:t>
      </w:r>
    </w:p>
    <w:p w:rsidR="000A3B51" w:rsidRDefault="003D0A08">
      <w:pPr>
        <w:numPr>
          <w:ilvl w:val="0"/>
          <w:numId w:val="28"/>
        </w:numPr>
        <w:spacing w:after="0" w:line="372" w:lineRule="auto"/>
        <w:ind w:right="755" w:hanging="1068"/>
      </w:pPr>
      <w:r>
        <w:t>Roddy E. Foot osteoarthri</w:t>
      </w:r>
      <w:r>
        <w:t xml:space="preserve">tis: latest evidence and developments / E. Roddy, H.B. Menz [et al.] // Ther. Adv. Musculoskelet. Dis. – 2018. – Vol. 10, № 4. – P. 91–103. </w:t>
      </w:r>
    </w:p>
    <w:p w:rsidR="000A3B51" w:rsidRDefault="003D0A08">
      <w:pPr>
        <w:numPr>
          <w:ilvl w:val="0"/>
          <w:numId w:val="28"/>
        </w:numPr>
        <w:spacing w:after="25" w:line="356" w:lineRule="auto"/>
        <w:ind w:right="755" w:hanging="1068"/>
      </w:pPr>
      <w:r>
        <w:t xml:space="preserve">Fernandes L. EULAR recommendations for the non-pharmacological core management of hip and knee osteoarthritis / L. </w:t>
      </w:r>
      <w:r>
        <w:t xml:space="preserve">Fernandes, K.B. Hagen, J.W.J. Bijlsma [et al.] // Ann. Rheum. Dis. </w:t>
      </w:r>
    </w:p>
    <w:p w:rsidR="000A3B51" w:rsidRDefault="003D0A08">
      <w:pPr>
        <w:ind w:right="755"/>
      </w:pPr>
      <w:r>
        <w:t xml:space="preserve">– 2013. – Vol. 72, № 7. – P. 1125–1135.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McAlindon T.E. OARSI guidelines for the non-surgical management of knee osteoarthritis </w:t>
      </w:r>
    </w:p>
    <w:p w:rsidR="000A3B51" w:rsidRDefault="003D0A08">
      <w:pPr>
        <w:ind w:right="755"/>
      </w:pPr>
      <w:r>
        <w:t>/ T.E. McAlindon, R.R. Bannuru, M.C. Sullivan [et al.] // O</w:t>
      </w:r>
      <w:r>
        <w:t xml:space="preserve">steoarthritis Cartilage. – 2014. – Vol. </w:t>
      </w:r>
    </w:p>
    <w:p w:rsidR="000A3B51" w:rsidRDefault="003D0A08">
      <w:pPr>
        <w:ind w:right="755"/>
      </w:pPr>
      <w:r>
        <w:t xml:space="preserve">22, № 3. – P. 363–388. </w:t>
      </w:r>
    </w:p>
    <w:p w:rsidR="000A3B51" w:rsidRDefault="003D0A08">
      <w:pPr>
        <w:numPr>
          <w:ilvl w:val="0"/>
          <w:numId w:val="28"/>
        </w:numPr>
        <w:spacing w:after="27" w:line="356" w:lineRule="auto"/>
        <w:ind w:right="755" w:hanging="1068"/>
      </w:pPr>
      <w:r>
        <w:t xml:space="preserve">Short-Term Effect of Kinesiotaping on Chronic Nonspecific Low Back Pain and Disability: A Meta-Analysis of Randomized Controlled Trials / S. Lin, B. Zhu, G. Huang [et al.] // Phys. Ther. </w:t>
      </w:r>
    </w:p>
    <w:p w:rsidR="000A3B51" w:rsidRDefault="003D0A08">
      <w:pPr>
        <w:ind w:right="755"/>
      </w:pPr>
      <w:r>
        <w:t>– 2</w:t>
      </w:r>
      <w:r>
        <w:t xml:space="preserve">020. – Vol. 100, № 2. – P. 238–254.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Hartvigsen J. What low back pain is and why we need to pay attention / J. Hartvigsen, M.J. </w:t>
      </w:r>
    </w:p>
    <w:p w:rsidR="000A3B51" w:rsidRDefault="003D0A08">
      <w:pPr>
        <w:ind w:right="755"/>
      </w:pPr>
      <w:r>
        <w:t xml:space="preserve">Hancock, A. Kongsted [et al.] // Lancet. – 2018. – Vol. 391, № 10137. – P. 2356–2367.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 xml:space="preserve">Pitsillides A. The effects of cognitive </w:t>
      </w:r>
      <w:r>
        <w:t>behavioural therapy delivered by physical therapists in knee osteoarthritis pain: A systematic review and meta-analysis of randomized controlled trials / A. Pitsillides, D. Stasinopoulos, K. Giannakou [et al.] // J. Bodyw. Mov. Ther. – 2021. – Vol. 25. – P</w:t>
      </w:r>
      <w:r>
        <w:t xml:space="preserve">. 157–164. </w:t>
      </w:r>
    </w:p>
    <w:p w:rsidR="000A3B51" w:rsidRDefault="003D0A08">
      <w:pPr>
        <w:numPr>
          <w:ilvl w:val="0"/>
          <w:numId w:val="28"/>
        </w:numPr>
        <w:spacing w:after="1" w:line="358" w:lineRule="auto"/>
        <w:ind w:right="755" w:hanging="1068"/>
      </w:pPr>
      <w:r>
        <w:t>Lin H.M. Impact of cognitive behavior therapy on osteoarthritis-associated pain, insomnia, depression, fatigue, and physical function in patients with knee/hip osteoarthritis: A systematic review and meta-</w:t>
      </w:r>
      <w:r>
        <w:t xml:space="preserve">analysis of randomized controlled trials / H.M. Lin, P.S. Hsieh, N.C. Chen [et al.] // Front. Med. (Lausanne). – 2023. – Vol. 9. – Article ID 1083095. </w:t>
      </w:r>
    </w:p>
    <w:p w:rsidR="000A3B51" w:rsidRDefault="003D0A08">
      <w:pPr>
        <w:numPr>
          <w:ilvl w:val="0"/>
          <w:numId w:val="28"/>
        </w:numPr>
        <w:spacing w:after="3" w:line="359" w:lineRule="auto"/>
        <w:ind w:right="755" w:hanging="1068"/>
      </w:pPr>
      <w:r>
        <w:t>Kamioka H. Overview of Systematic Reviews with Meta-Analysis Based on Randomized Controlled Trials of Ba</w:t>
      </w:r>
      <w:r>
        <w:t xml:space="preserve">lneotherapy and Spa Therapy from 2000 to 2019 / H. Kamioka, S. Nobuoka, J. Iiyama [et al.] // Int. J. Gen. Med. – 2020. – Vol. 13. – P. 429–442. </w:t>
      </w:r>
    </w:p>
    <w:p w:rsidR="000A3B51" w:rsidRDefault="003D0A08">
      <w:pPr>
        <w:numPr>
          <w:ilvl w:val="0"/>
          <w:numId w:val="28"/>
        </w:numPr>
        <w:spacing w:after="15" w:line="357" w:lineRule="auto"/>
        <w:ind w:right="755" w:hanging="1068"/>
      </w:pPr>
      <w:r>
        <w:t>Antonelli M. Effects of balneotherapy and spa therapy on quality of life of patients with knee osteoarthritis:</w:t>
      </w:r>
      <w:r>
        <w:t xml:space="preserve"> a systematic review and meta-analysis / M. Antonelli, D. Donelli, A. Fioravanti </w:t>
      </w:r>
    </w:p>
    <w:p w:rsidR="000A3B51" w:rsidRDefault="003D0A08">
      <w:pPr>
        <w:ind w:right="755"/>
      </w:pPr>
      <w:r>
        <w:t xml:space="preserve">[et al.] // Rheumatol. Int. – 2018. – Vol. 38, № 10. – P. 1807–1824.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>Xiang J. Clinical Efficacy of Mudpack Therapy in Treating Knee Osteoarthritis: A MetaAnalysis of Randomi</w:t>
      </w:r>
      <w:r>
        <w:t xml:space="preserve">zed Controlled Studies / J. Xiang, D. Wu, J. Li [et al.] // Am. J. Phys. Med. </w:t>
      </w:r>
    </w:p>
    <w:p w:rsidR="000A3B51" w:rsidRDefault="003D0A08">
      <w:pPr>
        <w:ind w:right="755"/>
      </w:pPr>
      <w:r>
        <w:t xml:space="preserve">Rehabil. – 2016. – Vol. 95, № 2. – P. 121-131. 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Bartels E.M. Aquatic exercise for the treatment of knee and hip osteoarthritis / E.M. </w:t>
      </w:r>
    </w:p>
    <w:p w:rsidR="000A3B51" w:rsidRDefault="003D0A08">
      <w:pPr>
        <w:ind w:right="755"/>
      </w:pPr>
      <w:r>
        <w:t>Bartels, C.B. Juhl, R. Christensen [et al</w:t>
      </w:r>
      <w:r>
        <w:t xml:space="preserve">.] // Cochrane Database Syst. Rev. – 2016. – Vol. 3, № 3. </w:t>
      </w:r>
    </w:p>
    <w:p w:rsidR="000A3B51" w:rsidRDefault="003D0A08">
      <w:pPr>
        <w:ind w:right="755"/>
      </w:pPr>
      <w:r>
        <w:t xml:space="preserve">– Article ID CD005523. </w:t>
      </w:r>
    </w:p>
    <w:p w:rsidR="000A3B51" w:rsidRDefault="003D0A08">
      <w:pPr>
        <w:numPr>
          <w:ilvl w:val="0"/>
          <w:numId w:val="28"/>
        </w:numPr>
        <w:spacing w:after="25" w:line="356" w:lineRule="auto"/>
        <w:ind w:right="755" w:hanging="1068"/>
      </w:pPr>
      <w:r>
        <w:t>Liu H. The effect of mud therapy on pain relief in patients with knee osteoarthritis: a metaanalysis of randomized controlled trials / H. Liu, C. Zeng, S. guang Gao [et al.]</w:t>
      </w:r>
      <w:r>
        <w:t xml:space="preserve"> // J. Int. Med. Res. </w:t>
      </w:r>
    </w:p>
    <w:p w:rsidR="000A3B51" w:rsidRDefault="003D0A08">
      <w:pPr>
        <w:ind w:right="755"/>
      </w:pPr>
      <w:r>
        <w:t xml:space="preserve">– 2013. – Vol. 41, № 5. – P. 1418–1425. </w:t>
      </w:r>
    </w:p>
    <w:p w:rsidR="000A3B51" w:rsidRDefault="003D0A08">
      <w:pPr>
        <w:numPr>
          <w:ilvl w:val="0"/>
          <w:numId w:val="28"/>
        </w:numPr>
        <w:spacing w:after="0" w:line="368" w:lineRule="auto"/>
        <w:ind w:right="755" w:hanging="1068"/>
      </w:pPr>
      <w:r>
        <w:t xml:space="preserve">Verhagen A.P. Balneotherapy for osteoarthritis / A.P. Verhagen, S.M.A. Bierma-Zeinstra, M. Boers [et al.] // Cochrane Database Syst. Rev. – 2007. – № 4. – Article ID CD006864. </w:t>
      </w:r>
    </w:p>
    <w:p w:rsidR="000A3B51" w:rsidRDefault="003D0A08">
      <w:pPr>
        <w:numPr>
          <w:ilvl w:val="0"/>
          <w:numId w:val="28"/>
        </w:numPr>
        <w:spacing w:after="28" w:line="359" w:lineRule="auto"/>
        <w:ind w:right="755" w:hanging="1068"/>
      </w:pPr>
      <w:r>
        <w:t xml:space="preserve">Maier G.S. Effectiveness of Mud-Pack Therapy and Mud-Bath Therapy in Osteoarthritis: A Systematic Review / G.S. Maier, G. Rosar, G. Dietz [et al.] // Complement. Med. Res. – 2024. </w:t>
      </w:r>
    </w:p>
    <w:p w:rsidR="000A3B51" w:rsidRDefault="003D0A08">
      <w:pPr>
        <w:ind w:right="755"/>
      </w:pPr>
      <w:r>
        <w:t xml:space="preserve">– Vol. 31, № 1. – P. 30–39.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Zhu B. The effects of manual therapy in pain a</w:t>
      </w:r>
      <w:r>
        <w:t xml:space="preserve">nd safety of patients with knee osteoarthritis: </w:t>
      </w:r>
    </w:p>
    <w:p w:rsidR="000A3B51" w:rsidRDefault="003D0A08">
      <w:pPr>
        <w:ind w:right="755"/>
      </w:pPr>
      <w:r>
        <w:t xml:space="preserve">a systematic review and meta-analysis / B. Zhu, H. Ba, L. Kong [et al.] // Syst. Rev. – 2024. – Vol. </w:t>
      </w:r>
    </w:p>
    <w:p w:rsidR="000A3B51" w:rsidRDefault="003D0A08">
      <w:pPr>
        <w:ind w:right="755"/>
      </w:pPr>
      <w:r>
        <w:t xml:space="preserve">13, № 1. – Article ID 02467-7. </w:t>
      </w:r>
    </w:p>
    <w:p w:rsidR="000A3B51" w:rsidRDefault="003D0A08">
      <w:pPr>
        <w:numPr>
          <w:ilvl w:val="0"/>
          <w:numId w:val="28"/>
        </w:numPr>
        <w:spacing w:after="14" w:line="358" w:lineRule="auto"/>
        <w:ind w:right="755" w:hanging="1068"/>
      </w:pPr>
      <w:r>
        <w:t>Shepherd M.H. The influence of manual therapy dosing on outcomes in patie</w:t>
      </w:r>
      <w:r>
        <w:t xml:space="preserve">nts with hip osteoarthritis: a systematic review / M.H. Shepherd, J. Shumway, R.T. Salvatori [et al.] // J. Man. </w:t>
      </w:r>
    </w:p>
    <w:p w:rsidR="000A3B51" w:rsidRDefault="003D0A08">
      <w:pPr>
        <w:ind w:right="755"/>
      </w:pPr>
      <w:r>
        <w:t xml:space="preserve">Manip. Ther. – 2022. – Vol. 30, № 6. – P. 315–327.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Sampath K.K. The effects of manual therapy or exercise therapy or both in people with hip </w:t>
      </w:r>
      <w:r>
        <w:t xml:space="preserve">osteoarthritis: a systematic review and meta-analysis / K.K. Sampath, R. Mani, T. Miyamori [et al.] // Clin. Rehabil. – 2016. – Vol. 30, № 12. – P. 1141–1155. </w:t>
      </w:r>
    </w:p>
    <w:p w:rsidR="000A3B51" w:rsidRDefault="003D0A08">
      <w:pPr>
        <w:numPr>
          <w:ilvl w:val="0"/>
          <w:numId w:val="28"/>
        </w:numPr>
        <w:spacing w:after="11" w:line="358" w:lineRule="auto"/>
        <w:ind w:right="755" w:hanging="1068"/>
      </w:pPr>
      <w:r>
        <w:t>Xu J. Effectiveness and safety of massage for chronic pain in patients with knee osteoarthritis:</w:t>
      </w:r>
      <w:r>
        <w:t xml:space="preserve"> A protocol for systematic review and meta-analysis / J. Xu, B. Wu, S. Xie [et al.] // </w:t>
      </w:r>
    </w:p>
    <w:p w:rsidR="000A3B51" w:rsidRDefault="003D0A08">
      <w:pPr>
        <w:ind w:right="755"/>
      </w:pPr>
      <w:r>
        <w:t xml:space="preserve">Medicine (Baltimore). – 2022. – Vol. 101, № 3. – Article ID E28533. </w:t>
      </w:r>
    </w:p>
    <w:p w:rsidR="000A3B51" w:rsidRDefault="003D0A08">
      <w:pPr>
        <w:numPr>
          <w:ilvl w:val="0"/>
          <w:numId w:val="28"/>
        </w:numPr>
        <w:spacing w:after="25" w:line="357" w:lineRule="auto"/>
        <w:ind w:right="755" w:hanging="1068"/>
      </w:pPr>
      <w:r>
        <w:rPr>
          <w:color w:val="A8D08D"/>
        </w:rPr>
        <w:t>Perlman A. Efficacy and Safety of Massage for Osteoarthritis of the Knee: a Randomized Clinical Tri</w:t>
      </w:r>
      <w:r>
        <w:rPr>
          <w:color w:val="A8D08D"/>
        </w:rPr>
        <w:t xml:space="preserve">al / A. Perlman, </w:t>
      </w:r>
      <w:r>
        <w:t xml:space="preserve">S.G. Fogerite, O. Glass [et al.] // J. Gen. Intern. Med. – 2019. – Vol. </w:t>
      </w:r>
    </w:p>
    <w:p w:rsidR="000A3B51" w:rsidRDefault="003D0A08">
      <w:pPr>
        <w:ind w:right="755"/>
      </w:pPr>
      <w:r>
        <w:t xml:space="preserve">34, № 3. – P. 379–386. </w:t>
      </w:r>
    </w:p>
    <w:p w:rsidR="000A3B51" w:rsidRDefault="003D0A08">
      <w:pPr>
        <w:numPr>
          <w:ilvl w:val="0"/>
          <w:numId w:val="28"/>
        </w:numPr>
        <w:spacing w:after="19" w:line="358" w:lineRule="auto"/>
        <w:ind w:right="755" w:hanging="1068"/>
      </w:pPr>
      <w:r>
        <w:t>Cui A. Weight change patterns across adulthood are associated with the risk of osteoarthritis: a population-</w:t>
      </w:r>
      <w:r>
        <w:t xml:space="preserve">based study / A. Cui, J. Zhang, H. Deng [et al.] // Aging Clin Exp Res. </w:t>
      </w:r>
    </w:p>
    <w:p w:rsidR="000A3B51" w:rsidRDefault="003D0A08">
      <w:pPr>
        <w:ind w:right="755"/>
      </w:pPr>
      <w:r>
        <w:t xml:space="preserve">– 2024. – Vol. 36, № 1. – Article ID 138. </w:t>
      </w:r>
    </w:p>
    <w:p w:rsidR="000A3B51" w:rsidRDefault="003D0A08">
      <w:pPr>
        <w:numPr>
          <w:ilvl w:val="0"/>
          <w:numId w:val="28"/>
        </w:numPr>
        <w:spacing w:after="1" w:line="358" w:lineRule="auto"/>
        <w:ind w:right="755" w:hanging="1068"/>
      </w:pPr>
      <w:r>
        <w:t>Nan K. Relationship of weight change patterns from young to middle adulthood with incident rheumatoid arthritis and osteoarthritis: a retrospective cohort study / K. Nan, M. Zhang, S. Hu [et al.] // Front Endocrinol (Lausanne). – 2024. – Vol. 14. – Article</w:t>
      </w:r>
      <w:r>
        <w:t xml:space="preserve"> ID 1308254. </w:t>
      </w:r>
    </w:p>
    <w:p w:rsidR="000A3B51" w:rsidRDefault="003D0A08">
      <w:pPr>
        <w:numPr>
          <w:ilvl w:val="0"/>
          <w:numId w:val="28"/>
        </w:numPr>
        <w:spacing w:line="356" w:lineRule="auto"/>
        <w:ind w:right="755" w:hanging="1068"/>
      </w:pPr>
      <w:r>
        <w:t xml:space="preserve">Salis Z. Association of Decrease in Body Mass Index With Reduced Incidence and Progression of the Structural Defects of Knee Osteoarthritis: A Prospective Multi-Cohort Study / </w:t>
      </w:r>
    </w:p>
    <w:p w:rsidR="000A3B51" w:rsidRDefault="003D0A08">
      <w:pPr>
        <w:spacing w:after="0" w:line="359" w:lineRule="auto"/>
        <w:ind w:right="755"/>
      </w:pPr>
      <w:r>
        <w:t>Z. Salis, B. Gallego, T.V. Nguyen [et al.] // Arthritis Rheumatol</w:t>
      </w:r>
      <w:r>
        <w:t xml:space="preserve">. – 2023. – Vol. 75, № 4. – P. 533– 543.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Jiang L. Body mass index and hand osteoarthritis susceptibility: an updated meta-analysis </w:t>
      </w:r>
    </w:p>
    <w:p w:rsidR="000A3B51" w:rsidRDefault="003D0A08">
      <w:pPr>
        <w:ind w:right="755"/>
      </w:pPr>
      <w:r>
        <w:t xml:space="preserve">/ L. Jiang, X. Xie, Y. Wang [et al.] // Int J Rheum Dis. – 2016. – Vol. 19, № 12. – P. 1244–1254. </w:t>
      </w:r>
    </w:p>
    <w:p w:rsidR="000A3B51" w:rsidRDefault="003D0A08">
      <w:pPr>
        <w:numPr>
          <w:ilvl w:val="0"/>
          <w:numId w:val="28"/>
        </w:numPr>
        <w:spacing w:after="43" w:line="362" w:lineRule="auto"/>
        <w:ind w:right="755" w:hanging="1068"/>
      </w:pPr>
      <w:r>
        <w:t>Reyes C. Association Bet</w:t>
      </w:r>
      <w:r>
        <w:t xml:space="preserve">ween Overweight and Obesity and Risk of Clinically Diagnosed Knee, Hip, and Hand Osteoarthritis: A Population-Based Cohort Study / C. Reyes, K.M. Leyland, G. Peat [et al.] // Arthritis Rheumatol. – 2016. – Vol. 68, № 8. – P. 1869–1875. </w:t>
      </w:r>
    </w:p>
    <w:p w:rsidR="000A3B51" w:rsidRDefault="003D0A08">
      <w:pPr>
        <w:numPr>
          <w:ilvl w:val="0"/>
          <w:numId w:val="28"/>
        </w:numPr>
        <w:spacing w:after="23" w:line="356" w:lineRule="auto"/>
        <w:ind w:right="755" w:hanging="1068"/>
      </w:pPr>
      <w:r>
        <w:t>Chen M. Life’s Esse</w:t>
      </w:r>
      <w:r>
        <w:t xml:space="preserve">ntial 8 and its association with osteoarthritis and disability: a crosssectional study based on the NHANES 2005-2018 database / M. Chen, Y. Chen, C. Li // Qual Life </w:t>
      </w:r>
    </w:p>
    <w:p w:rsidR="000A3B51" w:rsidRDefault="003D0A08">
      <w:pPr>
        <w:ind w:right="755"/>
      </w:pPr>
      <w:r>
        <w:t xml:space="preserve">Res. – 2024. – Vol. 33, № 11. – P. 3141–3153. </w:t>
      </w:r>
    </w:p>
    <w:p w:rsidR="000A3B51" w:rsidRDefault="003D0A08">
      <w:pPr>
        <w:numPr>
          <w:ilvl w:val="0"/>
          <w:numId w:val="28"/>
        </w:numPr>
        <w:spacing w:after="15" w:line="358" w:lineRule="auto"/>
        <w:ind w:right="755" w:hanging="1068"/>
      </w:pPr>
      <w:r>
        <w:t>Li B. Exploration beyond osteoarthritis: th</w:t>
      </w:r>
      <w:r>
        <w:t xml:space="preserve">e association and mechanism of its related comorbidities / B. Li, Z. Yang, Y. Li [et al.] // Front Endocrinol (Lausanne). – 2024. – Vol. 15. – Article ID 1352671. </w:t>
      </w:r>
    </w:p>
    <w:p w:rsidR="000A3B51" w:rsidRDefault="003D0A08">
      <w:pPr>
        <w:numPr>
          <w:ilvl w:val="0"/>
          <w:numId w:val="28"/>
        </w:numPr>
        <w:spacing w:after="0" w:line="376" w:lineRule="auto"/>
        <w:ind w:right="755" w:hanging="1068"/>
      </w:pPr>
      <w:r>
        <w:t>Dell’Isola A. Twenty-year trajectories of morbidity in individuals with and without osteoart</w:t>
      </w:r>
      <w:r>
        <w:t xml:space="preserve">hritis / A. Dell’Isola, F. Recenti, M. Englund [et al.] // RMD Open. – 2024. – Vol. 10, № 2. – Article ID e004164. </w:t>
      </w:r>
    </w:p>
    <w:p w:rsidR="000A3B51" w:rsidRDefault="003D0A08">
      <w:pPr>
        <w:numPr>
          <w:ilvl w:val="0"/>
          <w:numId w:val="28"/>
        </w:numPr>
        <w:spacing w:after="9" w:line="358" w:lineRule="auto"/>
        <w:ind w:right="755" w:hanging="1068"/>
      </w:pPr>
      <w:r>
        <w:t>Sewell J. Association between arthritis and cardiovascular risk factors in community-based adults: an opportunity to target cardiovascular r</w:t>
      </w:r>
      <w:r>
        <w:t xml:space="preserve">isk / J. Sewell, S.M. Hussain, Y. Wang [et al.] // </w:t>
      </w:r>
    </w:p>
    <w:p w:rsidR="000A3B51" w:rsidRDefault="003D0A08">
      <w:pPr>
        <w:ind w:right="755"/>
      </w:pPr>
      <w:r>
        <w:t xml:space="preserve">BMC Cardiovasc Disord. – 2022. – Vol. 22, № 1. – Article ID 2674.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Runhaar J. The Challenges in the Primary Prevention of Osteoarthritis / J. Runhaar, S.M.A. </w:t>
      </w:r>
    </w:p>
    <w:p w:rsidR="000A3B51" w:rsidRDefault="003D0A08">
      <w:pPr>
        <w:ind w:right="755"/>
      </w:pPr>
      <w:r>
        <w:t xml:space="preserve">Bierma-Zeinstra // Clin Geriatr Med. – 2022. </w:t>
      </w:r>
      <w:r>
        <w:t xml:space="preserve">– Vol. 38, № 2. – P. 259–271. </w:t>
      </w:r>
    </w:p>
    <w:p w:rsidR="000A3B51" w:rsidRDefault="003D0A08">
      <w:pPr>
        <w:numPr>
          <w:ilvl w:val="0"/>
          <w:numId w:val="28"/>
        </w:numPr>
        <w:spacing w:after="11" w:line="356" w:lineRule="auto"/>
        <w:ind w:right="755" w:hanging="1068"/>
      </w:pPr>
      <w:r>
        <w:t xml:space="preserve">Grindstaff T.L. Neuromuscular Control Training Programs and Noncontact Anterior Cruciate Ligament Injury Rates in Female Athletes: A Numbers-Needed-to-Treat Analysis / T.L. </w:t>
      </w:r>
    </w:p>
    <w:p w:rsidR="000A3B51" w:rsidRDefault="003D0A08">
      <w:pPr>
        <w:spacing w:after="6" w:line="356" w:lineRule="auto"/>
        <w:ind w:right="755"/>
      </w:pPr>
      <w:r>
        <w:t>Grindstaff, R.R. Hammill, A.E. Tuzson [et al.] // J</w:t>
      </w:r>
      <w:r>
        <w:t xml:space="preserve"> Athl Train. – 2006. – Vol. 41, № 4. – P. 450456.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>Whittaker J.L. OPTIKNEE 2022: consensus recommendations to optimise knee health after traumatic knee injury to prevent osteoarthritis / J.L. Whittaker, A.G. Culvenor, C.B. Juhl [et al.] // Br J Sports Med.</w:t>
      </w:r>
      <w:r>
        <w:t xml:space="preserve"> – 2022. – Vol. 56, № 24. – P. 1393–1405.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Whittaker J.L. A lifespan approach to osteoarthritis prevention / J.L. Whittaker, J. Runhaar, </w:t>
      </w:r>
    </w:p>
    <w:p w:rsidR="000A3B51" w:rsidRDefault="003D0A08">
      <w:pPr>
        <w:ind w:right="755"/>
      </w:pPr>
      <w:r>
        <w:t xml:space="preserve">S. Bierma-Zeinstra [et al.] // Osteoarthritis Cartilage. – 2021. – Vol. 29, № 12. – P. 1638–1653.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>de Melo L.R. Nation</w:t>
      </w:r>
      <w:r>
        <w:t xml:space="preserve">al Osteoarthritis Strategy brief report: Prevention of osteoarthritis / L.R. de Melo, D. Hunter, L. Fortington [et al.] // Aust J Gen Pract. – 2020. – Vol. 49, № 5. – P. </w:t>
      </w:r>
    </w:p>
    <w:p w:rsidR="000A3B51" w:rsidRDefault="003D0A08">
      <w:pPr>
        <w:ind w:right="755"/>
      </w:pPr>
      <w:r>
        <w:t xml:space="preserve">273–275. </w:t>
      </w:r>
    </w:p>
    <w:p w:rsidR="000A3B51" w:rsidRDefault="003D0A08">
      <w:pPr>
        <w:numPr>
          <w:ilvl w:val="0"/>
          <w:numId w:val="28"/>
        </w:numPr>
        <w:spacing w:after="1" w:line="364" w:lineRule="auto"/>
        <w:ind w:right="755" w:hanging="1068"/>
      </w:pPr>
      <w:r>
        <w:t>Gwinnutt J.M. 2021 EULAR recommendations regarding lifestyle behaviours and</w:t>
      </w:r>
      <w:r>
        <w:t xml:space="preserve"> work participation to prevent progression of rheumatic and musculoskeletal diseases / J.M. Gwinnutt, </w:t>
      </w:r>
    </w:p>
    <w:p w:rsidR="000A3B51" w:rsidRDefault="003D0A08">
      <w:pPr>
        <w:ind w:right="755"/>
      </w:pPr>
      <w:r>
        <w:t xml:space="preserve">M. Wieczorek, A. Balanescu [et al.] // Ann Rheum Dis. – 2023. – Vol. 82, № 1. – P. 48–56.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>Emery C.A. OARSI Clinical Trials Recommendations: Design and c</w:t>
      </w:r>
      <w:r>
        <w:t xml:space="preserve">onduct of clinical trials for primary prevention of osteoarthritis by joint injury prevention in sport and recreation / C.A. Emery, E.M. Roos, E. Verhagen [et al.] // Osteoarthritis Cartilage. – 2015. – Vol. 23, № 5. – </w:t>
      </w:r>
    </w:p>
    <w:p w:rsidR="000A3B51" w:rsidRDefault="003D0A08">
      <w:pPr>
        <w:ind w:right="755"/>
      </w:pPr>
      <w:r>
        <w:t xml:space="preserve">P. 815–825. </w:t>
      </w:r>
    </w:p>
    <w:p w:rsidR="000A3B51" w:rsidRDefault="003D0A08">
      <w:pPr>
        <w:numPr>
          <w:ilvl w:val="0"/>
          <w:numId w:val="28"/>
        </w:numPr>
        <w:spacing w:after="12" w:line="356" w:lineRule="auto"/>
        <w:ind w:right="755" w:hanging="1068"/>
      </w:pPr>
      <w:r>
        <w:t xml:space="preserve">Ratzlaff C.R. New developments in osteoarthritis. Prevention of injury-related knee osteoarthritis: opportunities for the primary and secondary prevention of knee osteoarthritis / C.R. </w:t>
      </w:r>
    </w:p>
    <w:p w:rsidR="000A3B51" w:rsidRDefault="003D0A08">
      <w:pPr>
        <w:ind w:right="755"/>
      </w:pPr>
      <w:r>
        <w:t xml:space="preserve">Ratzlaff, M.H. Liang // Arthritis Res Ther. – 2010. – Vol. 12, № 4. – </w:t>
      </w:r>
      <w:r>
        <w:t xml:space="preserve">Article ID AR3113. </w:t>
      </w:r>
    </w:p>
    <w:p w:rsidR="000A3B51" w:rsidRDefault="003D0A08">
      <w:pPr>
        <w:numPr>
          <w:ilvl w:val="0"/>
          <w:numId w:val="28"/>
        </w:numPr>
        <w:spacing w:after="19" w:line="358" w:lineRule="auto"/>
        <w:ind w:right="755" w:hanging="1068"/>
      </w:pPr>
      <w:r>
        <w:t>Whittaker J.L. Risk factors for knee osteoarthritis after traumatic knee injury: a systematic review and meta-analysis of randomised controlled trials and cohort studies for the OPTIKNEE Consensus / J.L. Whittaker, J.M. Losciale, C.B. J</w:t>
      </w:r>
      <w:r>
        <w:t xml:space="preserve">uhl [et al.] // Br J Sports Med. – 2022. – Vol. 56, </w:t>
      </w:r>
    </w:p>
    <w:p w:rsidR="000A3B51" w:rsidRDefault="003D0A08">
      <w:pPr>
        <w:ind w:right="755"/>
      </w:pPr>
      <w:r>
        <w:t xml:space="preserve">№ 24. – P. 1406–1421. </w:t>
      </w:r>
    </w:p>
    <w:p w:rsidR="000A3B51" w:rsidRDefault="003D0A08">
      <w:pPr>
        <w:numPr>
          <w:ilvl w:val="0"/>
          <w:numId w:val="28"/>
        </w:numPr>
        <w:spacing w:after="24" w:line="359" w:lineRule="auto"/>
        <w:ind w:right="755" w:hanging="1068"/>
      </w:pPr>
      <w:r>
        <w:t>Jones R.K. A new approach to prevention of knee osteoarthritis: reducing medial load in the contralateral knee / R.K. Jones, G.J. Chapman, A.H. Findlow [et al.] // J Rheumatol. – 2</w:t>
      </w:r>
      <w:r>
        <w:t xml:space="preserve">013. – </w:t>
      </w:r>
    </w:p>
    <w:p w:rsidR="000A3B51" w:rsidRDefault="003D0A08">
      <w:pPr>
        <w:ind w:right="755"/>
      </w:pPr>
      <w:r>
        <w:t xml:space="preserve">Vol. 40, № 3. – P. 309–315. </w:t>
      </w:r>
    </w:p>
    <w:p w:rsidR="000A3B51" w:rsidRDefault="003D0A08">
      <w:pPr>
        <w:numPr>
          <w:ilvl w:val="0"/>
          <w:numId w:val="28"/>
        </w:numPr>
        <w:spacing w:after="0" w:line="363" w:lineRule="auto"/>
        <w:ind w:right="755" w:hanging="1068"/>
      </w:pPr>
      <w:r>
        <w:t>Hutchison L. Relationship Between Knee Biomechanics and Pain in People With Knee Osteoarthritis: A Systematic Review and Meta-Analysis / L. Hutchison, J. Grayson, C. Hiller [et al.] // Arthritis Care Res (Hoboken). – 20</w:t>
      </w:r>
      <w:r>
        <w:t xml:space="preserve">23. – Vol. 75, № 6. – P. 1351–1361.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Halstead J. Current and future advances in practice: mechanical foot pain / J. Halstead, S.E. </w:t>
      </w:r>
    </w:p>
    <w:p w:rsidR="000A3B51" w:rsidRDefault="003D0A08">
      <w:pPr>
        <w:ind w:right="755"/>
      </w:pPr>
      <w:r>
        <w:t xml:space="preserve">Munteanu // Rheumatol Adv Pract. – 2023. – Vol. 7, № 3. – Article ID RKAD081. </w:t>
      </w:r>
    </w:p>
    <w:p w:rsidR="000A3B51" w:rsidRDefault="003D0A08">
      <w:pPr>
        <w:numPr>
          <w:ilvl w:val="0"/>
          <w:numId w:val="28"/>
        </w:numPr>
        <w:spacing w:after="15" w:line="359" w:lineRule="auto"/>
        <w:ind w:right="755" w:hanging="1068"/>
      </w:pPr>
      <w:r>
        <w:t>Russell E.M. Lateral wedges alter mediolatera</w:t>
      </w:r>
      <w:r>
        <w:t xml:space="preserve">l load distributions at the knee joint in obese individuals / E.M. Russell, R.H. Miller, B.R. Umberger [et al.] // J Orthop Res. – 2013. – Vol. 31, </w:t>
      </w:r>
    </w:p>
    <w:p w:rsidR="000A3B51" w:rsidRDefault="003D0A08">
      <w:pPr>
        <w:ind w:right="755"/>
      </w:pPr>
      <w:r>
        <w:t xml:space="preserve">№ 5. – P. 665–671. </w:t>
      </w:r>
    </w:p>
    <w:p w:rsidR="000A3B51" w:rsidRDefault="003D0A08">
      <w:pPr>
        <w:numPr>
          <w:ilvl w:val="0"/>
          <w:numId w:val="28"/>
        </w:numPr>
        <w:spacing w:after="13" w:line="357" w:lineRule="auto"/>
        <w:ind w:right="755" w:hanging="1068"/>
      </w:pPr>
      <w:r>
        <w:t>Kemker B.P. Hip and Knee Bracing: Categorization, Treatment Algorithm, and Systematic R</w:t>
      </w:r>
      <w:r>
        <w:t xml:space="preserve">eview / B.P. Kemker, R. Kankaria, N. Patel [et al.] // J Am Acad Orthop Surg Glob Res Rev. – </w:t>
      </w:r>
    </w:p>
    <w:p w:rsidR="000A3B51" w:rsidRDefault="003D0A08">
      <w:pPr>
        <w:ind w:right="755"/>
      </w:pPr>
      <w:r>
        <w:t xml:space="preserve">2021. – Vol. 5, № 6. – Article ID JAAOSGLOBAL-D-20-00181. </w:t>
      </w:r>
    </w:p>
    <w:p w:rsidR="000A3B51" w:rsidRDefault="003D0A08">
      <w:pPr>
        <w:numPr>
          <w:ilvl w:val="0"/>
          <w:numId w:val="28"/>
        </w:numPr>
        <w:spacing w:after="7" w:line="358" w:lineRule="auto"/>
        <w:ind w:right="755" w:hanging="1068"/>
      </w:pPr>
      <w:r>
        <w:t xml:space="preserve">Lohmander L.S. Incidence of severe knee and hip osteoarthritis in relation to different measures of body mass: a population-based prospective cohort study / L.S. Lohmander, M.G. De </w:t>
      </w:r>
    </w:p>
    <w:p w:rsidR="000A3B51" w:rsidRDefault="003D0A08">
      <w:pPr>
        <w:ind w:right="755"/>
      </w:pPr>
      <w:r>
        <w:t>Verdier, J. Rollof [et al.] // Ann Rheum Dis. – 2009. – Vol. 68, № 4. – P.</w:t>
      </w:r>
      <w:r>
        <w:t xml:space="preserve"> 490–496. </w:t>
      </w:r>
    </w:p>
    <w:p w:rsidR="000A3B51" w:rsidRDefault="003D0A08">
      <w:pPr>
        <w:numPr>
          <w:ilvl w:val="0"/>
          <w:numId w:val="28"/>
        </w:numPr>
        <w:spacing w:line="362" w:lineRule="auto"/>
        <w:ind w:right="755" w:hanging="1068"/>
      </w:pPr>
      <w:r>
        <w:t>Golightly Y.M. Foot disorders associated with overpronated and oversupinated foot function: the Johnston County osteoarthritis project / Y.M. Golightly, M.T. Hannan, A.B. Dufour [et al.] // Foot Ankle Int. – 2014. – Vol. 35, № 11. – P. 1159–1165</w:t>
      </w:r>
      <w:r>
        <w:t xml:space="preserve">. </w:t>
      </w:r>
    </w:p>
    <w:p w:rsidR="000A3B51" w:rsidRDefault="003D0A08">
      <w:pPr>
        <w:numPr>
          <w:ilvl w:val="0"/>
          <w:numId w:val="28"/>
        </w:numPr>
        <w:spacing w:after="0" w:line="366" w:lineRule="auto"/>
        <w:ind w:right="755" w:hanging="1068"/>
      </w:pPr>
      <w:r>
        <w:t xml:space="preserve">Mahiquez M.Y. Positive hindfoot valgus and osteoarthritis of the first metatarsophalangeal joint / M.Y. Mahiquez, F.V. Wilder, H.M. Stephens // Foot Ankle Int. – 2006. – Vol. 27, № 12. – P. 1055–1059. </w:t>
      </w:r>
    </w:p>
    <w:p w:rsidR="000A3B51" w:rsidRDefault="003D0A08">
      <w:pPr>
        <w:numPr>
          <w:ilvl w:val="0"/>
          <w:numId w:val="28"/>
        </w:numPr>
        <w:spacing w:after="27" w:line="357" w:lineRule="auto"/>
        <w:ind w:right="755" w:hanging="1068"/>
      </w:pPr>
      <w:r>
        <w:t xml:space="preserve">Li Z. Passive stiffness of the quadriceps predicts </w:t>
      </w:r>
      <w:r>
        <w:t xml:space="preserve">the incidence of clinical knee osteoarthritis in twelve months / Z. Li, K.L. Leung, C. Huang [et al.] // Eur J Phys Rehabil Med. – 2023. – Vol. </w:t>
      </w:r>
    </w:p>
    <w:p w:rsidR="000A3B51" w:rsidRDefault="003D0A08">
      <w:pPr>
        <w:ind w:right="755"/>
      </w:pPr>
      <w:r>
        <w:t xml:space="preserve">59, № 1. – P. 65–74. </w:t>
      </w:r>
    </w:p>
    <w:p w:rsidR="000A3B51" w:rsidRDefault="003D0A08">
      <w:pPr>
        <w:numPr>
          <w:ilvl w:val="0"/>
          <w:numId w:val="28"/>
        </w:numPr>
        <w:spacing w:after="20" w:line="359" w:lineRule="auto"/>
        <w:ind w:right="755" w:hanging="1068"/>
      </w:pPr>
      <w:r>
        <w:t>Slemenda C. Reduced quadriceps strength relative to body weight: a risk factor for knee o</w:t>
      </w:r>
      <w:r>
        <w:t xml:space="preserve">steoarthritis in women? / C. Slemenda, D.K. Heilman, K.D. Brandt [et al.] // Arthritis Rheum. – </w:t>
      </w:r>
    </w:p>
    <w:p w:rsidR="000A3B51" w:rsidRDefault="003D0A08">
      <w:pPr>
        <w:ind w:right="755"/>
      </w:pPr>
      <w:r>
        <w:t xml:space="preserve">1998. – Vol. 41, № 11. – P. 1951–1959. </w:t>
      </w:r>
    </w:p>
    <w:p w:rsidR="000A3B51" w:rsidRDefault="003D0A08">
      <w:pPr>
        <w:numPr>
          <w:ilvl w:val="0"/>
          <w:numId w:val="28"/>
        </w:numPr>
        <w:spacing w:after="21" w:line="357" w:lineRule="auto"/>
        <w:ind w:right="755" w:hanging="1068"/>
      </w:pPr>
      <w:r>
        <w:t>Patterson B.E. Muscle strength and osteoarthritis of the knee: a systematic review and meta-analysis of longitudinal st</w:t>
      </w:r>
      <w:r>
        <w:t xml:space="preserve">udies / B.E. Patterson, M.A. Girdwood, T.J. West [et al.] // Skeletal </w:t>
      </w:r>
    </w:p>
    <w:p w:rsidR="000A3B51" w:rsidRDefault="003D0A08">
      <w:pPr>
        <w:ind w:right="755"/>
      </w:pPr>
      <w:r>
        <w:t xml:space="preserve">Radiol. – 2023. – Vol. 52, № 11. – P. 2085–2097. </w:t>
      </w:r>
    </w:p>
    <w:p w:rsidR="000A3B51" w:rsidRDefault="003D0A08">
      <w:pPr>
        <w:numPr>
          <w:ilvl w:val="0"/>
          <w:numId w:val="28"/>
        </w:numPr>
        <w:spacing w:after="7" w:line="358" w:lineRule="auto"/>
        <w:ind w:right="755" w:hanging="1068"/>
      </w:pPr>
      <w:r>
        <w:t xml:space="preserve">Culvenor A.G. Knee extensor strength and risk of structural, symptomatic, and functional decline in knee osteoarthritis: a systematic review and meta-analysis / A.G. Culvenor, A. </w:t>
      </w:r>
    </w:p>
    <w:p w:rsidR="000A3B51" w:rsidRDefault="003D0A08">
      <w:pPr>
        <w:ind w:right="755"/>
      </w:pPr>
      <w:r>
        <w:t xml:space="preserve">Ruhdorfer, C. Juhl [et al.] // Arthritis Care Res (Hoboken). – 2017. – Vol. </w:t>
      </w:r>
      <w:r>
        <w:t xml:space="preserve">69, № 5. – P. 649–658. </w:t>
      </w:r>
    </w:p>
    <w:p w:rsidR="000A3B51" w:rsidRDefault="003D0A08">
      <w:pPr>
        <w:numPr>
          <w:ilvl w:val="0"/>
          <w:numId w:val="28"/>
        </w:numPr>
        <w:spacing w:after="2" w:line="358" w:lineRule="auto"/>
        <w:ind w:right="755" w:hanging="1068"/>
      </w:pPr>
      <w:r>
        <w:t>Hulshof C.T.J. The effect of occupational exposure to ergonomic risk factors on osteoarthritis of hip or knee and selected other musculoskeletal diseases: a systematic review and meta-analysis from the WHO/ILO Joint Estimates of the</w:t>
      </w:r>
      <w:r>
        <w:t xml:space="preserve"> Work-related Burden of Disease and Injury / C.T.J. Hulshof, F. Pega, S. Neupane [et al.] // Environ Int. – 2021. – Vol. 150. – Article ID 106349.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4Unverzagt S. Physically demanding occupations among females and sex-</w:t>
      </w:r>
      <w:r>
        <w:t xml:space="preserve">related differences to develop osteoarthritis of the hip: a systematic review and meta-analysis / S. Unverzagt, A. Bergmann, K. Denny [et al.] // J Occup Med Toxicol. – 2024. – Vol. 19, № 1. – Article ID 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Bergmann A. Occupational strain as a risk for hi</w:t>
      </w:r>
      <w:r>
        <w:t>p osteoarthritis / A. Bergmann, U. Bolm-</w:t>
      </w:r>
    </w:p>
    <w:p w:rsidR="000A3B51" w:rsidRDefault="003D0A08">
      <w:pPr>
        <w:ind w:right="755"/>
      </w:pPr>
      <w:r>
        <w:t xml:space="preserve">Audorff, D. Krone [et al.] // Dtsch Arztebl Int. – 2017. – Vol. 114, № 35–36. – P. 581–588. </w:t>
      </w:r>
    </w:p>
    <w:p w:rsidR="000A3B51" w:rsidRDefault="003D0A08">
      <w:pPr>
        <w:numPr>
          <w:ilvl w:val="0"/>
          <w:numId w:val="28"/>
        </w:numPr>
        <w:spacing w:after="16" w:line="358" w:lineRule="auto"/>
        <w:ind w:right="755" w:hanging="1068"/>
      </w:pPr>
      <w:r>
        <w:t>Solovieva S. Occupation, Physical Workload Factors, and Disability Retirement as a Result of Hip Osteoarthritis in Finland</w:t>
      </w:r>
      <w:r>
        <w:t xml:space="preserve">, 2005-2013 / S. Solovieva, T. Kontio, E. Viikari-Juntura [et al.] // </w:t>
      </w:r>
    </w:p>
    <w:p w:rsidR="000A3B51" w:rsidRDefault="003D0A08">
      <w:pPr>
        <w:ind w:right="755"/>
      </w:pPr>
      <w:r>
        <w:t xml:space="preserve">J Rheumatol. – 2018. – Vol. 45, № 4. – P. 555–562. </w:t>
      </w:r>
    </w:p>
    <w:p w:rsidR="000A3B51" w:rsidRDefault="003D0A08">
      <w:pPr>
        <w:numPr>
          <w:ilvl w:val="0"/>
          <w:numId w:val="28"/>
        </w:numPr>
        <w:spacing w:line="376" w:lineRule="auto"/>
        <w:ind w:right="755" w:hanging="1068"/>
      </w:pPr>
      <w:r>
        <w:t>Seidler A. Dose-response relationship between cumulative physical workload and osteoarthritis of the hip – a meta-analysis applying a</w:t>
      </w:r>
      <w:r>
        <w:t xml:space="preserve">n external reference population for exposure assignment / A. Seidler, L. Lüben, J. Hegewald [et al.] // BMC Musculoskelet Disord. – 2018. – Vol. 19, № 1. – Article ID 182. </w:t>
      </w:r>
    </w:p>
    <w:p w:rsidR="000A3B51" w:rsidRDefault="003D0A08">
      <w:pPr>
        <w:numPr>
          <w:ilvl w:val="0"/>
          <w:numId w:val="28"/>
        </w:numPr>
        <w:spacing w:after="17" w:line="364" w:lineRule="auto"/>
        <w:ind w:right="755" w:hanging="1068"/>
      </w:pPr>
      <w:r>
        <w:t>Jensen L.K. Hip osteoarthritis: influence of work with heavy lifting, climbing stai</w:t>
      </w:r>
      <w:r>
        <w:t xml:space="preserve">rs or ladders, or combining kneeling/squatting with heavy lifting / L.K. Jensen // Occup Environ Med. </w:t>
      </w:r>
    </w:p>
    <w:p w:rsidR="000A3B51" w:rsidRDefault="003D0A08">
      <w:pPr>
        <w:ind w:right="755"/>
      </w:pPr>
      <w:r>
        <w:t xml:space="preserve">– 2008. – Vol. 65, № 1. – P. 6–19. </w:t>
      </w:r>
    </w:p>
    <w:p w:rsidR="000A3B51" w:rsidRDefault="003D0A08">
      <w:pPr>
        <w:numPr>
          <w:ilvl w:val="0"/>
          <w:numId w:val="28"/>
        </w:numPr>
        <w:spacing w:after="21" w:line="365" w:lineRule="auto"/>
        <w:ind w:right="755" w:hanging="1068"/>
      </w:pPr>
      <w:r>
        <w:t xml:space="preserve">Jensen L.K. Knee osteoarthritis: influence of work involving heavy lifting, kneeling, climbing stairs or ladders, or </w:t>
      </w:r>
      <w:r>
        <w:t xml:space="preserve">kneeling/squatting combined with heavy lifting / L.K. Jensen // Occup Environ Med. – 2008. – Vol. 65, № 2. – P. 72–89. </w:t>
      </w:r>
    </w:p>
    <w:p w:rsidR="000A3B51" w:rsidRDefault="003D0A08">
      <w:pPr>
        <w:numPr>
          <w:ilvl w:val="0"/>
          <w:numId w:val="28"/>
        </w:numPr>
        <w:spacing w:after="0" w:line="396" w:lineRule="auto"/>
        <w:ind w:right="755" w:hanging="1068"/>
      </w:pPr>
      <w:r>
        <w:t>Vignon É. Osteoarthritis of the knee and hip and activity: a systematic international review and synthesis (OASIS) / É. Vignon, J.P. Val</w:t>
      </w:r>
      <w:r>
        <w:t xml:space="preserve">at, M. Rossignol [et al.] // Joint Bone Spine. – 2006. </w:t>
      </w:r>
    </w:p>
    <w:p w:rsidR="000A3B51" w:rsidRDefault="003D0A08">
      <w:pPr>
        <w:ind w:right="755"/>
      </w:pPr>
      <w:r>
        <w:t xml:space="preserve">– Vol. 73, № 4. – P. 442–455. </w:t>
      </w:r>
    </w:p>
    <w:p w:rsidR="000A3B51" w:rsidRDefault="003D0A08">
      <w:pPr>
        <w:numPr>
          <w:ilvl w:val="0"/>
          <w:numId w:val="28"/>
        </w:numPr>
        <w:spacing w:after="15" w:line="357" w:lineRule="auto"/>
        <w:ind w:right="755" w:hanging="1068"/>
      </w:pPr>
      <w:r>
        <w:t>Unverzagt S. Influence of physically demanding occupations on the development of osteoarthritis of the hip: a systematic review / S. Unverzagt, U. Bolm-Audorff, T. Frese</w:t>
      </w:r>
      <w:r>
        <w:t xml:space="preserve"> [et al.] // </w:t>
      </w:r>
    </w:p>
    <w:p w:rsidR="000A3B51" w:rsidRDefault="003D0A08">
      <w:pPr>
        <w:ind w:right="755"/>
      </w:pPr>
      <w:r>
        <w:t xml:space="preserve">J Occup Med Toxicol. – 2022. – Vol. 17, № 1. – Article ID 18. </w:t>
      </w:r>
    </w:p>
    <w:p w:rsidR="000A3B51" w:rsidRDefault="003D0A08">
      <w:pPr>
        <w:numPr>
          <w:ilvl w:val="0"/>
          <w:numId w:val="28"/>
        </w:numPr>
        <w:spacing w:after="14" w:line="358" w:lineRule="auto"/>
        <w:ind w:right="755" w:hanging="1068"/>
      </w:pPr>
      <w:r>
        <w:t xml:space="preserve">Schram B. Risk factors for development of lower limb osteoarthritis in physically demanding occupations: a narrative umbrella review / B. Schram, R. Orr, R. Pope [et al.] // J Occup </w:t>
      </w:r>
    </w:p>
    <w:p w:rsidR="000A3B51" w:rsidRDefault="003D0A08">
      <w:pPr>
        <w:ind w:right="755"/>
      </w:pPr>
      <w:r>
        <w:t xml:space="preserve">Health. – 2020. – Vol. 62, № 1. – Article ID e12103. </w:t>
      </w:r>
    </w:p>
    <w:p w:rsidR="000A3B51" w:rsidRDefault="003D0A08">
      <w:pPr>
        <w:numPr>
          <w:ilvl w:val="0"/>
          <w:numId w:val="28"/>
        </w:numPr>
        <w:spacing w:after="20" w:line="356" w:lineRule="auto"/>
        <w:ind w:right="755" w:hanging="1068"/>
      </w:pPr>
      <w:r>
        <w:t>Wang X. Occupationa</w:t>
      </w:r>
      <w:r>
        <w:t xml:space="preserve">l Risk in Knee Osteoarthritis: A Systematic Review and MetaAnalysis of Observational Studies / X. Wang, T.A. Perry, N. Arden [et al.] // Arthritis Care Res </w:t>
      </w:r>
    </w:p>
    <w:p w:rsidR="000A3B51" w:rsidRDefault="003D0A08">
      <w:pPr>
        <w:ind w:right="755"/>
      </w:pPr>
      <w:r>
        <w:t xml:space="preserve">(Hoboken). – 2020. – Vol. 72, № 9. – P. 1213–1223. </w:t>
      </w:r>
    </w:p>
    <w:p w:rsidR="000A3B51" w:rsidRDefault="003D0A08">
      <w:pPr>
        <w:numPr>
          <w:ilvl w:val="0"/>
          <w:numId w:val="28"/>
        </w:numPr>
        <w:spacing w:after="19" w:line="359" w:lineRule="auto"/>
        <w:ind w:right="755" w:hanging="1068"/>
      </w:pPr>
      <w:r>
        <w:t>Nonnenmann M.W. Dairy farm worker exposure to a</w:t>
      </w:r>
      <w:r>
        <w:t xml:space="preserve">wkward knee posture during milking and feeding tasks / M.W. Nonnenmann, D.C. Anton, F. Gerr [et al.] // J Occup Environ Hyg. – </w:t>
      </w:r>
    </w:p>
    <w:p w:rsidR="000A3B51" w:rsidRDefault="003D0A08">
      <w:pPr>
        <w:ind w:right="755"/>
      </w:pPr>
      <w:r>
        <w:t xml:space="preserve">2010. – Vol. 7, № 8. – P. 483–489.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Plotz B. Current Epidemiology and Risk Factors for the Development of Hand </w:t>
      </w:r>
    </w:p>
    <w:p w:rsidR="000A3B51" w:rsidRDefault="003D0A08">
      <w:pPr>
        <w:ind w:right="755"/>
      </w:pPr>
      <w:r>
        <w:t>Osteoarthritis /</w:t>
      </w:r>
      <w:r>
        <w:t xml:space="preserve"> B. Plotz, F. Bomfim, M.A. Sohail [et al.] // Curr Rheumatol Rep. – 2021. – Vol. </w:t>
      </w:r>
    </w:p>
    <w:p w:rsidR="000A3B51" w:rsidRDefault="003D0A08">
      <w:pPr>
        <w:ind w:right="755"/>
      </w:pPr>
      <w:r>
        <w:t xml:space="preserve">23, № 8. – Article ID 61. </w:t>
      </w:r>
    </w:p>
    <w:p w:rsidR="000A3B51" w:rsidRDefault="003D0A08">
      <w:pPr>
        <w:numPr>
          <w:ilvl w:val="0"/>
          <w:numId w:val="28"/>
        </w:numPr>
        <w:spacing w:after="0" w:line="396" w:lineRule="auto"/>
        <w:ind w:right="755" w:hanging="1068"/>
      </w:pPr>
      <w:r>
        <w:t>Jensen V. Occupational use of precision grip and forceful gripping, and arthrosis of finger joints: a literature review / V. Jensen, H. Bøggild, J.</w:t>
      </w:r>
      <w:r>
        <w:t xml:space="preserve">P. Johansen // Occup Med (Oxford). – 1999. </w:t>
      </w:r>
    </w:p>
    <w:p w:rsidR="000A3B51" w:rsidRDefault="003D0A08">
      <w:pPr>
        <w:ind w:right="755"/>
      </w:pPr>
      <w:r>
        <w:t xml:space="preserve">– Vol. 49, № 6. – P. 383–388. </w:t>
      </w:r>
    </w:p>
    <w:p w:rsidR="000A3B51" w:rsidRDefault="003D0A08">
      <w:pPr>
        <w:numPr>
          <w:ilvl w:val="0"/>
          <w:numId w:val="28"/>
        </w:numPr>
        <w:spacing w:after="11" w:line="357" w:lineRule="auto"/>
        <w:ind w:right="755" w:hanging="1068"/>
      </w:pPr>
      <w:r>
        <w:t>Hammer P.E.C. Associations of work activities requiring pinch or hand grip or exposure to hand-arm vibration with finger and wrist osteoarthritis: a meta-analysis / P.E.C. Hammer, R</w:t>
      </w:r>
      <w:r>
        <w:t xml:space="preserve">. </w:t>
      </w:r>
    </w:p>
    <w:p w:rsidR="000A3B51" w:rsidRDefault="003D0A08">
      <w:pPr>
        <w:ind w:right="755"/>
      </w:pPr>
      <w:r>
        <w:t xml:space="preserve">Shiri, A.I. Kryger [et al.] // Scand J Work Environ Health. – 2014. – Vol. 40, № 2. – P. 133–145. </w:t>
      </w:r>
    </w:p>
    <w:p w:rsidR="000A3B51" w:rsidRDefault="003D0A08">
      <w:pPr>
        <w:numPr>
          <w:ilvl w:val="0"/>
          <w:numId w:val="28"/>
        </w:numPr>
        <w:spacing w:line="359" w:lineRule="auto"/>
        <w:ind w:right="755" w:hanging="1068"/>
      </w:pPr>
      <w:r>
        <w:t>Teichtahl A.J. Occupational risk factors for hip osteoarthritis are associated with early hip structural abnormalities: a 3.0 T magnetic resonance imaging</w:t>
      </w:r>
      <w:r>
        <w:t xml:space="preserve"> study of community-based adults / A.J. Teichtahl, S. Smith, Y. Wang [et al.] // Arthritis Res Ther. – 2015. – Vol. 17, № 1. – Article ID 19. </w:t>
      </w:r>
    </w:p>
    <w:p w:rsidR="000A3B51" w:rsidRDefault="003D0A08">
      <w:pPr>
        <w:numPr>
          <w:ilvl w:val="0"/>
          <w:numId w:val="28"/>
        </w:numPr>
        <w:spacing w:after="20" w:line="379" w:lineRule="auto"/>
        <w:ind w:right="755" w:hanging="1068"/>
      </w:pPr>
      <w:r>
        <w:t>Российская ассоциация эндокринологов, Ассоциация ревматологов России, Российская ассоциация травматологов-</w:t>
      </w:r>
      <w:r>
        <w:t xml:space="preserve">ортопедов, Российская ассоциация гинекологовэндокринологов, Российская ассоциация по остеопорозу. Остеопороз: клинические рекомендации [Электронный ресурс]. – 2021. – URL: https://cr.minzdrav.gov.ru/view-cr/87_4 </w:t>
      </w:r>
    </w:p>
    <w:p w:rsidR="000A3B51" w:rsidRDefault="003D0A08">
      <w:pPr>
        <w:ind w:right="755"/>
      </w:pPr>
      <w:r>
        <w:t xml:space="preserve">(дата обращения: 03.03.2025).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Geusens P.P.</w:t>
      </w:r>
      <w:r>
        <w:t xml:space="preserve"> Osteoporosis and osteoarthritis: shared mechanisms and epidemiology / P.P. </w:t>
      </w:r>
    </w:p>
    <w:p w:rsidR="000A3B51" w:rsidRDefault="003D0A08">
      <w:pPr>
        <w:ind w:right="755"/>
      </w:pPr>
      <w:r>
        <w:t xml:space="preserve">Geusens, J.P. Van Den Bergh // Current Opin Rheumatol. – 2016. – Vol. 28, № 2. – P. 97–103. </w:t>
      </w:r>
    </w:p>
    <w:p w:rsidR="000A3B51" w:rsidRDefault="003D0A08">
      <w:pPr>
        <w:numPr>
          <w:ilvl w:val="0"/>
          <w:numId w:val="28"/>
        </w:numPr>
        <w:spacing w:after="41" w:line="364" w:lineRule="auto"/>
        <w:ind w:right="755" w:hanging="1068"/>
      </w:pPr>
      <w:r>
        <w:t xml:space="preserve">Qu Y. Osteoporosis and osteoarthritis: a bi-directional Mendelian randomization study </w:t>
      </w:r>
      <w:r>
        <w:t xml:space="preserve">/ Y. Qu, S. Chen, M. Han [et al.] // Arthritis Res Ther. – 2023. – Vol. 25, № 1. – Article ID 242. </w:t>
      </w:r>
    </w:p>
    <w:p w:rsidR="000A3B51" w:rsidRDefault="003D0A08">
      <w:pPr>
        <w:numPr>
          <w:ilvl w:val="0"/>
          <w:numId w:val="28"/>
        </w:numPr>
        <w:spacing w:after="0" w:line="367" w:lineRule="auto"/>
        <w:ind w:right="755" w:hanging="1068"/>
      </w:pPr>
      <w:r>
        <w:t>Алексеева Л.И. Оценка эффективности и переносимости ибандроновой кислоты у больных с сочетанием остеоартроза коленных суставов и остеопороза: пилотное иссле</w:t>
      </w:r>
      <w:r>
        <w:t xml:space="preserve">дование / Л.И. Алексеева, Е.М. Зайцева, Е.П. Шарапова [и др.] // Терапевтический архив. – 2013. – Т. 85, № 5. – С. 30–36. </w:t>
      </w:r>
    </w:p>
    <w:p w:rsidR="000A3B51" w:rsidRDefault="003D0A08">
      <w:pPr>
        <w:numPr>
          <w:ilvl w:val="0"/>
          <w:numId w:val="28"/>
        </w:numPr>
        <w:spacing w:after="25" w:line="357" w:lineRule="auto"/>
        <w:ind w:right="755" w:hanging="1068"/>
      </w:pPr>
      <w:r>
        <w:t>Sethi V. Clinical Assessment of Osteoarthritis Pain: Contemporary Scenario, Challenges, and Future Perspectives / V. Sethi, C. Anand,</w:t>
      </w:r>
      <w:r>
        <w:t xml:space="preserve"> O. Della Pasqua [et al.] // Pain Ther. – 2024. – Vol. </w:t>
      </w:r>
    </w:p>
    <w:p w:rsidR="000A3B51" w:rsidRDefault="003D0A08">
      <w:pPr>
        <w:ind w:right="755"/>
      </w:pPr>
      <w:r>
        <w:t xml:space="preserve">13, № 3. – P. 391–408. </w:t>
      </w:r>
    </w:p>
    <w:p w:rsidR="000A3B51" w:rsidRDefault="003D0A08">
      <w:pPr>
        <w:numPr>
          <w:ilvl w:val="0"/>
          <w:numId w:val="28"/>
        </w:numPr>
        <w:spacing w:after="8" w:line="358" w:lineRule="auto"/>
        <w:ind w:right="755" w:hanging="1068"/>
      </w:pPr>
      <w:r>
        <w:t>Zolio L. Systematic review and meta-analysis of the prevalence of neuropathic-like pain and/or pain sensitization in people with knee and hip osteoarthritis / L. Zolio, K.Y. Li</w:t>
      </w:r>
      <w:r>
        <w:t xml:space="preserve">m, J.E. </w:t>
      </w:r>
    </w:p>
    <w:p w:rsidR="000A3B51" w:rsidRDefault="003D0A08">
      <w:pPr>
        <w:ind w:right="755"/>
      </w:pPr>
      <w:r>
        <w:t xml:space="preserve">McKenzie [et al.] // Osteoarthritis Cartilage. – 2021. – Vol. 29, № 8. – P. 1096–1116.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Favero M. Assessment of Neuropathic Pain in Erosive Hand Osteoarthritis / M. Favero, M. </w:t>
      </w:r>
    </w:p>
    <w:p w:rsidR="000A3B51" w:rsidRDefault="003D0A08">
      <w:pPr>
        <w:ind w:right="755"/>
      </w:pPr>
      <w:r>
        <w:t xml:space="preserve">Cacciavillani, F. Ometto [et al.] // J Clin Med. – 2024. – Vol. 13, № </w:t>
      </w:r>
      <w:r>
        <w:t xml:space="preserve">11. – Article ID 3244. </w:t>
      </w:r>
    </w:p>
    <w:p w:rsidR="000A3B51" w:rsidRDefault="003D0A08">
      <w:pPr>
        <w:numPr>
          <w:ilvl w:val="0"/>
          <w:numId w:val="28"/>
        </w:numPr>
        <w:spacing w:after="13" w:line="356" w:lineRule="auto"/>
        <w:ind w:right="755" w:hanging="1068"/>
      </w:pPr>
      <w:r>
        <w:t xml:space="preserve">Steen Pettersen P. Peripheral and Central Sensitization of Pain in Individuals With Hand Osteoarthritis and Associations With Self-Reported Pain Severity / P. Steen Pettersen, T. Neogi, </w:t>
      </w:r>
    </w:p>
    <w:p w:rsidR="000A3B51" w:rsidRDefault="003D0A08">
      <w:pPr>
        <w:ind w:right="755"/>
      </w:pPr>
      <w:r>
        <w:t>K. Magnusson [et al.] // Arthritis Rheumatol.</w:t>
      </w:r>
      <w:r>
        <w:t xml:space="preserve"> – 2019. – Vol. 71, № 7. – P. 1070–1077.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 xml:space="preserve">Price D.D. The validation of visual analogue scales as ratio scale measures for chronic and experimental pain / D.D. Price, P.A. McGrath, A. Rafii [et al.] // Pain. – 1983. – Vol. 17, № 1. – P. 45–56. </w:t>
      </w:r>
    </w:p>
    <w:p w:rsidR="000A3B51" w:rsidRDefault="003D0A08">
      <w:pPr>
        <w:numPr>
          <w:ilvl w:val="0"/>
          <w:numId w:val="28"/>
        </w:numPr>
        <w:spacing w:after="22" w:line="357" w:lineRule="auto"/>
        <w:ind w:right="755" w:hanging="1068"/>
      </w:pPr>
      <w:r>
        <w:t xml:space="preserve">Bijur P.E. Validation of a verbally administered numerical rating scale of acute pain for use in the emergency department / P.E. Bijur, C.T. Latimer, E.J. Gallagher [et al.] // Acad Emerg </w:t>
      </w:r>
    </w:p>
    <w:p w:rsidR="000A3B51" w:rsidRDefault="003D0A08">
      <w:pPr>
        <w:ind w:right="755"/>
      </w:pPr>
      <w:r>
        <w:t xml:space="preserve">Med. – 2003. – Vol. 10, № 4. – P. 390–392. </w:t>
      </w:r>
    </w:p>
    <w:p w:rsidR="000A3B51" w:rsidRDefault="003D0A08">
      <w:pPr>
        <w:numPr>
          <w:ilvl w:val="0"/>
          <w:numId w:val="28"/>
        </w:numPr>
        <w:spacing w:after="23" w:line="376" w:lineRule="auto"/>
        <w:ind w:right="755" w:hanging="1068"/>
      </w:pPr>
      <w:r>
        <w:t>Williamson A. Pain: a r</w:t>
      </w:r>
      <w:r>
        <w:t xml:space="preserve">eview of three commonly used pain rating scales / A. Williamson, B. Hoggart // J Clin Nurs. – 2005. – Vol. 14, № 7. – P. 798–804. </w:t>
      </w:r>
    </w:p>
    <w:p w:rsidR="000A3B51" w:rsidRDefault="003D0A08">
      <w:pPr>
        <w:numPr>
          <w:ilvl w:val="0"/>
          <w:numId w:val="28"/>
        </w:numPr>
        <w:spacing w:after="145"/>
        <w:ind w:right="755" w:hanging="1068"/>
      </w:pPr>
      <w:r>
        <w:t xml:space="preserve">Алексеев В. В. Боль: руководство для врачей и студентов / под ред. Н. Н. Яхно. – М. </w:t>
      </w:r>
    </w:p>
    <w:p w:rsidR="000A3B51" w:rsidRDefault="003D0A08">
      <w:pPr>
        <w:ind w:right="755"/>
      </w:pPr>
      <w:r>
        <w:t>: МЕДпресс-информ, 2009.</w:t>
      </w:r>
      <w:r>
        <w:rPr>
          <w:b/>
        </w:rPr>
        <w:t xml:space="preserve"> </w:t>
      </w:r>
    </w:p>
    <w:p w:rsidR="000A3B51" w:rsidRDefault="003D0A08">
      <w:pPr>
        <w:numPr>
          <w:ilvl w:val="0"/>
          <w:numId w:val="28"/>
        </w:numPr>
        <w:spacing w:after="0" w:line="361" w:lineRule="auto"/>
        <w:ind w:right="755" w:hanging="1068"/>
      </w:pPr>
      <w:r>
        <w:t>Bellamy N.B.W. Validation study of WOMAC: a health status instrument for measuring clinically important patient relevant outcomes to antirheumatic drug therapy in patients with osteoarthritis of the hip or knee / N.B.W. Bellamy // J Rheumatol. – 1988. – P.</w:t>
      </w:r>
      <w:r>
        <w:t xml:space="preserve"> 1833–1840. </w:t>
      </w:r>
    </w:p>
    <w:p w:rsidR="000A3B51" w:rsidRDefault="003D0A08">
      <w:pPr>
        <w:numPr>
          <w:ilvl w:val="0"/>
          <w:numId w:val="28"/>
        </w:numPr>
        <w:spacing w:after="20" w:line="356" w:lineRule="auto"/>
        <w:ind w:right="755" w:hanging="1068"/>
      </w:pPr>
      <w:r>
        <w:t xml:space="preserve">Bellamy N. The WOMAC Knee and Hip Osteoarthritis Indices: development, validation, globalization and influence on the development of the AUSCAN Hand Osteoarthritis Indices / N. </w:t>
      </w:r>
    </w:p>
    <w:p w:rsidR="000A3B51" w:rsidRDefault="003D0A08">
      <w:pPr>
        <w:ind w:right="755"/>
      </w:pPr>
      <w:r>
        <w:t>Bellamy // Clin Exp Rheumatol. – 2005. – Vol. 23, № 5 Suppl 39. –</w:t>
      </w:r>
      <w:r>
        <w:t xml:space="preserve"> С. S148–S153. </w:t>
      </w:r>
    </w:p>
    <w:p w:rsidR="000A3B51" w:rsidRDefault="003D0A08">
      <w:pPr>
        <w:numPr>
          <w:ilvl w:val="0"/>
          <w:numId w:val="28"/>
        </w:numPr>
        <w:spacing w:after="41" w:line="365" w:lineRule="auto"/>
        <w:ind w:right="755" w:hanging="1068"/>
      </w:pPr>
      <w:r>
        <w:t xml:space="preserve">Roos E.M. Knee Injury and Osteoarthritis Outcome Score (KOOS)—development of a self-administered outcome measure / E.M. Roos, H.P. Roos, L.S. Lohmander [et al.] // J Orthop Sports Phys Ther. – 1998. – Vol. 28, № 2. – P. 88–96. </w:t>
      </w:r>
    </w:p>
    <w:p w:rsidR="000A3B51" w:rsidRDefault="003D0A08">
      <w:pPr>
        <w:numPr>
          <w:ilvl w:val="0"/>
          <w:numId w:val="28"/>
        </w:numPr>
        <w:spacing w:after="43" w:line="357" w:lineRule="auto"/>
        <w:ind w:right="755" w:hanging="1068"/>
      </w:pPr>
      <w:r>
        <w:t>Бараненков А</w:t>
      </w:r>
      <w:r>
        <w:t xml:space="preserve">.А. Региональная адаптация шкалы оценки исходов повреждений и заболеваний коленного сустава KOOS / А.А. Бараненков, О.М. Голозубов, В.Г. Голубев, </w:t>
      </w:r>
    </w:p>
    <w:p w:rsidR="000A3B51" w:rsidRDefault="003D0A08">
      <w:pPr>
        <w:ind w:right="755"/>
      </w:pPr>
      <w:r>
        <w:t xml:space="preserve">Г.Ш. Голубев [и др.] // Травматология и ортопедия России. – 2007. – Т. 1, № 43. – С. 26–32. </w:t>
      </w:r>
    </w:p>
    <w:p w:rsidR="000A3B51" w:rsidRDefault="003D0A08">
      <w:pPr>
        <w:numPr>
          <w:ilvl w:val="0"/>
          <w:numId w:val="28"/>
        </w:numPr>
        <w:spacing w:after="43" w:line="363" w:lineRule="auto"/>
        <w:ind w:right="755" w:hanging="1068"/>
      </w:pPr>
      <w:r>
        <w:t xml:space="preserve">Nilsdotter A.K. Hip disability and osteoarthritis outcome score (HOOS) – Validity and responsiveness in total hip replacement / A.K. Nilsdotter, L.S. Lohmander, M. Klässbo [et al.] // BMC Musculoskelet Disord. – 2003. – Vol. 4, № 1. – P. 1–8.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>Klässbo M. H</w:t>
      </w:r>
      <w:r>
        <w:t xml:space="preserve">ip disability and osteoarthritis outcome score. An extension of the Western </w:t>
      </w:r>
    </w:p>
    <w:p w:rsidR="000A3B51" w:rsidRDefault="003D0A08">
      <w:pPr>
        <w:spacing w:after="0" w:line="370" w:lineRule="auto"/>
        <w:ind w:right="755"/>
      </w:pPr>
      <w:r>
        <w:t xml:space="preserve">Ontario and McMaster Universities Osteoarthritis Index / M. Klässbo, E. Larsson, E. Mannevik [et al.] // Scand J Rheumatol. – 2003. – Vol. 32, № 1. – P. 46–51. </w:t>
      </w:r>
    </w:p>
    <w:p w:rsidR="000A3B51" w:rsidRDefault="003D0A08">
      <w:pPr>
        <w:numPr>
          <w:ilvl w:val="0"/>
          <w:numId w:val="28"/>
        </w:numPr>
        <w:spacing w:after="20" w:line="359" w:lineRule="auto"/>
        <w:ind w:right="755" w:hanging="1068"/>
      </w:pPr>
      <w:r>
        <w:t>de Groot I.B. Vali</w:t>
      </w:r>
      <w:r>
        <w:t xml:space="preserve">dation of the Dutch version of the Hip disability and Osteoarthritis Outcome Score / I.B. de Groot, M. Reijman, C.B. Terwee [et al.] // Osteoarthritis Cartilage. – </w:t>
      </w:r>
    </w:p>
    <w:p w:rsidR="000A3B51" w:rsidRDefault="003D0A08">
      <w:pPr>
        <w:ind w:right="755"/>
      </w:pPr>
      <w:r>
        <w:t xml:space="preserve">2009. – Vol. 17, № 1. – P. 132–138. </w:t>
      </w:r>
    </w:p>
    <w:p w:rsidR="000A3B51" w:rsidRDefault="003D0A08">
      <w:pPr>
        <w:numPr>
          <w:ilvl w:val="0"/>
          <w:numId w:val="28"/>
        </w:numPr>
        <w:spacing w:after="0" w:line="360" w:lineRule="auto"/>
        <w:ind w:right="755" w:hanging="1068"/>
      </w:pPr>
      <w:r>
        <w:t>Thorborg K. Validity, reliability and responsiveness o</w:t>
      </w:r>
      <w:r>
        <w:t xml:space="preserve">f patient-reported outcome questionnaires when assessing hip and groin disability: a systematic review / K. Thorborg, E.M. Roos, E.M. Bartels [et al.] // Br J Sports Med. – 2010. – Vol. 44, № 16. – P. 1186–1196. </w:t>
      </w:r>
    </w:p>
    <w:p w:rsidR="000A3B51" w:rsidRDefault="003D0A08">
      <w:pPr>
        <w:numPr>
          <w:ilvl w:val="0"/>
          <w:numId w:val="28"/>
        </w:numPr>
        <w:spacing w:after="17" w:line="359" w:lineRule="auto"/>
        <w:ind w:right="755" w:hanging="1068"/>
      </w:pPr>
      <w:r>
        <w:t>Dayton M.R. Performance-based versus self-r</w:t>
      </w:r>
      <w:r>
        <w:t xml:space="preserve">eported outcomes using the HOOS following total hip arthroplasty / M.R. Dayton, D.L. Judd, C.A. Hogan [et al.] // Am J Phys Med Rehabil. – </w:t>
      </w:r>
    </w:p>
    <w:p w:rsidR="000A3B51" w:rsidRDefault="003D0A08">
      <w:pPr>
        <w:ind w:right="755"/>
      </w:pPr>
      <w:r>
        <w:t xml:space="preserve">2016. – Vol. 95, № 2. – Article ID 132. </w:t>
      </w:r>
    </w:p>
    <w:p w:rsidR="000A3B51" w:rsidRDefault="003D0A08">
      <w:pPr>
        <w:numPr>
          <w:ilvl w:val="0"/>
          <w:numId w:val="28"/>
        </w:numPr>
        <w:spacing w:after="21" w:line="357" w:lineRule="auto"/>
        <w:ind w:right="755" w:hanging="1068"/>
      </w:pPr>
      <w:r>
        <w:t>Bellamy N. Population-based normative values for the Australian/Canadian (A</w:t>
      </w:r>
      <w:r>
        <w:t xml:space="preserve">USCAN) Hand Osteoarthritis Index: part 2 / N. Bellamy, C. Wilson, J. Hendrikz [et al.] // Semin Arthritis </w:t>
      </w:r>
    </w:p>
    <w:p w:rsidR="000A3B51" w:rsidRDefault="003D0A08">
      <w:pPr>
        <w:ind w:right="755"/>
      </w:pPr>
      <w:r>
        <w:t xml:space="preserve">Rheum. – 2011. – Vol. 41, № 2. – P. 149–156.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Allen K.D. Validity, factor structure, and clinical relevance of the AUSCAN Osteoarthritis </w:t>
      </w:r>
    </w:p>
    <w:p w:rsidR="000A3B51" w:rsidRDefault="003D0A08">
      <w:pPr>
        <w:spacing w:line="373" w:lineRule="auto"/>
        <w:ind w:right="755"/>
      </w:pPr>
      <w:r>
        <w:t xml:space="preserve">Hand Index </w:t>
      </w:r>
      <w:r>
        <w:t xml:space="preserve">/ K.D. Allen, J.M. Jordan, J.B. Renner [et al.] // Arthritis Rheum. – 2006. – Vol. 54, № 2. – P. 551–556. </w:t>
      </w:r>
    </w:p>
    <w:p w:rsidR="000A3B51" w:rsidRDefault="003D0A08">
      <w:pPr>
        <w:numPr>
          <w:ilvl w:val="0"/>
          <w:numId w:val="28"/>
        </w:numPr>
        <w:spacing w:after="0" w:line="364" w:lineRule="auto"/>
        <w:ind w:right="755" w:hanging="1068"/>
      </w:pPr>
      <w:r>
        <w:t>Bellamy N. Dimensionality and clinical importance of pain and disability in hand osteoarthritis: Development of the Australian/Canadian (AUSCAN) osteoarthritis hand index / N. Bellamy, J. Campbell, B. Haraoui [et al.] // Osteoarthritis Cartilage. – 2002. –</w:t>
      </w:r>
      <w:r>
        <w:t xml:space="preserve"> Vol. 10, № 11. – P. 855–862. </w:t>
      </w:r>
    </w:p>
    <w:p w:rsidR="000A3B51" w:rsidRDefault="003D0A08">
      <w:pPr>
        <w:numPr>
          <w:ilvl w:val="0"/>
          <w:numId w:val="28"/>
        </w:numPr>
        <w:spacing w:after="0" w:line="358" w:lineRule="auto"/>
        <w:ind w:right="755" w:hanging="1068"/>
      </w:pPr>
      <w:r>
        <w:t xml:space="preserve">Bellamy N. Recommendations for a core set of outcome measures for future phase III clinical trials in knee, hip, and hand osteoarthritis: Consensus development at OMERACT III / N. </w:t>
      </w:r>
    </w:p>
    <w:p w:rsidR="000A3B51" w:rsidRDefault="003D0A08">
      <w:pPr>
        <w:ind w:right="755"/>
      </w:pPr>
      <w:r>
        <w:t xml:space="preserve">Bellamy, J. Kirwan [et al.] // J Rheumatol. </w:t>
      </w:r>
      <w:r>
        <w:t xml:space="preserve">– 1997. – P. 799–802.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Dreiser R.L. Validation of an algofunctional index for osteoarthritis of the hand / R.L. </w:t>
      </w:r>
    </w:p>
    <w:p w:rsidR="000A3B51" w:rsidRDefault="003D0A08">
      <w:pPr>
        <w:ind w:right="755"/>
      </w:pPr>
      <w:r>
        <w:t xml:space="preserve">Dreiser // Rev Rhum Engl Ed. – 1995. – Vol. 62, № 6. – P. 43–53. </w:t>
      </w:r>
    </w:p>
    <w:p w:rsidR="000A3B51" w:rsidRDefault="003D0A08">
      <w:pPr>
        <w:numPr>
          <w:ilvl w:val="0"/>
          <w:numId w:val="28"/>
        </w:numPr>
        <w:spacing w:after="39" w:line="366" w:lineRule="auto"/>
        <w:ind w:right="755" w:hanging="1068"/>
      </w:pPr>
      <w:r>
        <w:t xml:space="preserve">Fairbank J.C.T. The Oswestry low back pain disability questionnaire / J.C.T. </w:t>
      </w:r>
      <w:r>
        <w:t xml:space="preserve">Fairbank, J.B. Davies, J. Couper [et al.] // Physiotherapy. – 1980. – Vol. 66, № 8. – P. 271–273. </w:t>
      </w:r>
    </w:p>
    <w:p w:rsidR="000A3B51" w:rsidRDefault="003D0A08">
      <w:pPr>
        <w:numPr>
          <w:ilvl w:val="0"/>
          <w:numId w:val="28"/>
        </w:numPr>
        <w:spacing w:after="27" w:line="377" w:lineRule="auto"/>
        <w:ind w:right="755" w:hanging="1068"/>
      </w:pPr>
      <w:r>
        <w:t xml:space="preserve">Бахтадзе М.А. Индекс ограничения жизнедеятельности из-за боли в нижней части спины (опросник Освестри): оценка надёжности и валидности русской версии / М.А. </w:t>
      </w:r>
      <w:r>
        <w:t xml:space="preserve">Бахтадзе, Д.А. Болотов, К.О. Кузьминов [и др.] // Мануальная терапия. – 2016. – № 4 (64). – С. 93–98. </w:t>
      </w:r>
    </w:p>
    <w:p w:rsidR="000A3B51" w:rsidRDefault="003D0A08">
      <w:pPr>
        <w:numPr>
          <w:ilvl w:val="0"/>
          <w:numId w:val="28"/>
        </w:numPr>
        <w:spacing w:after="0" w:line="392" w:lineRule="auto"/>
        <w:ind w:right="755" w:hanging="1068"/>
      </w:pPr>
      <w:r>
        <w:t>Черепанов Е.А. Русская версия опросника Освестри: культурная адаптация и валидность / Е.А. Черепанов // Хирургия позвоночника. – 2009. – № 3. – С. 93–98.</w:t>
      </w:r>
      <w:r>
        <w:t xml:space="preserve"> </w:t>
      </w:r>
    </w:p>
    <w:p w:rsidR="000A3B51" w:rsidRDefault="003D0A08">
      <w:pPr>
        <w:numPr>
          <w:ilvl w:val="0"/>
          <w:numId w:val="28"/>
        </w:numPr>
        <w:spacing w:after="16" w:line="356" w:lineRule="auto"/>
        <w:ind w:right="755" w:hanging="1068"/>
      </w:pPr>
      <w:r>
        <w:t xml:space="preserve">Bouhassira D. Comparison of pain syndromes associated with nervous or somatic lesions and development of a new neuropathic pain diagnostic questionnaire (DN4) / D. Bouhassira, N. </w:t>
      </w:r>
    </w:p>
    <w:p w:rsidR="000A3B51" w:rsidRDefault="003D0A08">
      <w:pPr>
        <w:ind w:right="755"/>
      </w:pPr>
      <w:r>
        <w:t>Attal, H. Alchaar [et al.] // Pain. – 2005. – Vol. 114, № 1–2. – P. 29–36.</w:t>
      </w:r>
      <w:r>
        <w:t xml:space="preserve"> </w:t>
      </w:r>
    </w:p>
    <w:p w:rsidR="000A3B51" w:rsidRDefault="003D0A08">
      <w:pPr>
        <w:numPr>
          <w:ilvl w:val="0"/>
          <w:numId w:val="28"/>
        </w:numPr>
        <w:spacing w:after="0" w:line="370" w:lineRule="auto"/>
        <w:ind w:right="755" w:hanging="1068"/>
      </w:pPr>
      <w:r>
        <w:t xml:space="preserve">Bouhassira D. Prevalence of chronic pain with neuropathic characteristics in the general population / D. Bouhassira, M. Lantéri-Minet, N. Attal [et al.] // Pain. – 2008. – Vol. 136, № 3. – P. 380–387. </w:t>
      </w:r>
    </w:p>
    <w:p w:rsidR="000A3B51" w:rsidRDefault="003D0A08">
      <w:pPr>
        <w:numPr>
          <w:ilvl w:val="0"/>
          <w:numId w:val="28"/>
        </w:numPr>
        <w:spacing w:after="38" w:line="365" w:lineRule="auto"/>
        <w:ind w:right="755" w:hanging="1068"/>
      </w:pPr>
      <w:r>
        <w:t xml:space="preserve">Freynhagen R. painDETECT: a new screening questionnaire to identify neuropathic components in patients with back pain / R. Freynhagen, R. Baron, U. Gockel [et al.] // Curr Med Res Opin. – 2006. – Vol. 22, № 10. – P. 1911–1920. </w:t>
      </w:r>
    </w:p>
    <w:p w:rsidR="000A3B51" w:rsidRDefault="003D0A08">
      <w:pPr>
        <w:numPr>
          <w:ilvl w:val="0"/>
          <w:numId w:val="28"/>
        </w:numPr>
        <w:spacing w:after="159"/>
        <w:ind w:right="755" w:hanging="1068"/>
      </w:pPr>
      <w:r>
        <w:t>Петрова М.М. Диагностика ней</w:t>
      </w:r>
      <w:r>
        <w:t xml:space="preserve">ропатической боли: шкалы и вопросники / М.М. </w:t>
      </w:r>
    </w:p>
    <w:p w:rsidR="000A3B51" w:rsidRDefault="003D0A08">
      <w:pPr>
        <w:spacing w:after="142"/>
        <w:ind w:right="755"/>
      </w:pPr>
      <w:r>
        <w:t xml:space="preserve">Петрова, Н.А. Шнайдер, Е.А. Пронина [и др.] // Сибирское медицинское обозрение. – 2020. </w:t>
      </w:r>
    </w:p>
    <w:p w:rsidR="000A3B51" w:rsidRDefault="003D0A08">
      <w:pPr>
        <w:spacing w:after="157"/>
        <w:ind w:right="755"/>
      </w:pPr>
      <w:r>
        <w:t xml:space="preserve">– № 3. – С. 61–69. </w:t>
      </w:r>
    </w:p>
    <w:p w:rsidR="000A3B51" w:rsidRDefault="003D0A08">
      <w:pPr>
        <w:numPr>
          <w:ilvl w:val="0"/>
          <w:numId w:val="28"/>
        </w:numPr>
        <w:spacing w:after="27" w:line="356" w:lineRule="auto"/>
        <w:ind w:right="755" w:hanging="1068"/>
      </w:pPr>
      <w:r>
        <w:t>Общероссийская общественная организация «Российская ассоциация геронтологов и гериатров». Хроническая</w:t>
      </w:r>
      <w:r>
        <w:t xml:space="preserve"> боль у пациентов пожилого и старческого возраста </w:t>
      </w:r>
    </w:p>
    <w:p w:rsidR="000A3B51" w:rsidRDefault="003D0A08">
      <w:pPr>
        <w:tabs>
          <w:tab w:val="center" w:pos="1097"/>
          <w:tab w:val="center" w:pos="3003"/>
          <w:tab w:val="center" w:pos="4234"/>
          <w:tab w:val="center" w:pos="5325"/>
          <w:tab w:val="center" w:pos="6416"/>
          <w:tab w:val="center" w:pos="7509"/>
          <w:tab w:val="center" w:pos="9131"/>
        </w:tabs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[Электронный </w:t>
      </w:r>
      <w:r>
        <w:tab/>
        <w:t xml:space="preserve">ресурс]. </w:t>
      </w:r>
      <w:r>
        <w:tab/>
        <w:t xml:space="preserve">– </w:t>
      </w:r>
      <w:r>
        <w:tab/>
        <w:t xml:space="preserve">2020. </w:t>
      </w:r>
      <w:r>
        <w:tab/>
        <w:t xml:space="preserve">– </w:t>
      </w:r>
      <w:r>
        <w:tab/>
        <w:t xml:space="preserve">URL: </w:t>
      </w:r>
      <w:r>
        <w:tab/>
      </w:r>
      <w:hyperlink r:id="rId39">
        <w:r>
          <w:rPr>
            <w:color w:val="0000FF"/>
            <w:u w:val="single" w:color="0000FF"/>
          </w:rPr>
          <w:t>https://static</w:t>
        </w:r>
      </w:hyperlink>
      <w:hyperlink r:id="rId40">
        <w:r>
          <w:t xml:space="preserve"> </w:t>
        </w:r>
      </w:hyperlink>
    </w:p>
    <w:p w:rsidR="000A3B51" w:rsidRDefault="003D0A08">
      <w:pPr>
        <w:spacing w:line="397" w:lineRule="auto"/>
        <w:ind w:right="755"/>
      </w:pPr>
      <w:r>
        <w:t>0.minzdrav.gov.ru/system/attachments/attaches/000/054/894/original/Клиничес</w:t>
      </w:r>
      <w:r>
        <w:t xml:space="preserve">кие_рекоменда ции_Хроническая_боль.pdf (дата обращения: 06.03.2025). </w:t>
      </w:r>
    </w:p>
    <w:p w:rsidR="000A3B51" w:rsidRDefault="003D0A08">
      <w:pPr>
        <w:numPr>
          <w:ilvl w:val="0"/>
          <w:numId w:val="28"/>
        </w:numPr>
        <w:ind w:right="755" w:hanging="1068"/>
      </w:pPr>
      <w:r>
        <w:t xml:space="preserve">Laires P. Inadequate Pain Relief Among Patients With Primary Knee Osteoarthritis - </w:t>
      </w:r>
    </w:p>
    <w:p w:rsidR="000A3B51" w:rsidRDefault="003D0A08">
      <w:pPr>
        <w:spacing w:after="146"/>
        <w:ind w:right="755"/>
      </w:pPr>
      <w:r>
        <w:t xml:space="preserve">Analysis From The Portuguese Sample Of The Survey Of Osteoarthritis Real World Therapies </w:t>
      </w:r>
    </w:p>
    <w:p w:rsidR="000A3B51" w:rsidRDefault="003D0A08">
      <w:pPr>
        <w:spacing w:after="1" w:line="358" w:lineRule="auto"/>
        <w:ind w:right="755"/>
      </w:pPr>
      <w:r>
        <w:t xml:space="preserve">(SORT) / P. Laires, J. Laíns, L. Miranda [et al.] // Value Health. – 2014. – Vol. 17, № 7. – Article ID A386. </w:t>
      </w:r>
    </w:p>
    <w:p w:rsidR="000A3B51" w:rsidRDefault="003D0A08">
      <w:pPr>
        <w:numPr>
          <w:ilvl w:val="0"/>
          <w:numId w:val="28"/>
        </w:numPr>
        <w:spacing w:after="13" w:line="358" w:lineRule="auto"/>
        <w:ind w:right="755" w:hanging="1068"/>
      </w:pPr>
      <w:r>
        <w:t>Herrero-Beaumont G. Systemic osteoarthritis: the difficulty of categorically naming a continuous condition / G. Herrero-Beaumont, F. Castro-Domin</w:t>
      </w:r>
      <w:r>
        <w:t xml:space="preserve">guez, A. Migliore [et al.] // Aging </w:t>
      </w:r>
    </w:p>
    <w:p w:rsidR="000A3B51" w:rsidRDefault="003D0A08">
      <w:pPr>
        <w:ind w:right="755"/>
      </w:pPr>
      <w:r>
        <w:t xml:space="preserve">Clin Exp Res. – 2024. – Vol. 36, № 1. – Article ID 45. </w:t>
      </w:r>
    </w:p>
    <w:p w:rsidR="000A3B51" w:rsidRDefault="003D0A08">
      <w:pPr>
        <w:numPr>
          <w:ilvl w:val="0"/>
          <w:numId w:val="28"/>
        </w:numPr>
        <w:spacing w:after="3" w:line="358" w:lineRule="auto"/>
        <w:ind w:right="755" w:hanging="1068"/>
      </w:pPr>
      <w:r>
        <w:t xml:space="preserve">Collins N. J. Measures of knee function: International Knee Documentation Committee (IKDC) Subjective Knee </w:t>
      </w:r>
      <w:r>
        <w:t>Evaluation Form, Knee Injury and Osteoarthritis Outcome Score (KOOS), Knee Injury and Osteoarthritis Outcome Score Physical Function Short Form (KOOSPS), Knee Outcome Survey Activities of Daily Living Scale (KOS-ADL), Lysholm Knee Scoring Scale, Oxford Kne</w:t>
      </w:r>
      <w:r>
        <w:t>e Score (OKS), Western Ontario and McMaster Universities Osteoarthritis Index (WOMAC), Activity Rating Scale (ARS), and Tegner Activity Score (TAS) / N. J. Collins, D. Misra, D. T. Felson [et al.] // Arthritis Care Res. (Hoboken). – 2011. – Vol. 63, Suppl.</w:t>
      </w:r>
      <w:r>
        <w:t xml:space="preserve"> 11. – P. </w:t>
      </w:r>
    </w:p>
    <w:p w:rsidR="000A3B51" w:rsidRDefault="003D0A08">
      <w:pPr>
        <w:ind w:right="755"/>
      </w:pPr>
      <w:r>
        <w:t xml:space="preserve">S208–S228. </w:t>
      </w:r>
    </w:p>
    <w:p w:rsidR="000A3B51" w:rsidRDefault="003D0A08">
      <w:pPr>
        <w:spacing w:after="112" w:line="259" w:lineRule="auto"/>
        <w:ind w:left="360" w:right="0" w:firstLine="0"/>
        <w:jc w:val="left"/>
      </w:pPr>
      <w:r>
        <w:t xml:space="preserve"> </w:t>
      </w:r>
    </w:p>
    <w:p w:rsidR="000A3B51" w:rsidRDefault="003D0A08">
      <w:pPr>
        <w:spacing w:after="115" w:line="259" w:lineRule="auto"/>
        <w:ind w:left="1068" w:right="0" w:firstLine="0"/>
        <w:jc w:val="left"/>
      </w:pPr>
      <w:r>
        <w:t xml:space="preserve"> </w:t>
      </w:r>
    </w:p>
    <w:p w:rsidR="000A3B51" w:rsidRDefault="003D0A08">
      <w:pPr>
        <w:spacing w:after="112" w:line="259" w:lineRule="auto"/>
        <w:ind w:left="1068" w:right="0" w:firstLine="0"/>
        <w:jc w:val="left"/>
      </w:pPr>
      <w:r>
        <w:t xml:space="preserve"> </w:t>
      </w:r>
    </w:p>
    <w:p w:rsidR="000A3B51" w:rsidRDefault="003D0A08">
      <w:pPr>
        <w:spacing w:after="115" w:line="259" w:lineRule="auto"/>
        <w:ind w:left="1068" w:right="0" w:firstLine="0"/>
        <w:jc w:val="left"/>
      </w:pPr>
      <w:r>
        <w:t xml:space="preserve"> </w:t>
      </w:r>
    </w:p>
    <w:p w:rsidR="000A3B51" w:rsidRDefault="003D0A08">
      <w:pPr>
        <w:spacing w:after="451" w:line="259" w:lineRule="auto"/>
        <w:ind w:left="1128" w:right="0" w:firstLine="0"/>
        <w:jc w:val="left"/>
      </w:pPr>
      <w:r>
        <w:t xml:space="preserve"> </w:t>
      </w:r>
    </w:p>
    <w:p w:rsidR="000A3B51" w:rsidRDefault="003D0A08">
      <w:pPr>
        <w:pStyle w:val="Heading1"/>
        <w:spacing w:after="386"/>
        <w:ind w:left="319" w:right="713"/>
      </w:pPr>
      <w:r>
        <w:t xml:space="preserve">Приложения </w:t>
      </w:r>
    </w:p>
    <w:p w:rsidR="000A3B51" w:rsidRDefault="003D0A08">
      <w:pPr>
        <w:spacing w:after="3" w:line="395" w:lineRule="auto"/>
        <w:ind w:left="355" w:right="753"/>
      </w:pPr>
      <w:r>
        <w:rPr>
          <w:b/>
        </w:rPr>
        <w:t>Приложение А1. Состав рабочей группы по разработке и пересмотру клинических рекомендаций</w:t>
      </w:r>
      <w:r>
        <w:rPr>
          <w:u w:val="single" w:color="000000"/>
        </w:rPr>
        <w:t>:</w:t>
      </w:r>
      <w:r>
        <w:t xml:space="preserve"> </w:t>
      </w:r>
    </w:p>
    <w:p w:rsidR="000A3B51" w:rsidRDefault="003D0A08">
      <w:pPr>
        <w:numPr>
          <w:ilvl w:val="0"/>
          <w:numId w:val="29"/>
        </w:numPr>
        <w:spacing w:line="373" w:lineRule="auto"/>
        <w:ind w:right="755"/>
      </w:pPr>
      <w:r>
        <w:t>Лила Александр Михайлович – директор федерального государственного бюджетного научного учреждения «Научно-исследовательс</w:t>
      </w:r>
      <w:r>
        <w:t>кий институт ревматологии им. В.А. Насоновой», заведующий кафедрой ревматологии федерального государственного бюджетного образовательного учреждения дополнительного последипломного образования «Российская медицинская академия непрерывного профессионального</w:t>
      </w:r>
      <w:r>
        <w:t xml:space="preserve"> образования» министерства здравоохранения Российской Федерации, доктор медицинских наук, профессор, член-корреспондент РАН, г. Москва, член Правления и президиума Общероссийской общественной организации «Ассоциация ревматологов России». </w:t>
      </w:r>
    </w:p>
    <w:p w:rsidR="000A3B51" w:rsidRDefault="003D0A08">
      <w:pPr>
        <w:numPr>
          <w:ilvl w:val="0"/>
          <w:numId w:val="29"/>
        </w:numPr>
        <w:spacing w:after="3" w:line="398" w:lineRule="auto"/>
        <w:ind w:right="755"/>
      </w:pPr>
      <w:r>
        <w:t>Насонов Евгений Львович – научный руководитель федерального государственного бюджетного научного учреждения «Научно-исследовательский институт ревматологии им. В.А. Насоновой», доктор медицинских наук, профессор, академик РАН, г. Москва, президент Общеросс</w:t>
      </w:r>
      <w:r>
        <w:t xml:space="preserve">ийской общественной организации «Ассоциация ревматологов России». </w:t>
      </w:r>
    </w:p>
    <w:p w:rsidR="000A3B51" w:rsidRDefault="003D0A08">
      <w:pPr>
        <w:numPr>
          <w:ilvl w:val="0"/>
          <w:numId w:val="29"/>
        </w:numPr>
        <w:spacing w:after="24" w:line="377" w:lineRule="auto"/>
        <w:ind w:right="755"/>
      </w:pPr>
      <w:r>
        <w:t>Алексеева Людмила Ивановна – научный консультант лаборатории остеоартрита федерального государственного бюджетного научного учреждения «Научно-исследовательский институт ревматологии им. В.</w:t>
      </w:r>
      <w:r>
        <w:t>А. Насоновой», доктор медицинских наук, г. Москва, профессор кафедры ревматологии федерального государственного бюджетного образовательного учреждения дополнительного последипломного образования «Российская медицинская академия непрерывного профессионально</w:t>
      </w:r>
      <w:r>
        <w:t xml:space="preserve">го образования» министерства здравоохранения Российской Федерации, член президиума Общероссийской общественной организации «Ассоциация ревматологов России». </w:t>
      </w:r>
    </w:p>
    <w:p w:rsidR="000A3B51" w:rsidRDefault="003D0A08">
      <w:pPr>
        <w:numPr>
          <w:ilvl w:val="0"/>
          <w:numId w:val="29"/>
        </w:numPr>
        <w:spacing w:after="26" w:line="378" w:lineRule="auto"/>
        <w:ind w:right="755"/>
      </w:pPr>
      <w:r>
        <w:t>Таскина Елена Александровна – заведующий лабораторией остеоартрита федерального государственного б</w:t>
      </w:r>
      <w:r>
        <w:t xml:space="preserve">юджетного научного учреждения «Научноисследовательский институт ревматологии им. В.А. Насоновой», кандидат медицинских наук, г. Москва, член Общероссийской общественной организации «Ассоциация ревматологов России». </w:t>
      </w:r>
    </w:p>
    <w:p w:rsidR="000A3B51" w:rsidRDefault="003D0A08">
      <w:pPr>
        <w:numPr>
          <w:ilvl w:val="0"/>
          <w:numId w:val="29"/>
        </w:numPr>
        <w:spacing w:after="24" w:line="378" w:lineRule="auto"/>
        <w:ind w:right="755"/>
      </w:pPr>
      <w:r>
        <w:t>Кашеварова Наталья Гаврииловна – научный</w:t>
      </w:r>
      <w:r>
        <w:t xml:space="preserve"> сотрудник лаборатории остеоартрита федерального государственного бюджетного научного учреждения «Научно-исследовательский институт ревматологии им. В.А. Насоновой», кандидат медицинских наук, г. Москва, член Общероссийской общественной организации «Ассоци</w:t>
      </w:r>
      <w:r>
        <w:t xml:space="preserve">ация ревматологов России». </w:t>
      </w:r>
    </w:p>
    <w:p w:rsidR="000A3B51" w:rsidRDefault="003D0A08">
      <w:pPr>
        <w:numPr>
          <w:ilvl w:val="0"/>
          <w:numId w:val="29"/>
        </w:numPr>
        <w:spacing w:after="27" w:line="378" w:lineRule="auto"/>
        <w:ind w:right="755"/>
      </w:pPr>
      <w:r>
        <w:t>Стребкова Екатерина Александровна – старший научный сотрудник лаборатории остеоартрита федерального государственного бюджетного научного учреждения «Научно-исследовательский институт ревматологии им. В.А. Насоновой», кандидат ме</w:t>
      </w:r>
      <w:r>
        <w:t xml:space="preserve">дицинских наук, г. Москва, член Общероссийской общественной организации «Ассоциация ревматологов России». </w:t>
      </w:r>
    </w:p>
    <w:p w:rsidR="000A3B51" w:rsidRDefault="003D0A08">
      <w:pPr>
        <w:numPr>
          <w:ilvl w:val="0"/>
          <w:numId w:val="29"/>
        </w:numPr>
        <w:spacing w:after="0" w:line="377" w:lineRule="auto"/>
        <w:ind w:right="755"/>
      </w:pPr>
      <w:r>
        <w:t>Савушкина Наталья Михайловна – научный сотрудник лаборатории остеоартрита федерального государственного бюджетного научного учреждения «Научно-исслед</w:t>
      </w:r>
      <w:r>
        <w:t xml:space="preserve">овательский институт ревматологии им. В.А. Насоновой», кандидат медицинских наук, г. Москва, член Общероссийской общественной организации «Ассоциация ревматологов России». </w:t>
      </w:r>
    </w:p>
    <w:p w:rsidR="000A3B51" w:rsidRDefault="003D0A08">
      <w:pPr>
        <w:spacing w:after="163" w:line="259" w:lineRule="auto"/>
        <w:ind w:left="708" w:right="0" w:firstLine="0"/>
        <w:jc w:val="left"/>
      </w:pPr>
      <w:r>
        <w:t xml:space="preserve"> </w:t>
      </w:r>
    </w:p>
    <w:p w:rsidR="000A3B51" w:rsidRDefault="003D0A08">
      <w:pPr>
        <w:spacing w:after="0" w:line="396" w:lineRule="auto"/>
        <w:ind w:left="730" w:right="755"/>
      </w:pPr>
      <w:r>
        <w:rPr>
          <w:b/>
        </w:rPr>
        <w:t>Конфликт интересов:</w:t>
      </w:r>
      <w:r>
        <w:t xml:space="preserve"> все члены рабочей группы заявляют об отсутствии конфликта инт</w:t>
      </w:r>
      <w:r>
        <w:t xml:space="preserve">ересов при подготовке клинических рекомендаций по полиартрозу.  </w:t>
      </w:r>
    </w:p>
    <w:p w:rsidR="000A3B51" w:rsidRDefault="003D0A08">
      <w:pPr>
        <w:spacing w:after="131" w:line="259" w:lineRule="auto"/>
        <w:ind w:left="375" w:right="0" w:firstLine="0"/>
        <w:jc w:val="center"/>
      </w:pPr>
      <w:r>
        <w:rPr>
          <w:b/>
          <w:sz w:val="28"/>
        </w:rPr>
        <w:t xml:space="preserve"> </w:t>
      </w:r>
    </w:p>
    <w:p w:rsidR="000A3B51" w:rsidRDefault="003D0A08">
      <w:pPr>
        <w:pStyle w:val="Heading1"/>
        <w:spacing w:after="0" w:line="398" w:lineRule="auto"/>
        <w:ind w:left="936" w:right="556"/>
      </w:pPr>
      <w:r>
        <w:t xml:space="preserve">Приложение А2. Методология разработки клинических рекомендаций </w:t>
      </w:r>
    </w:p>
    <w:p w:rsidR="000A3B51" w:rsidRDefault="003D0A08">
      <w:pPr>
        <w:spacing w:after="29" w:line="381" w:lineRule="auto"/>
        <w:ind w:left="360" w:right="755" w:firstLine="708"/>
      </w:pPr>
      <w:r>
        <w:t xml:space="preserve">Клинические рекомендации по оказанию медицинской помощи пациентам с полиартрозом составлены в соответствие </w:t>
      </w:r>
      <w:r>
        <w:t>с требованиями по разработке клинических рекомендаций медицинскими профессиональными некоммерческими организациями, часть 2 статьи 76 Федерального закона от 21.11.2011г. № 323-ФЗ « об основах охраны здоровья граждан в российской Федерации», приказом Минист</w:t>
      </w:r>
      <w:r>
        <w:t>ерства здравоохранения Российской Федерации №103н от 28.02.2019г. «Об утверждении порядка и сроков разработки клинических рекомендаций и требований к их структуре, составу и научной обоснованности включаемой в клинические рекомендации информации». Клиничес</w:t>
      </w:r>
      <w:r>
        <w:t xml:space="preserve">кие рекомендации основаны на доказательном клиническом опыте, описывающем действия врача, по диагностике, дифференциальной диагностике, лечению, реабилитации и профилактике генерализованных форм ОА. </w:t>
      </w:r>
    </w:p>
    <w:p w:rsidR="000A3B51" w:rsidRDefault="003D0A08">
      <w:pPr>
        <w:spacing w:after="141" w:line="267" w:lineRule="auto"/>
        <w:ind w:left="1078" w:right="753"/>
      </w:pPr>
      <w:r>
        <w:rPr>
          <w:b/>
        </w:rPr>
        <w:t xml:space="preserve">Целевая аудитория данных клинических рекомендаций: </w:t>
      </w:r>
    </w:p>
    <w:p w:rsidR="000A3B51" w:rsidRDefault="003D0A08">
      <w:pPr>
        <w:numPr>
          <w:ilvl w:val="0"/>
          <w:numId w:val="30"/>
        </w:numPr>
        <w:spacing w:after="159"/>
        <w:ind w:right="755" w:hanging="708"/>
      </w:pPr>
      <w:r>
        <w:t>Врач</w:t>
      </w:r>
      <w:r>
        <w:t xml:space="preserve">-ревматолог; </w:t>
      </w:r>
    </w:p>
    <w:p w:rsidR="000A3B51" w:rsidRDefault="003D0A08">
      <w:pPr>
        <w:numPr>
          <w:ilvl w:val="0"/>
          <w:numId w:val="30"/>
        </w:numPr>
        <w:spacing w:after="159"/>
        <w:ind w:right="755" w:hanging="708"/>
      </w:pPr>
      <w:r>
        <w:t xml:space="preserve">Врач-травматолог-ортопед; </w:t>
      </w:r>
    </w:p>
    <w:p w:rsidR="000A3B51" w:rsidRDefault="003D0A08">
      <w:pPr>
        <w:numPr>
          <w:ilvl w:val="0"/>
          <w:numId w:val="30"/>
        </w:numPr>
        <w:spacing w:after="156"/>
        <w:ind w:right="755" w:hanging="708"/>
      </w:pPr>
      <w:r>
        <w:t xml:space="preserve">Врач по медицинской реабилитации; </w:t>
      </w:r>
    </w:p>
    <w:p w:rsidR="000A3B51" w:rsidRDefault="003D0A08">
      <w:pPr>
        <w:numPr>
          <w:ilvl w:val="0"/>
          <w:numId w:val="30"/>
        </w:numPr>
        <w:spacing w:after="160"/>
        <w:ind w:right="755" w:hanging="708"/>
      </w:pPr>
      <w:r>
        <w:t xml:space="preserve">Врач-терапевт; </w:t>
      </w:r>
    </w:p>
    <w:p w:rsidR="000A3B51" w:rsidRDefault="003D0A08">
      <w:pPr>
        <w:numPr>
          <w:ilvl w:val="0"/>
          <w:numId w:val="30"/>
        </w:numPr>
        <w:spacing w:after="165"/>
        <w:ind w:right="755" w:hanging="708"/>
      </w:pPr>
      <w:r>
        <w:t xml:space="preserve">Врач общей практики (семейный врач); </w:t>
      </w:r>
    </w:p>
    <w:p w:rsidR="000A3B51" w:rsidRDefault="003D0A08">
      <w:pPr>
        <w:numPr>
          <w:ilvl w:val="0"/>
          <w:numId w:val="30"/>
        </w:numPr>
        <w:spacing w:after="0" w:line="400" w:lineRule="auto"/>
        <w:ind w:right="755" w:hanging="708"/>
      </w:pPr>
      <w:r>
        <w:t xml:space="preserve">Врачи других специальностей, занимающихся диагностикой и ведением пациентов с ОА. </w:t>
      </w:r>
    </w:p>
    <w:p w:rsidR="000A3B51" w:rsidRDefault="003D0A08">
      <w:pPr>
        <w:spacing w:after="27" w:line="373" w:lineRule="auto"/>
        <w:ind w:left="360" w:right="755" w:firstLine="708"/>
      </w:pPr>
      <w:r>
        <w:t>Медицинским работникам следует придерживать</w:t>
      </w:r>
      <w:r>
        <w:t>ся данных рекомендаций в процессе принятия клинических решений. В то же время, рекомендации не заменяют личную ответственность медицинских работников при принятии клинических решений с учетом индивидуальных особенностей течения генерализованного ОА и мнени</w:t>
      </w:r>
      <w:r>
        <w:t xml:space="preserve">я пациентов. Настоящие рекомендации учитывают накопленный российский и международный опыт ведения данных больных и базируются на клинических рекомендациях, опубликованных </w:t>
      </w:r>
    </w:p>
    <w:p w:rsidR="000A3B51" w:rsidRDefault="003D0A08">
      <w:pPr>
        <w:ind w:right="755"/>
      </w:pPr>
      <w:r>
        <w:t xml:space="preserve">Общероссийской общественной организацией «Ассоциация ревматологов России» [60], </w:t>
      </w:r>
    </w:p>
    <w:p w:rsidR="000A3B51" w:rsidRDefault="003D0A08">
      <w:pPr>
        <w:spacing w:line="368" w:lineRule="auto"/>
        <w:ind w:right="755"/>
      </w:pPr>
      <w:r>
        <w:t>Евр</w:t>
      </w:r>
      <w:r>
        <w:t xml:space="preserve">опейской антиревматической Лиги (European League Against Rheumatism) 2019г. [132] , АКР 2019г. [98], ESCEO 2019 [100]  и NICE [102]. </w:t>
      </w:r>
      <w:r>
        <w:rPr>
          <w:color w:val="FF0000"/>
        </w:rPr>
        <w:t xml:space="preserve"> </w:t>
      </w:r>
    </w:p>
    <w:p w:rsidR="000A3B51" w:rsidRDefault="003D0A08">
      <w:pPr>
        <w:spacing w:after="3" w:line="267" w:lineRule="auto"/>
        <w:ind w:left="355" w:right="753"/>
      </w:pPr>
      <w:r>
        <w:rPr>
          <w:b/>
        </w:rPr>
        <w:t xml:space="preserve">Приложение А2-1. Шкала оценки уровней достоверности доказательств (УДД) для методов диагностики </w:t>
      </w:r>
      <w:r>
        <w:rPr>
          <w:b/>
        </w:rPr>
        <w:t xml:space="preserve">(диагностических вмешательств) </w:t>
      </w:r>
    </w:p>
    <w:tbl>
      <w:tblPr>
        <w:tblStyle w:val="TableGrid"/>
        <w:tblW w:w="9347" w:type="dxa"/>
        <w:tblInd w:w="365" w:type="dxa"/>
        <w:tblCellMar>
          <w:top w:w="9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799"/>
        <w:gridCol w:w="8548"/>
      </w:tblGrid>
      <w:tr w:rsidR="000A3B51">
        <w:trPr>
          <w:trHeight w:val="329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1" w:right="0" w:firstLine="0"/>
              <w:jc w:val="left"/>
            </w:pPr>
            <w:r>
              <w:rPr>
                <w:b/>
              </w:rPr>
              <w:t xml:space="preserve">УДД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4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0A3B51">
        <w:trPr>
          <w:trHeight w:val="962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9" w:firstLine="0"/>
            </w:pPr>
            <w:r>
              <w:t xml:space="preserve">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мета-анализа </w:t>
            </w:r>
          </w:p>
        </w:tc>
      </w:tr>
      <w:tr w:rsidR="000A3B51">
        <w:trPr>
          <w:trHeight w:val="1279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49" w:line="273" w:lineRule="auto"/>
              <w:ind w:left="0" w:right="57" w:firstLine="0"/>
            </w:pPr>
            <w:r>
              <w:t xml:space="preserve"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клинических исследований, с применением мета-анализа </w:t>
            </w:r>
          </w:p>
        </w:tc>
      </w:tr>
      <w:tr w:rsidR="000A3B51">
        <w:trPr>
          <w:trHeight w:val="1280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t>3</w:t>
            </w:r>
            <w:r>
              <w:t xml:space="preserve">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</w:pPr>
            <w:r>
              <w:t xml:space="preserve"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 </w:t>
            </w:r>
          </w:p>
        </w:tc>
      </w:tr>
      <w:tr w:rsidR="000A3B51">
        <w:trPr>
          <w:trHeight w:val="326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Несравнительные исследования, описание клинического случая </w:t>
            </w:r>
          </w:p>
        </w:tc>
      </w:tr>
      <w:tr w:rsidR="000A3B51">
        <w:trPr>
          <w:trHeight w:val="329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7" w:firstLine="0"/>
              <w:jc w:val="center"/>
            </w:pPr>
            <w:r>
              <w:t xml:space="preserve">5 </w:t>
            </w:r>
          </w:p>
        </w:tc>
        <w:tc>
          <w:tcPr>
            <w:tcW w:w="8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Имеется лишь обоснование механизма действия или мнение экспертов </w:t>
            </w:r>
          </w:p>
        </w:tc>
      </w:tr>
    </w:tbl>
    <w:p w:rsidR="000A3B51" w:rsidRDefault="003D0A08">
      <w:pPr>
        <w:spacing w:after="3" w:line="267" w:lineRule="auto"/>
        <w:ind w:left="355" w:right="753"/>
      </w:pPr>
      <w:r>
        <w:rPr>
          <w:b/>
        </w:rPr>
        <w:t xml:space="preserve">Приложение А2-2. Шкала оценки уровней достоверности доказательств (УДД) </w:t>
      </w:r>
      <w:r>
        <w:rPr>
          <w:b/>
        </w:rPr>
        <w:t xml:space="preserve">для методов профилактики, лечения и реабилитации (профилактических, лечебных, реабилитационных вмешательств) </w:t>
      </w:r>
    </w:p>
    <w:tbl>
      <w:tblPr>
        <w:tblStyle w:val="TableGrid"/>
        <w:tblW w:w="9484" w:type="dxa"/>
        <w:tblInd w:w="365" w:type="dxa"/>
        <w:tblCellMar>
          <w:top w:w="9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722"/>
        <w:gridCol w:w="8762"/>
      </w:tblGrid>
      <w:tr w:rsidR="000A3B51">
        <w:trPr>
          <w:trHeight w:val="28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УДД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Расшифровка  </w:t>
            </w:r>
          </w:p>
        </w:tc>
      </w:tr>
      <w:tr w:rsidR="000A3B5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Систематический </w:t>
            </w:r>
            <w:r>
              <w:tab/>
              <w:t xml:space="preserve">обзор </w:t>
            </w:r>
            <w:r>
              <w:tab/>
              <w:t xml:space="preserve">рандомизированных </w:t>
            </w:r>
            <w:r>
              <w:tab/>
              <w:t xml:space="preserve">клинических </w:t>
            </w:r>
            <w:r>
              <w:tab/>
              <w:t xml:space="preserve">исследований </w:t>
            </w:r>
            <w:r>
              <w:tab/>
              <w:t xml:space="preserve">с применением мета-анализа </w:t>
            </w:r>
          </w:p>
        </w:tc>
      </w:tr>
      <w:tr w:rsidR="000A3B51">
        <w:trPr>
          <w:trHeight w:val="83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</w:pPr>
            <w:r>
              <w:t xml:space="preserve">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мета-анализа </w:t>
            </w:r>
          </w:p>
        </w:tc>
      </w:tr>
      <w:tr w:rsidR="000A3B5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Нерандомизированные </w:t>
            </w:r>
            <w:r>
              <w:tab/>
              <w:t xml:space="preserve">сравнительные </w:t>
            </w:r>
            <w:r>
              <w:tab/>
              <w:t xml:space="preserve">исследования, </w:t>
            </w:r>
            <w:r>
              <w:tab/>
              <w:t xml:space="preserve">в </w:t>
            </w:r>
            <w:r>
              <w:tab/>
              <w:t xml:space="preserve">т.ч. </w:t>
            </w:r>
            <w:r>
              <w:tab/>
              <w:t xml:space="preserve">когортные исследования </w:t>
            </w:r>
          </w:p>
        </w:tc>
      </w:tr>
      <w:tr w:rsidR="000A3B5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t xml:space="preserve">4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0A3B5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2" w:firstLine="0"/>
              <w:jc w:val="center"/>
            </w:pPr>
            <w:r>
              <w:t xml:space="preserve">5 </w:t>
            </w:r>
          </w:p>
        </w:tc>
        <w:tc>
          <w:tcPr>
            <w:tcW w:w="8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Имеется лишь обоснование механизма действия вмешательства (доклинические исследования) или мнение экспертов </w:t>
            </w:r>
          </w:p>
        </w:tc>
      </w:tr>
    </w:tbl>
    <w:p w:rsidR="000A3B51" w:rsidRDefault="003D0A08">
      <w:pPr>
        <w:spacing w:after="3" w:line="267" w:lineRule="auto"/>
        <w:ind w:left="355" w:right="753"/>
      </w:pPr>
      <w:r>
        <w:rPr>
          <w:b/>
        </w:rPr>
        <w:t>Приложение А2-3. Шкала оценки уровней убедительности рекомендаций (УУР) для методов профилактики, диагностики, лечения и реабилитации (профилактич</w:t>
      </w:r>
      <w:r>
        <w:rPr>
          <w:b/>
        </w:rPr>
        <w:t xml:space="preserve">еских, диагностических, лечебных, реабилитационных вмешательств) </w:t>
      </w:r>
    </w:p>
    <w:tbl>
      <w:tblPr>
        <w:tblStyle w:val="TableGrid"/>
        <w:tblW w:w="9347" w:type="dxa"/>
        <w:tblInd w:w="365" w:type="dxa"/>
        <w:tblCellMar>
          <w:top w:w="9" w:type="dxa"/>
          <w:left w:w="106" w:type="dxa"/>
          <w:bottom w:w="0" w:type="dxa"/>
          <w:right w:w="53" w:type="dxa"/>
        </w:tblCellMar>
        <w:tblLook w:val="04A0" w:firstRow="1" w:lastRow="0" w:firstColumn="1" w:lastColumn="0" w:noHBand="0" w:noVBand="1"/>
      </w:tblPr>
      <w:tblGrid>
        <w:gridCol w:w="1332"/>
        <w:gridCol w:w="8015"/>
      </w:tblGrid>
      <w:tr w:rsidR="000A3B51">
        <w:trPr>
          <w:trHeight w:val="28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center"/>
            </w:pPr>
            <w:r>
              <w:rPr>
                <w:b/>
              </w:rPr>
              <w:t xml:space="preserve">УУР </w:t>
            </w:r>
          </w:p>
        </w:tc>
        <w:tc>
          <w:tcPr>
            <w:tcW w:w="8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0A3B51">
        <w:trPr>
          <w:trHeight w:val="111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center"/>
            </w:pPr>
            <w:r>
              <w:t xml:space="preserve">A </w:t>
            </w:r>
          </w:p>
        </w:tc>
        <w:tc>
          <w:tcPr>
            <w:tcW w:w="8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</w:pPr>
            <w: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 </w:t>
            </w:r>
          </w:p>
        </w:tc>
      </w:tr>
      <w:tr w:rsidR="000A3B51">
        <w:trPr>
          <w:trHeight w:val="111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1" w:firstLine="0"/>
              <w:jc w:val="center"/>
            </w:pPr>
            <w:r>
              <w:t xml:space="preserve">B </w:t>
            </w:r>
          </w:p>
        </w:tc>
        <w:tc>
          <w:tcPr>
            <w:tcW w:w="8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47" w:line="238" w:lineRule="auto"/>
              <w:ind w:left="0" w:right="62" w:firstLine="0"/>
            </w:pPr>
            <w: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интересующим исходам не являются согласованными)  </w:t>
            </w:r>
          </w:p>
        </w:tc>
      </w:tr>
      <w:tr w:rsidR="000A3B51">
        <w:trPr>
          <w:trHeight w:val="1392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center"/>
            </w:pPr>
            <w:r>
              <w:t xml:space="preserve">C </w:t>
            </w:r>
          </w:p>
        </w:tc>
        <w:tc>
          <w:tcPr>
            <w:tcW w:w="8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9" w:firstLine="0"/>
            </w:pPr>
            <w:r>
              <w:t>Слабая рекомендация. Нерандомизированные сравнительные исследования, в т.ч. когортные исследования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</w:t>
            </w:r>
            <w:r>
              <w:t xml:space="preserve">огическое качество и их выводы по интересующим исходам не являются согласованными)  </w:t>
            </w:r>
          </w:p>
        </w:tc>
      </w:tr>
    </w:tbl>
    <w:p w:rsidR="000A3B51" w:rsidRDefault="003D0A08">
      <w:pPr>
        <w:spacing w:after="75" w:line="378" w:lineRule="auto"/>
        <w:ind w:right="755"/>
      </w:pPr>
      <w:r>
        <w:t>Механизм обновления клинических рекомендаций предусматривает их систематическую актуализацию – не реже чем один раз в три года, а также при появлении новых данных с позиц</w:t>
      </w:r>
      <w:r>
        <w:t xml:space="preserve">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утверждённым КР, но не чаще 1 раза в 6 месяцев. </w:t>
      </w:r>
    </w:p>
    <w:p w:rsidR="000A3B51" w:rsidRDefault="003D0A08">
      <w:pPr>
        <w:pStyle w:val="Heading1"/>
        <w:ind w:left="319" w:right="4"/>
      </w:pPr>
      <w:r>
        <w:t xml:space="preserve">Приложение А3. Связанные документы  </w:t>
      </w:r>
    </w:p>
    <w:p w:rsidR="000A3B51" w:rsidRDefault="003D0A08">
      <w:pPr>
        <w:spacing w:after="1" w:line="398" w:lineRule="auto"/>
        <w:ind w:left="360" w:right="755" w:firstLine="566"/>
      </w:pPr>
      <w:r>
        <w:t>Данные к</w:t>
      </w:r>
      <w:r>
        <w:t xml:space="preserve">линические рекомендации разработаны с учетом следующих нормативноправовых документов: </w:t>
      </w:r>
    </w:p>
    <w:p w:rsidR="000A3B51" w:rsidRDefault="003D0A08">
      <w:pPr>
        <w:numPr>
          <w:ilvl w:val="0"/>
          <w:numId w:val="31"/>
        </w:numPr>
        <w:spacing w:after="162"/>
        <w:ind w:right="755" w:hanging="708"/>
      </w:pPr>
      <w:r>
        <w:t xml:space="preserve">Порядок оказания медицинской помощи взрослому населению по профилю </w:t>
      </w:r>
    </w:p>
    <w:p w:rsidR="000A3B51" w:rsidRDefault="003D0A08">
      <w:pPr>
        <w:spacing w:after="156"/>
        <w:ind w:left="1078" w:right="755"/>
      </w:pPr>
      <w:r>
        <w:t xml:space="preserve">«Ревматология» (Приказ МЗ РФ №900н от 12 ноября 2012 г.) </w:t>
      </w:r>
    </w:p>
    <w:p w:rsidR="000A3B51" w:rsidRDefault="003D0A08">
      <w:pPr>
        <w:numPr>
          <w:ilvl w:val="0"/>
          <w:numId w:val="31"/>
        </w:numPr>
        <w:spacing w:after="27" w:line="378" w:lineRule="auto"/>
        <w:ind w:right="755" w:hanging="708"/>
      </w:pPr>
      <w:r>
        <w:t>Программы Госгарантий по оказанию высокотех</w:t>
      </w:r>
      <w:r>
        <w:t xml:space="preserve">нологичной медицинской помощи по специальности ревматология и дерматовенерология (Постановление Правительства от 19 декабря 2015 г. №1382). </w:t>
      </w:r>
    </w:p>
    <w:p w:rsidR="000A3B51" w:rsidRDefault="003D0A08">
      <w:pPr>
        <w:numPr>
          <w:ilvl w:val="0"/>
          <w:numId w:val="31"/>
        </w:numPr>
        <w:spacing w:after="0" w:line="377" w:lineRule="auto"/>
        <w:ind w:right="755" w:hanging="708"/>
      </w:pPr>
      <w:r>
        <w:t>О классификациях и критериях, используемых при осуществлении медико</w:t>
      </w:r>
      <w:r>
        <w:t xml:space="preserve">социальной экспертизы граждан федеральными государственными учреждениями медико-социальной экспертизы (Приказ МЗ РФ № 585н от 27 августа 2019 г.). </w:t>
      </w:r>
    </w:p>
    <w:p w:rsidR="000A3B51" w:rsidRDefault="003D0A08">
      <w:pPr>
        <w:spacing w:after="410" w:line="259" w:lineRule="auto"/>
        <w:ind w:left="1068" w:right="0" w:firstLine="0"/>
        <w:jc w:val="left"/>
      </w:pPr>
      <w:r>
        <w:t xml:space="preserve"> </w:t>
      </w:r>
    </w:p>
    <w:p w:rsidR="000A3B51" w:rsidRDefault="003D0A08">
      <w:pPr>
        <w:spacing w:after="102" w:line="259" w:lineRule="auto"/>
        <w:ind w:left="360" w:right="0" w:firstLine="0"/>
        <w:jc w:val="left"/>
      </w:pPr>
      <w:r>
        <w:rPr>
          <w:b/>
          <w:u w:val="single" w:color="000000"/>
        </w:rPr>
        <w:t>Приложение Б. Алгоритм лечения генерализованного ОА</w:t>
      </w:r>
      <w:r>
        <w:t xml:space="preserve"> </w:t>
      </w:r>
    </w:p>
    <w:p w:rsidR="000A3B51" w:rsidRDefault="003D0A08">
      <w:pPr>
        <w:spacing w:after="0" w:line="259" w:lineRule="auto"/>
        <w:ind w:left="0" w:right="0" w:firstLine="0"/>
        <w:jc w:val="right"/>
      </w:pPr>
      <w:r>
        <w:rPr>
          <w:noProof/>
        </w:rPr>
        <w:drawing>
          <wp:inline distT="0" distB="0" distL="0" distR="0">
            <wp:extent cx="5935981" cy="3192780"/>
            <wp:effectExtent l="0" t="0" r="0" b="0"/>
            <wp:docPr id="23879" name="Picture 238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79" name="Picture 23879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A3B51" w:rsidRDefault="003D0A08">
      <w:pPr>
        <w:spacing w:after="130" w:line="259" w:lineRule="auto"/>
        <w:ind w:left="0" w:right="686" w:firstLine="0"/>
        <w:jc w:val="right"/>
      </w:pPr>
      <w:r>
        <w:rPr>
          <w:noProof/>
        </w:rPr>
        <w:drawing>
          <wp:inline distT="0" distB="0" distL="0" distR="0">
            <wp:extent cx="5937250" cy="2101850"/>
            <wp:effectExtent l="0" t="0" r="0" b="0"/>
            <wp:docPr id="24015" name="Picture 24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15" name="Picture 24015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10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0A3B51" w:rsidRDefault="003D0A08">
      <w:pPr>
        <w:pStyle w:val="Heading1"/>
        <w:ind w:left="319" w:right="712"/>
      </w:pPr>
      <w:r>
        <w:t xml:space="preserve">Приложение В. Информация для пациента  </w:t>
      </w:r>
    </w:p>
    <w:p w:rsidR="000A3B51" w:rsidRDefault="003D0A08">
      <w:pPr>
        <w:spacing w:after="147" w:line="267" w:lineRule="auto"/>
        <w:ind w:left="1078" w:right="753"/>
      </w:pPr>
      <w:r>
        <w:rPr>
          <w:b/>
        </w:rPr>
        <w:t xml:space="preserve">Общее описание заболевания </w:t>
      </w:r>
    </w:p>
    <w:p w:rsidR="000A3B51" w:rsidRDefault="003D0A08">
      <w:pPr>
        <w:spacing w:after="0" w:line="385" w:lineRule="auto"/>
        <w:ind w:right="755"/>
      </w:pPr>
      <w:r>
        <w:t>Остеоартрит (остеоартроз) – это заболевание, при котором происходит нарушение процессов восстановления и разрушения тканей суставов, прежде всего в хряще, в кости, расположенной под хрящом, синовиальной оболочке, выстилающей кап</w:t>
      </w:r>
      <w:r>
        <w:t xml:space="preserve">сулу сустава, и окружающих сустав связках и мышцах.  </w:t>
      </w:r>
    </w:p>
    <w:p w:rsidR="000A3B51" w:rsidRDefault="003D0A08">
      <w:pPr>
        <w:spacing w:after="0" w:line="363" w:lineRule="auto"/>
        <w:ind w:right="755"/>
      </w:pPr>
      <w:r>
        <w:t>Существует две основные формы остеоартрита: первичный, когда не известна причина болезни, и вторичный, возникающий на фоне различных заболеваний, травм суставов. Первичный ОА развивается, как правило, п</w:t>
      </w:r>
      <w:r>
        <w:t>осле 40 лет. Наиболее частой и характерной его локализацией являются коленные, межфаланговые суставы кистей, тазобедренные суставы, позвоночник и основание первого пальца стопы. Вторичный ОА по своим клиническим проявлениям не отличается от первичного, раз</w:t>
      </w:r>
      <w:r>
        <w:t xml:space="preserve">вивается практически в любых суставах и имеет конкретную причину заболевания (часто после серьезной травмы, на фоне другого ревматического заболевания и т.д.). </w:t>
      </w:r>
    </w:p>
    <w:p w:rsidR="000A3B51" w:rsidRDefault="003D0A08">
      <w:pPr>
        <w:spacing w:after="0" w:line="379" w:lineRule="auto"/>
        <w:ind w:right="755"/>
      </w:pPr>
      <w:r>
        <w:t xml:space="preserve">Важно подчеркнуть, что остеоартрит не представляет непосредственной угрозы для жизни больного, </w:t>
      </w:r>
      <w:r>
        <w:t>однако его социальное значение чрезвычайно велико. Боль и нарушение функции суставов приводят к значительным страданиям, временной и стойкой потере трудоспособности, а хроническая суставная боль становится важным фактором, влияющим на прогрессирование не т</w:t>
      </w:r>
      <w:r>
        <w:t xml:space="preserve">олько самого ОА, но и сопутствующих заболеваний, прежде всего, сердечно-сосудистой системы.  </w:t>
      </w:r>
      <w:r>
        <w:rPr>
          <w:b/>
        </w:rPr>
        <w:t xml:space="preserve">Факторы риска </w:t>
      </w:r>
    </w:p>
    <w:p w:rsidR="000A3B51" w:rsidRDefault="003D0A08">
      <w:pPr>
        <w:spacing w:after="0" w:line="396" w:lineRule="auto"/>
        <w:ind w:right="755"/>
      </w:pPr>
      <w:r>
        <w:t xml:space="preserve">Остеоартрит развивается в результате взаимодействия различных факторов, основные из которых представлены ниже. </w:t>
      </w:r>
    </w:p>
    <w:p w:rsidR="000A3B51" w:rsidRDefault="003D0A08">
      <w:pPr>
        <w:spacing w:after="0" w:line="397" w:lineRule="auto"/>
        <w:ind w:right="755"/>
      </w:pPr>
      <w:r>
        <w:rPr>
          <w:i/>
        </w:rPr>
        <w:t xml:space="preserve">Пожилой возраст </w:t>
      </w:r>
      <w:r>
        <w:t xml:space="preserve">является хорошо известным предиктором развития остеоартрита. Увеличение заболеваемости с возрастом является следствием кумулятивного воздействия различных факторов риска и биологических изменений, происходящих при старении организма. </w:t>
      </w:r>
    </w:p>
    <w:p w:rsidR="000A3B51" w:rsidRDefault="003D0A08">
      <w:pPr>
        <w:spacing w:after="25" w:line="378" w:lineRule="auto"/>
        <w:ind w:right="755"/>
      </w:pPr>
      <w:r>
        <w:rPr>
          <w:i/>
        </w:rPr>
        <w:t>Пол.</w:t>
      </w:r>
      <w:r>
        <w:t xml:space="preserve"> Изучение влияния</w:t>
      </w:r>
      <w:r>
        <w:t xml:space="preserve"> пола на распространенность и заболеваемость остеоартритом показало, что женщины, особенно после наступления менопаузы, более склонны к развитию остеоартрита ОА суставов кистей, стоп и коленных суставов.  </w:t>
      </w:r>
    </w:p>
    <w:p w:rsidR="000A3B51" w:rsidRDefault="003D0A08">
      <w:pPr>
        <w:spacing w:after="22" w:line="380" w:lineRule="auto"/>
        <w:ind w:right="755"/>
      </w:pPr>
      <w:r>
        <w:rPr>
          <w:i/>
        </w:rPr>
        <w:t>Индекс массы тела (ИМТ).</w:t>
      </w:r>
      <w:r>
        <w:t xml:space="preserve"> Особое место среди фактор</w:t>
      </w:r>
      <w:r>
        <w:t>ов риска развития остеоартрита (особенно коленного сустава) занимает избыточный вес. Так, у женщин с избыточным весом (ИМТ от 25 до 30 кг/м</w:t>
      </w:r>
      <w:r>
        <w:rPr>
          <w:vertAlign w:val="superscript"/>
        </w:rPr>
        <w:t>2</w:t>
      </w:r>
      <w:r>
        <w:t>) почти в 2,5 раза повышается риск развития ОА коленных суставов, а при ожирении (ИМТ 30 кг/м</w:t>
      </w:r>
      <w:r>
        <w:rPr>
          <w:vertAlign w:val="superscript"/>
        </w:rPr>
        <w:t>2</w:t>
      </w:r>
      <w:r>
        <w:t xml:space="preserve"> и более) – в 4,6 раза</w:t>
      </w:r>
      <w:r>
        <w:t>. Как правило, у пациентов с остеоартритом и избыточной массой тела (или ожирением) наблюдаются и другие проявления метаболического синдрома: артериальная гипертензия, повышение уровня мочевой кислоты в крови, нарушение толерантности к глюкозе, которые тож</w:t>
      </w:r>
      <w:r>
        <w:t xml:space="preserve">е способствуют более тяжелому течению заболевания.  </w:t>
      </w:r>
    </w:p>
    <w:p w:rsidR="000A3B51" w:rsidRDefault="003D0A08">
      <w:pPr>
        <w:spacing w:after="27" w:line="375" w:lineRule="auto"/>
        <w:ind w:right="755"/>
      </w:pPr>
      <w:r>
        <w:rPr>
          <w:i/>
        </w:rPr>
        <w:t>Род занятий, физическая активность и травмы.</w:t>
      </w:r>
      <w:r>
        <w:t xml:space="preserve"> Физическая активность, особенно лечебная физкультура, особенно полезна для суставов за счет укрепления околосуставных мышц, помогающих стабилизировать сустав,</w:t>
      </w:r>
      <w:r>
        <w:t xml:space="preserve"> улучшения кровоснабжения, но может быть и вредной, если она создает чрезмерную нагрузку на сустав, особенно тот, который уже уязвим из-за наличия других рисков. В частности, повторяющееся монотонные нагрузки – работа, требующая стояния на коленях или на к</w:t>
      </w:r>
      <w:r>
        <w:t xml:space="preserve">орточках, связаны с повышенным риском поражения коленных суставов, поднятие тяжестей и длительные статические нагрузки – развитием остеоартрита тазобедренных суставов. </w:t>
      </w:r>
      <w:r>
        <w:rPr>
          <w:color w:val="FF0000"/>
        </w:rPr>
        <w:t xml:space="preserve"> </w:t>
      </w:r>
    </w:p>
    <w:p w:rsidR="000A3B51" w:rsidRDefault="003D0A08">
      <w:pPr>
        <w:spacing w:after="31" w:line="377" w:lineRule="auto"/>
        <w:ind w:right="755"/>
      </w:pPr>
      <w:r>
        <w:rPr>
          <w:i/>
        </w:rPr>
        <w:t xml:space="preserve">Деформации нижних конечностей. </w:t>
      </w:r>
      <w:r>
        <w:t xml:space="preserve">О- или Х-образное искривление нижних конечностей почти </w:t>
      </w:r>
      <w:r>
        <w:t xml:space="preserve">в 4 раза увеличивают в будущем вероятность развития остеоартрита коленных суставов. </w:t>
      </w:r>
    </w:p>
    <w:p w:rsidR="000A3B51" w:rsidRDefault="003D0A08">
      <w:pPr>
        <w:spacing w:after="149" w:line="267" w:lineRule="auto"/>
        <w:ind w:left="1078" w:right="753"/>
      </w:pPr>
      <w:r>
        <w:rPr>
          <w:b/>
        </w:rPr>
        <w:t>Профилактика</w:t>
      </w:r>
      <w:r>
        <w:t xml:space="preserve"> </w:t>
      </w:r>
    </w:p>
    <w:p w:rsidR="000A3B51" w:rsidRDefault="003D0A08">
      <w:pPr>
        <w:spacing w:after="0" w:line="378" w:lineRule="auto"/>
        <w:ind w:right="755"/>
      </w:pPr>
      <w:r>
        <w:t>Профилактику ОА следует начинать с изменения образа жизни – это снижение веса при ожирении или избыточной массе тела, регулярные физические упражнения, профи</w:t>
      </w:r>
      <w:r>
        <w:t xml:space="preserve">лактика травм при занятиях спортом, ношение стелек и др. </w:t>
      </w:r>
    </w:p>
    <w:p w:rsidR="000A3B51" w:rsidRDefault="003D0A08">
      <w:pPr>
        <w:spacing w:after="0" w:line="365" w:lineRule="auto"/>
        <w:ind w:right="755"/>
      </w:pPr>
      <w:r>
        <w:rPr>
          <w:i/>
        </w:rPr>
        <w:t xml:space="preserve">Контроль избыточного веса/ожирения. </w:t>
      </w:r>
      <w:r>
        <w:t>Для эффективной борьбы с ожирением и избыточной массой тела необходимо сочетанное применение ежедневной физической активности и диетотерапии. Суточный калораж пищ</w:t>
      </w:r>
      <w:r>
        <w:t>и необходимо снизить на 500-700 ккал от физиологической потребности, которая рассчитывается исходя из антропометрических параметров (масса тела, возраст, пол, физическая активность в течение суток). Рацион питания должен быть сбалансирован по основным пище</w:t>
      </w:r>
      <w:r>
        <w:t xml:space="preserve">вым ингредиентам: белкам, жирам и углеводам. Диеты, которые основаны на принципах голодания, научно не обоснованы, поэтому их применение не рекомендовано.  </w:t>
      </w:r>
    </w:p>
    <w:p w:rsidR="000A3B51" w:rsidRDefault="003D0A08">
      <w:pPr>
        <w:spacing w:after="0" w:line="369" w:lineRule="auto"/>
        <w:ind w:right="755"/>
      </w:pPr>
      <w:r>
        <w:rPr>
          <w:i/>
        </w:rPr>
        <w:t xml:space="preserve">Физическая активность. </w:t>
      </w:r>
      <w:r>
        <w:t xml:space="preserve">Регулярная физическая активность способствует не только снижению массы тела </w:t>
      </w:r>
      <w:r>
        <w:t>и улучшению подвижности суставов, но и благоприятно влияет на течение сопутствующих хронических заболеваний. В частности, тренировка четырёхглавой мышцы бедра снижает риск развития ОА коленных суставов. Рекомендуется регулярная аэробная активность (наприме</w:t>
      </w:r>
      <w:r>
        <w:t>р, ходьба) умеренной интенсивности не менее 150 минут в неделю. Для пожилых людей и людей с хроническими заболеваниями аэробные тренировки необходимо начинать с 30 минут в день с постепенным увеличением занятий до 60 минут. Целесообразно сочетать комбинаци</w:t>
      </w:r>
      <w:r>
        <w:t>ю силовых тренировок и аэробных упражнений с учетом функциональных требований и предпочтений пациента. Для увеличения эффективности физических нагрузок, а также снижения вероятности травматизации рекомендуется прохождение обучающего курса с инструктором ил</w:t>
      </w:r>
      <w:r>
        <w:t xml:space="preserve">и врачом-ЛФК перед переходом к основному этапу тренировок.  </w:t>
      </w:r>
    </w:p>
    <w:p w:rsidR="000A3B51" w:rsidRDefault="003D0A08">
      <w:pPr>
        <w:spacing w:after="0" w:line="371" w:lineRule="auto"/>
        <w:ind w:right="755"/>
      </w:pPr>
      <w:r>
        <w:rPr>
          <w:i/>
        </w:rPr>
        <w:t xml:space="preserve">Коррекция биомеханических нарушений. </w:t>
      </w:r>
      <w:r>
        <w:t xml:space="preserve">Применение ортопедических приспособлений (ортезы, наколенники, супинаторы) направлено на снижение нагрузки на суставы. При наличии плоскостопия рекомендовано </w:t>
      </w:r>
      <w:r>
        <w:t>ношение ортопедических стелек и обуви, которые способствуют поддержанию свода стопы и снижают нагрузку на суставы нижних конечностей. Рекомендовано использовать обувь на устойчивом каблуке с высотой не выше 4 см с толстой, амортизирующей подошвой. Обувь до</w:t>
      </w:r>
      <w:r>
        <w:t xml:space="preserve">лжна быть подобрана по размеру и не вызывать механического сдавления стопы. </w:t>
      </w:r>
    </w:p>
    <w:p w:rsidR="000A3B51" w:rsidRDefault="003D0A08">
      <w:pPr>
        <w:spacing w:after="4" w:line="389" w:lineRule="auto"/>
        <w:ind w:right="755"/>
      </w:pPr>
      <w:r>
        <w:t>При нестабильности коленных суставов рекомендуется ношение индивидуально подобранных наколенников, которые замедляют развитие остеоартрита. При наличии Ообразной деформации коленн</w:t>
      </w:r>
      <w:r>
        <w:t xml:space="preserve">ых суставов должны применяться ортезы, разгружающие внутренние отделы сустава, а при Х-образной – наружные отделы коленного сустава. </w:t>
      </w:r>
      <w:r>
        <w:rPr>
          <w:b/>
        </w:rPr>
        <w:t xml:space="preserve">Симптомы </w:t>
      </w:r>
    </w:p>
    <w:p w:rsidR="000A3B51" w:rsidRDefault="003D0A08">
      <w:pPr>
        <w:spacing w:after="0" w:line="364" w:lineRule="auto"/>
        <w:ind w:right="755"/>
      </w:pPr>
      <w:r>
        <w:t xml:space="preserve">Основным симптомом остеоартрита является боль в суставе, которая возникает в процессе </w:t>
      </w:r>
      <w:r>
        <w:t>или после физической нагрузки. При более тяжелом течении заболевания боль в суставе может сохраняться и в период покоя, в ночное время. Также характерны и другие симптомы: утренняя скованность в суставе до 30 минут, «стартовые» боли (боль и скованность в с</w:t>
      </w:r>
      <w:r>
        <w:t xml:space="preserve">уставе после периода покоя, уменьшающаяся после начала движения), ограничение объема движений, «щелчки», «хруст» при движениях, припухлость околосуставных мягких тканей. </w:t>
      </w:r>
    </w:p>
    <w:p w:rsidR="000A3B51" w:rsidRDefault="003D0A08">
      <w:pPr>
        <w:spacing w:after="13" w:line="388" w:lineRule="auto"/>
        <w:ind w:right="755"/>
      </w:pPr>
      <w:r>
        <w:t>Чаще всего при ОА вовлекаются коленные, тазобедренные и мелкие суставы кистей, которы</w:t>
      </w:r>
      <w:r>
        <w:t xml:space="preserve">е имеют свои клинические особенности. Так, при поражении </w:t>
      </w:r>
      <w:r>
        <w:rPr>
          <w:b/>
        </w:rPr>
        <w:t>коленного сустава</w:t>
      </w:r>
      <w:r>
        <w:t xml:space="preserve"> характерны «стартовые» боли, возникающие в начале ходьбы (особенно при спуске по лестнице), локализующаяся по передней и внутренней поверхностям коленного сустава и усиливающаяся пр</w:t>
      </w:r>
      <w:r>
        <w:t xml:space="preserve">и сгибании.  </w:t>
      </w:r>
    </w:p>
    <w:p w:rsidR="000A3B51" w:rsidRDefault="003D0A08">
      <w:pPr>
        <w:spacing w:after="33" w:line="370" w:lineRule="auto"/>
        <w:ind w:right="755"/>
      </w:pPr>
      <w:r>
        <w:t>При ОА тазобедренных суставов боль в начале заболевания часто локализуется не в области пораженного сустава, а в паховой области, в области коленного сустава, по наружной поверхности бедра и в поясничной области. Часто пациенты жалуются на то</w:t>
      </w:r>
      <w:r>
        <w:t xml:space="preserve">, что им быть трудно надевать обувь или садиться в машину и выходить из нее. </w:t>
      </w:r>
    </w:p>
    <w:p w:rsidR="000A3B51" w:rsidRDefault="003D0A08">
      <w:pPr>
        <w:spacing w:after="29" w:line="378" w:lineRule="auto"/>
        <w:ind w:right="755"/>
      </w:pPr>
      <w:r>
        <w:t>Типичные клинические признаки ОА суставов кистей – боль при пальпации и движениях, а также появление костных разрастаний в области дистальных и проксимальных межфалантовых сустав</w:t>
      </w:r>
      <w:r>
        <w:t xml:space="preserve">ов (т.н. узелки Гебердена и Бушара). </w:t>
      </w:r>
    </w:p>
    <w:p w:rsidR="000A3B51" w:rsidRDefault="003D0A08">
      <w:pPr>
        <w:spacing w:after="148" w:line="267" w:lineRule="auto"/>
        <w:ind w:left="1078" w:right="753"/>
      </w:pPr>
      <w:r>
        <w:rPr>
          <w:b/>
        </w:rPr>
        <w:t xml:space="preserve">Диагностика </w:t>
      </w:r>
    </w:p>
    <w:p w:rsidR="000A3B51" w:rsidRDefault="003D0A08">
      <w:pPr>
        <w:spacing w:after="0" w:line="390" w:lineRule="auto"/>
        <w:ind w:right="755"/>
      </w:pPr>
      <w:r>
        <w:t>Диагноз ОА основан на анализе жалоб пациента и данных клинического осмотра. Какихлибо специфических лабораторных признаков нет. Рентгенография суставов позволяет определить стадию заболевания, магнитно-рез</w:t>
      </w:r>
      <w:r>
        <w:t xml:space="preserve">онансная томография выполняется при подозрении на травматическое повреждение структур сустава. </w:t>
      </w:r>
      <w:r>
        <w:rPr>
          <w:b/>
        </w:rPr>
        <w:t xml:space="preserve">Основные принципы и подходы к лечению </w:t>
      </w:r>
    </w:p>
    <w:p w:rsidR="000A3B51" w:rsidRDefault="003D0A08">
      <w:pPr>
        <w:spacing w:after="0" w:line="385" w:lineRule="auto"/>
        <w:ind w:right="755"/>
      </w:pPr>
      <w:r>
        <w:t>Комплексная терапия ОА включает применение немедикаментозных и фармакологических методов, а при необходимости – хирургичес</w:t>
      </w:r>
      <w:r>
        <w:t xml:space="preserve">кое вмешательство. Основная задача – уменьшение/купирование боли и воспаление, улучшение движений в суставах и замедление прогрессирования болезни.  </w:t>
      </w:r>
    </w:p>
    <w:p w:rsidR="000A3B51" w:rsidRDefault="003D0A08">
      <w:pPr>
        <w:spacing w:after="0" w:line="374" w:lineRule="auto"/>
        <w:ind w:right="75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5363921</wp:posOffset>
                </wp:positionH>
                <wp:positionV relativeFrom="paragraph">
                  <wp:posOffset>1277624</wp:posOffset>
                </wp:positionV>
                <wp:extent cx="36576" cy="179832"/>
                <wp:effectExtent l="0" t="0" r="0" b="0"/>
                <wp:wrapNone/>
                <wp:docPr id="206032" name="Group 2060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76" cy="179832"/>
                          <a:chOff x="0" y="0"/>
                          <a:chExt cx="36576" cy="179832"/>
                        </a:xfrm>
                      </wpg:grpSpPr>
                      <wps:wsp>
                        <wps:cNvPr id="230991" name="Shape 230991"/>
                        <wps:cNvSpPr/>
                        <wps:spPr>
                          <a:xfrm>
                            <a:off x="0" y="0"/>
                            <a:ext cx="36576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179832">
                                <a:moveTo>
                                  <a:pt x="0" y="0"/>
                                </a:moveTo>
                                <a:lnTo>
                                  <a:pt x="36576" y="0"/>
                                </a:lnTo>
                                <a:lnTo>
                                  <a:pt x="36576" y="179832"/>
                                </a:lnTo>
                                <a:lnTo>
                                  <a:pt x="0" y="1798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7F7F7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06032" style="width:2.88pt;height:14.16pt;position:absolute;z-index:-2147483558;mso-position-horizontal-relative:text;mso-position-horizontal:absolute;margin-left:422.356pt;mso-position-vertical-relative:text;margin-top:100.6pt;" coordsize="365,1798">
                <v:shape id="Shape 230992" style="position:absolute;width:365;height:1798;left:0;top:0;" coordsize="36576,179832" path="m0,0l36576,0l36576,179832l0,179832l0,0">
                  <v:stroke weight="0pt" endcap="flat" joinstyle="miter" miterlimit="10" on="false" color="#000000" opacity="0"/>
                  <v:fill on="true" color="#f7f7f7"/>
                </v:shape>
              </v:group>
            </w:pict>
          </mc:Fallback>
        </mc:AlternateContent>
      </w:r>
      <w:r>
        <w:t xml:space="preserve">Больным ОА рекомендовано посещать школы для пациентов, в которых можно получить исчерпывающую информацию </w:t>
      </w:r>
      <w:r>
        <w:t>о своем заболевании, о целесообразности снижения веса, обучиться, как правильно выполнять упражнения лечебной физкультуры, модифицировать образ жизни. Специалисты разъяснят основные принципы лечения заболевания, а также ответят на ваши вопросы. В рамках да</w:t>
      </w:r>
      <w:r>
        <w:t xml:space="preserve">нных школ проводятся профилактические беседы, обучение лечебной физкультуре, мастер-классы по скандинавской ходьбе и др. </w:t>
      </w:r>
    </w:p>
    <w:p w:rsidR="000A3B51" w:rsidRDefault="003D0A08">
      <w:pPr>
        <w:spacing w:after="0" w:line="367" w:lineRule="auto"/>
        <w:ind w:right="755"/>
      </w:pPr>
      <w:r>
        <w:t>Регулярные занятия ЛФК приводят к уменьшению боли и улучшению движений в суставах, но начинать занятия лучше всего под руководством сп</w:t>
      </w:r>
      <w:r>
        <w:t>ециалиста, например, в группах здоровья. Физические упражнения при ОА должны проводиться без статических нагрузок (сидя, лежа, в бассейне). Главный принцип ЛФК – частое повторение упражнений в течение дня. Не следует делать упражнения, преодолевая боль. Вы</w:t>
      </w:r>
      <w:r>
        <w:t xml:space="preserve">полняют упражнения медленно, плавно, постепенно увеличивая нагрузку. Заниматься нужно не менее 30-40 минут в день, по 10-15 минут несколько раз в течение дня.  </w:t>
      </w:r>
    </w:p>
    <w:p w:rsidR="000A3B51" w:rsidRDefault="003D0A08">
      <w:pPr>
        <w:spacing w:after="0" w:line="365" w:lineRule="auto"/>
        <w:ind w:right="755"/>
      </w:pPr>
      <w:r>
        <w:t>При ОА коленных суставов основными являются упражнения, способствующие укреплению мышц бедра (н</w:t>
      </w:r>
      <w:r>
        <w:t>апример, поднять выпрямленную ногу на 25 см в положении лежа на спине и удерживать ее несколько секунд); упражнения, направленные на увеличение объема движений («воздушный велосипед»); упражнения, способствующие улучшению общего аэробного состояния мышц (х</w:t>
      </w:r>
      <w:r>
        <w:t>одьба по ровной местности в умеренном темпе). Начинать ходить нужно с расстояния, которое не вызывает боль, и постепенно увеличивать продолжительность ходьбы до 30-60 минут (пять – семь дней в неделю). Больные также должны знать об особенностях двигательно</w:t>
      </w:r>
      <w:r>
        <w:t>го режима при ОА, основной принцип которого заключается в разгрузке пораженного сустава. Не рекомендуется длительная ходьба, стояние на ногах, частые подъемы по лестнице. Больному с выраженной болью в суставах и ограничением движений необходима консультаци</w:t>
      </w:r>
      <w:r>
        <w:t xml:space="preserve">я специалиста по ЛФК для составления индивидуальной программы занятий. </w:t>
      </w:r>
    </w:p>
    <w:p w:rsidR="000A3B51" w:rsidRDefault="003D0A08">
      <w:pPr>
        <w:spacing w:after="0" w:line="367" w:lineRule="auto"/>
        <w:ind w:right="755"/>
      </w:pPr>
      <w:r>
        <w:t>При ОА чрезвычайно важно уменьшение нагрузки на суставы, что достигается применением различных приспособлений. Следует носить обувь на низком широком каблуке с мягкой эластичной подошвой, что позволяет уменьшить нагрузку, которая распространяется по ноге п</w:t>
      </w:r>
      <w:r>
        <w:t>ри ходьбе и травмирует хрящ. Обувь должна быть достаточно широкой и мягкой сверху. При поражении коленных суставов рекомендуется ношение наколенников, которые фиксируют суставы, уменьшают их нестабильность, замедляют прогрессирование заболевания. Для умень</w:t>
      </w:r>
      <w:r>
        <w:t>шения нагрузки показано хождение с тростью, которую нужно держать в руке, противоположной пораженному суставу. Кроме того, очень важно правильно подобрать высоту трости – ее рукоятка должна находиться на уровне основания первого пальца руки. При двусторонн</w:t>
      </w:r>
      <w:r>
        <w:t xml:space="preserve">ем поражении тазобедренных или коленных суставов целесообразно хождение с помощью костылей «канадского типа». При наличии плоскостопия рекомендуется постоянное ношение стелек, изготовленных по индивидуальному заказу. </w:t>
      </w:r>
    </w:p>
    <w:p w:rsidR="000A3B51" w:rsidRDefault="003D0A08">
      <w:pPr>
        <w:spacing w:after="0" w:line="377" w:lineRule="auto"/>
        <w:ind w:right="755"/>
      </w:pPr>
      <w:r>
        <w:t>С целью уменьшения болей при ОА назнач</w:t>
      </w:r>
      <w:r>
        <w:t>аются нестероидные противовоспалительные и противоревматические препараты локально (гели, кремы, мази) или системно в виде таблеток (при отсутствии противопоказаний со стороны сопутствующих заболеваний). С момента постановки диагноза всем пациентам с ОА ре</w:t>
      </w:r>
      <w:r>
        <w:t>комендуется назначение «хондропротекторов» (АТХ M01AX Другие нестероидные противовоспалительные и противоревматические препараты) (глюкозамина и/или хондроитина сульфат, или диацереина и др.), которые применяются длительно. Чем дольше пациент принимает «хо</w:t>
      </w:r>
      <w:r>
        <w:t xml:space="preserve">ндропротекторы», тем ниже риски прогрессирования заболевания. В ряде случаев показано введение в полость сустава гиалуроновой кислоты (средств для замещения синовиальной жидкости*** (протезов синовиальной жидкости) на основе гиалуроновой кислоты)) (только </w:t>
      </w:r>
      <w:r>
        <w:t>в «сухой» сустав, в связи с чем рекомендовано до или во время инъекции использование УЗИ) или глюкокортикоидов (при наличии синовита, но не чаще чем 2-3 инъекции в год в один и тот же сустав).</w:t>
      </w:r>
      <w:r>
        <w:rPr>
          <w:i/>
        </w:rPr>
        <w:t xml:space="preserve"> </w:t>
      </w:r>
      <w:r>
        <w:t>Выполняются также разнообразные хирургические вмешательства – о</w:t>
      </w:r>
      <w:r>
        <w:t>т остеотомии до тотального эндопротезирования (замены) суставов. Важно знать, что для назначения или коррекции медикаментозной терапии ОА обязательно нужно обратиться к вашему лечащему врачу, который с учетом ваших индивидуальных особенностей, сопутствующи</w:t>
      </w:r>
      <w:r>
        <w:t>х заболеваний и факторов риска подберет наиболее эффективные и безопасные препараты. Обязательно обсуждайте со своим врачом все принимаемые лекарства, потому что даже натуральные средства, отпускаемые без рецепта, могут вызывать нежелательные эффекты. Толь</w:t>
      </w:r>
      <w:r>
        <w:t>ко квалифицированный специалист может дать Вам наилучшие рекомендации и помочь избежать неприятных последствий от лечения</w:t>
      </w:r>
      <w:r>
        <w:rPr>
          <w:i/>
          <w:color w:val="333333"/>
          <w:sz w:val="28"/>
        </w:rPr>
        <w:t xml:space="preserve">. </w:t>
      </w:r>
    </w:p>
    <w:p w:rsidR="000A3B51" w:rsidRDefault="003D0A08">
      <w:pPr>
        <w:spacing w:after="211" w:line="259" w:lineRule="auto"/>
        <w:ind w:left="1068" w:right="0" w:firstLine="0"/>
        <w:jc w:val="left"/>
      </w:pPr>
      <w:r>
        <w:t xml:space="preserve"> </w:t>
      </w:r>
    </w:p>
    <w:p w:rsidR="000A3B51" w:rsidRDefault="003D0A08">
      <w:pPr>
        <w:spacing w:after="12" w:line="249" w:lineRule="auto"/>
        <w:ind w:left="1063" w:right="749"/>
      </w:pPr>
      <w:r>
        <w:rPr>
          <w:b/>
          <w:sz w:val="28"/>
        </w:rPr>
        <w:t>Приложение Г1-Г9</w:t>
      </w:r>
      <w:r>
        <w:rPr>
          <w:b/>
          <w:sz w:val="28"/>
        </w:rPr>
        <w:t xml:space="preserve">. Шкалы оценки, вопросники и другие оценочные инструменты состояния пациента, приведенные в клинических рекомендациях </w:t>
      </w:r>
    </w:p>
    <w:p w:rsidR="000A3B51" w:rsidRDefault="003D0A08">
      <w:pPr>
        <w:spacing w:after="32" w:line="259" w:lineRule="auto"/>
        <w:ind w:left="1068" w:right="0" w:firstLine="0"/>
        <w:jc w:val="left"/>
      </w:pPr>
      <w:r>
        <w:rPr>
          <w:b/>
          <w:sz w:val="28"/>
        </w:rPr>
        <w:t xml:space="preserve"> </w:t>
      </w:r>
    </w:p>
    <w:p w:rsidR="000A3B51" w:rsidRDefault="003D0A08">
      <w:pPr>
        <w:pStyle w:val="Heading1"/>
        <w:spacing w:after="150" w:line="249" w:lineRule="auto"/>
        <w:ind w:left="1063" w:right="749"/>
        <w:jc w:val="both"/>
      </w:pPr>
      <w:r>
        <w:t xml:space="preserve">Приложение Г 1. Шкалы оценки интенсивности боли </w:t>
      </w:r>
    </w:p>
    <w:p w:rsidR="000A3B51" w:rsidRDefault="003D0A08">
      <w:pPr>
        <w:spacing w:after="0" w:line="397" w:lineRule="auto"/>
        <w:ind w:left="345" w:right="750" w:firstLine="2"/>
      </w:pPr>
      <w:r>
        <w:rPr>
          <w:b/>
          <w:color w:val="222222"/>
        </w:rPr>
        <w:t>Название на русском языке:</w:t>
      </w:r>
      <w:r>
        <w:rPr>
          <w:color w:val="222222"/>
        </w:rPr>
        <w:t xml:space="preserve"> визуальная аналоговая шкала (ВАШ), числовая рейтинговая шка</w:t>
      </w:r>
      <w:r>
        <w:rPr>
          <w:color w:val="222222"/>
        </w:rPr>
        <w:t xml:space="preserve">ла (ЧРШ), вербальная ранговая шкала (ВРШ) </w:t>
      </w:r>
    </w:p>
    <w:p w:rsidR="000A3B51" w:rsidRDefault="003D0A08">
      <w:pPr>
        <w:spacing w:after="157" w:line="259" w:lineRule="auto"/>
        <w:ind w:left="345" w:right="750" w:firstLine="2"/>
      </w:pPr>
      <w:r>
        <w:rPr>
          <w:b/>
          <w:color w:val="222222"/>
        </w:rPr>
        <w:t>Оригинальное название:</w:t>
      </w:r>
      <w:r>
        <w:rPr>
          <w:color w:val="222222"/>
        </w:rPr>
        <w:t xml:space="preserve"> Visual Analog Scale, Numeric Rating Scale, Verbal Rating Scale </w:t>
      </w:r>
    </w:p>
    <w:p w:rsidR="000A3B51" w:rsidRDefault="003D0A08">
      <w:pPr>
        <w:spacing w:after="154"/>
        <w:ind w:right="755"/>
      </w:pPr>
      <w:r>
        <w:rPr>
          <w:b/>
          <w:color w:val="222222"/>
        </w:rPr>
        <w:t>Источник:</w:t>
      </w:r>
      <w:r>
        <w:rPr>
          <w:b/>
          <w:color w:val="FF0000"/>
        </w:rPr>
        <w:t xml:space="preserve"> </w:t>
      </w:r>
      <w:r>
        <w:t>[486–489]</w:t>
      </w:r>
      <w:r>
        <w:rPr>
          <w:b/>
          <w:color w:val="3E46E6"/>
        </w:rPr>
        <w:t xml:space="preserve"> </w:t>
      </w:r>
    </w:p>
    <w:p w:rsidR="000A3B51" w:rsidRDefault="003D0A08">
      <w:pPr>
        <w:spacing w:after="269"/>
        <w:ind w:right="755"/>
      </w:pPr>
      <w:r>
        <w:t>Тип (подчеркнуть): -</w:t>
      </w:r>
      <w:r>
        <w:rPr>
          <w:u w:val="single" w:color="000000"/>
        </w:rPr>
        <w:t>шкала оценки</w:t>
      </w:r>
      <w:r>
        <w:t xml:space="preserve"> </w:t>
      </w:r>
    </w:p>
    <w:p w:rsidR="000A3B51" w:rsidRDefault="003D0A08">
      <w:pPr>
        <w:spacing w:after="3" w:line="383" w:lineRule="auto"/>
        <w:ind w:left="355" w:right="4451"/>
        <w:jc w:val="left"/>
      </w:pPr>
      <w:r>
        <w:rPr>
          <w:b/>
          <w:color w:val="222222"/>
        </w:rPr>
        <w:t>Назначение:</w:t>
      </w:r>
      <w:r>
        <w:rPr>
          <w:color w:val="222222"/>
        </w:rPr>
        <w:t xml:space="preserve"> оценка интенсивности боли </w:t>
      </w:r>
      <w:r>
        <w:rPr>
          <w:b/>
          <w:color w:val="222222"/>
        </w:rPr>
        <w:t xml:space="preserve">Содержание (шаблон):  </w:t>
      </w:r>
    </w:p>
    <w:p w:rsidR="000A3B51" w:rsidRDefault="003D0A08">
      <w:pPr>
        <w:spacing w:after="0" w:line="259" w:lineRule="auto"/>
        <w:ind w:left="0" w:right="708" w:firstLine="0"/>
        <w:jc w:val="right"/>
      </w:pPr>
      <w:r>
        <w:rPr>
          <w:noProof/>
        </w:rPr>
        <w:drawing>
          <wp:inline distT="0" distB="0" distL="0" distR="0">
            <wp:extent cx="5935981" cy="2232660"/>
            <wp:effectExtent l="0" t="0" r="0" b="0"/>
            <wp:docPr id="24802" name="Picture 248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02" name="Picture 24802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222222"/>
        </w:rPr>
        <w:t xml:space="preserve"> </w:t>
      </w:r>
    </w:p>
    <w:p w:rsidR="000A3B51" w:rsidRDefault="003D0A08">
      <w:pPr>
        <w:spacing w:after="173" w:line="271" w:lineRule="auto"/>
        <w:ind w:left="355" w:right="0"/>
        <w:jc w:val="left"/>
      </w:pPr>
      <w:r>
        <w:rPr>
          <w:b/>
          <w:color w:val="222222"/>
        </w:rPr>
        <w:t xml:space="preserve">Ключ (интерпретация):  </w:t>
      </w:r>
    </w:p>
    <w:p w:rsidR="000A3B51" w:rsidRDefault="003D0A08">
      <w:pPr>
        <w:spacing w:after="157" w:line="259" w:lineRule="auto"/>
        <w:ind w:left="345" w:right="750" w:firstLine="2"/>
      </w:pPr>
      <w:r>
        <w:rPr>
          <w:color w:val="222222"/>
        </w:rPr>
        <w:t>До 4 баллов или 40 мм – слабая боль;</w:t>
      </w:r>
      <w:r>
        <w:rPr>
          <w:color w:val="222222"/>
          <w:sz w:val="27"/>
        </w:rPr>
        <w:t xml:space="preserve"> </w:t>
      </w:r>
    </w:p>
    <w:p w:rsidR="000A3B51" w:rsidRDefault="003D0A08">
      <w:pPr>
        <w:spacing w:after="0" w:line="404" w:lineRule="auto"/>
        <w:ind w:left="345" w:right="2519" w:firstLine="2"/>
      </w:pPr>
      <w:r>
        <w:rPr>
          <w:color w:val="222222"/>
        </w:rPr>
        <w:t>От 4 до 7 баллов или от 40 до 70 мм – боль средней интенсивности;</w:t>
      </w:r>
      <w:r>
        <w:rPr>
          <w:color w:val="222222"/>
          <w:sz w:val="27"/>
        </w:rPr>
        <w:t xml:space="preserve"> </w:t>
      </w:r>
      <w:r>
        <w:rPr>
          <w:color w:val="222222"/>
        </w:rPr>
        <w:t xml:space="preserve">Более 7 баллов или 70 мм – сильная боль. </w:t>
      </w:r>
    </w:p>
    <w:p w:rsidR="000A3B51" w:rsidRDefault="003D0A08">
      <w:pPr>
        <w:spacing w:after="157" w:line="259" w:lineRule="auto"/>
        <w:ind w:left="345" w:right="750" w:firstLine="2"/>
      </w:pPr>
      <w:r>
        <w:rPr>
          <w:b/>
          <w:color w:val="222222"/>
        </w:rPr>
        <w:t xml:space="preserve">Пояснения: </w:t>
      </w:r>
      <w:r>
        <w:rPr>
          <w:color w:val="222222"/>
        </w:rPr>
        <w:t xml:space="preserve">ЧРШ, ВРШ аналогичны ВАШ и являются её модификацией.  </w:t>
      </w:r>
    </w:p>
    <w:p w:rsidR="000A3B51" w:rsidRDefault="003D0A08">
      <w:pPr>
        <w:spacing w:after="157" w:line="375" w:lineRule="auto"/>
        <w:ind w:left="345" w:right="750" w:firstLine="2"/>
      </w:pPr>
      <w:r>
        <w:rPr>
          <w:b/>
          <w:color w:val="222222"/>
        </w:rPr>
        <w:t>ВАШ.</w:t>
      </w:r>
      <w:r>
        <w:rPr>
          <w:color w:val="222222"/>
        </w:rPr>
        <w:t xml:space="preserve"> Пациент самостоя</w:t>
      </w:r>
      <w:r>
        <w:rPr>
          <w:color w:val="222222"/>
        </w:rPr>
        <w:t xml:space="preserve">тельно </w:t>
      </w:r>
      <w:r>
        <w:t>в присутствии врача и/или медицинского персонала</w:t>
      </w:r>
      <w:r>
        <w:rPr>
          <w:color w:val="222222"/>
        </w:rPr>
        <w:t xml:space="preserve"> проводит оценку интенсивности боли по ВАШ, которая представляет собой прямую линию – 100 мм. Начальная точка линии обозначает отсутствие боли (0 мм), конечная точка линии – невыносимую боль (100 мм), </w:t>
      </w:r>
      <w:r>
        <w:rPr>
          <w:color w:val="222222"/>
        </w:rPr>
        <w:t>середина – умеренную боль. Пациент должен сделать на этой линии отметку, соответствующую интенсивности испытываемых им болей в анализируемом суставе в данный момент (или в течение определенного времени, например за последнюю неделю). Расстояние между начал</w:t>
      </w:r>
      <w:r>
        <w:rPr>
          <w:color w:val="222222"/>
        </w:rPr>
        <w:t xml:space="preserve">ом линии (0) и сделанной пациентом отметкой измеряют в миллиметрах.  </w:t>
      </w:r>
    </w:p>
    <w:p w:rsidR="000A3B51" w:rsidRDefault="003D0A08">
      <w:pPr>
        <w:spacing w:after="2" w:line="377" w:lineRule="auto"/>
        <w:ind w:left="345" w:right="750" w:firstLine="2"/>
      </w:pPr>
      <w:r>
        <w:rPr>
          <w:b/>
          <w:color w:val="222222"/>
        </w:rPr>
        <w:t>ЧРШ</w:t>
      </w:r>
      <w:r>
        <w:rPr>
          <w:color w:val="222222"/>
        </w:rPr>
        <w:t xml:space="preserve"> представляет собой горизонтальную линию, длиной 10 см, с расположенными на ней цифрами от 0 до 10, где 0 — «отсутствие боли», 10 — </w:t>
      </w:r>
      <w:r>
        <w:rPr>
          <w:color w:val="222222"/>
        </w:rPr>
        <w:t xml:space="preserve">«нестерпимая боль». Пациента просят отметить число от 0 до 10, соответствующее выраженности его болевых ощущений. </w:t>
      </w:r>
    </w:p>
    <w:p w:rsidR="000A3B51" w:rsidRDefault="003D0A08">
      <w:pPr>
        <w:spacing w:after="157" w:line="355" w:lineRule="auto"/>
        <w:ind w:left="345" w:right="750" w:firstLine="2"/>
      </w:pPr>
      <w:r>
        <w:rPr>
          <w:b/>
          <w:color w:val="222222"/>
        </w:rPr>
        <w:t>ВРШ</w:t>
      </w:r>
      <w:r>
        <w:rPr>
          <w:color w:val="222222"/>
        </w:rPr>
        <w:t xml:space="preserve"> состоит из прилагательных, описывающих боль и расположенных в порядке возрастания её интенсивности. Иногда пользуются шкалой, содержащей </w:t>
      </w:r>
      <w:r>
        <w:rPr>
          <w:color w:val="222222"/>
        </w:rPr>
        <w:t>прилагательные и цифровые обозначения (0 – «нет боли» 1 - «слабая», 2 - «умеренная», 3 - «сильная», 4 - «очень сильная», 5 - «невыносимая»). Алгоритм работы такой же как с ВАШ.</w:t>
      </w:r>
      <w:r>
        <w:rPr>
          <w:color w:val="222222"/>
          <w:sz w:val="27"/>
        </w:rPr>
        <w:t xml:space="preserve"> </w:t>
      </w:r>
    </w:p>
    <w:p w:rsidR="000A3B51" w:rsidRDefault="003D0A08">
      <w:pPr>
        <w:pStyle w:val="Heading1"/>
        <w:spacing w:after="140"/>
        <w:ind w:left="1078" w:right="744"/>
        <w:jc w:val="both"/>
      </w:pPr>
      <w:r>
        <w:rPr>
          <w:u w:val="single" w:color="000000"/>
        </w:rPr>
        <w:t>Приложение Г2. Шкала FRAX</w:t>
      </w:r>
      <w:r>
        <w:t xml:space="preserve"> </w:t>
      </w:r>
    </w:p>
    <w:p w:rsidR="000A3B51" w:rsidRDefault="003D0A08">
      <w:pPr>
        <w:spacing w:after="146"/>
        <w:ind w:right="755"/>
      </w:pPr>
      <w:r>
        <w:rPr>
          <w:b/>
        </w:rPr>
        <w:t xml:space="preserve">Название на русском языке: </w:t>
      </w:r>
      <w:r>
        <w:t>ФРАКС – Инструмент оценк</w:t>
      </w:r>
      <w:r>
        <w:t xml:space="preserve">и риска перелома </w:t>
      </w:r>
    </w:p>
    <w:p w:rsidR="000A3B51" w:rsidRDefault="003D0A08">
      <w:pPr>
        <w:spacing w:after="134" w:line="267" w:lineRule="auto"/>
        <w:ind w:left="355" w:right="753"/>
      </w:pPr>
      <w:r>
        <w:rPr>
          <w:b/>
        </w:rPr>
        <w:t xml:space="preserve">Оригинальное название: </w:t>
      </w:r>
      <w:r>
        <w:t xml:space="preserve">FRAX ® </w:t>
      </w:r>
    </w:p>
    <w:p w:rsidR="000A3B51" w:rsidRDefault="003D0A08">
      <w:pPr>
        <w:spacing w:after="155" w:line="267" w:lineRule="auto"/>
        <w:ind w:left="355" w:right="753"/>
      </w:pPr>
      <w:r>
        <w:rPr>
          <w:b/>
        </w:rPr>
        <w:t xml:space="preserve">Источник: </w:t>
      </w:r>
      <w:r>
        <w:t xml:space="preserve">[509–511] </w:t>
      </w:r>
    </w:p>
    <w:p w:rsidR="000A3B51" w:rsidRDefault="003D0A08">
      <w:pPr>
        <w:spacing w:after="152" w:line="267" w:lineRule="auto"/>
        <w:ind w:left="355" w:right="753"/>
      </w:pPr>
      <w:r>
        <w:rPr>
          <w:b/>
        </w:rPr>
        <w:t>Тип (подчеркнуть):</w:t>
      </w:r>
      <w:r>
        <w:t xml:space="preserve"> </w:t>
      </w:r>
      <w:r>
        <w:rPr>
          <w:u w:val="single" w:color="000000"/>
        </w:rPr>
        <w:t>вопросник</w:t>
      </w:r>
      <w:r>
        <w:t xml:space="preserve"> </w:t>
      </w:r>
    </w:p>
    <w:p w:rsidR="000A3B51" w:rsidRDefault="003D0A08">
      <w:pPr>
        <w:ind w:right="755"/>
      </w:pPr>
      <w:r>
        <w:rPr>
          <w:b/>
        </w:rPr>
        <w:t>Назначение:</w:t>
      </w:r>
      <w:r>
        <w:t xml:space="preserve"> оценка риска перелома. </w:t>
      </w:r>
    </w:p>
    <w:p w:rsidR="000A3B51" w:rsidRDefault="003D0A08">
      <w:pPr>
        <w:spacing w:after="0" w:line="399" w:lineRule="auto"/>
        <w:ind w:right="755"/>
      </w:pPr>
      <w:r>
        <w:t>Содержание: для подсчета 10-</w:t>
      </w:r>
      <w:r>
        <w:t xml:space="preserve">летней вероятности перелома с использованием минеральной плотности кости ответьте на следующие вопросы. </w:t>
      </w:r>
    </w:p>
    <w:p w:rsidR="000A3B51" w:rsidRDefault="003D0A08">
      <w:pPr>
        <w:ind w:left="1078" w:right="755"/>
      </w:pPr>
      <w:r>
        <w:t xml:space="preserve">Анкета: </w:t>
      </w:r>
    </w:p>
    <w:p w:rsidR="000A3B51" w:rsidRDefault="003D0A08">
      <w:pPr>
        <w:spacing w:after="103" w:line="259" w:lineRule="auto"/>
        <w:ind w:left="0" w:right="1460" w:firstLine="0"/>
        <w:jc w:val="right"/>
      </w:pPr>
      <w:r>
        <w:rPr>
          <w:noProof/>
        </w:rPr>
        <w:drawing>
          <wp:inline distT="0" distB="0" distL="0" distR="0">
            <wp:extent cx="5006340" cy="4739641"/>
            <wp:effectExtent l="0" t="0" r="0" b="0"/>
            <wp:docPr id="24906" name="Picture 249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06" name="Picture 24906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06340" cy="4739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A3B51" w:rsidRDefault="003D0A08">
      <w:pPr>
        <w:spacing w:after="74" w:line="377" w:lineRule="auto"/>
        <w:ind w:left="360" w:right="755" w:firstLine="708"/>
      </w:pPr>
      <w:r>
        <w:rPr>
          <w:b/>
        </w:rPr>
        <w:t>Ключ (интерпретация):</w:t>
      </w:r>
      <w:r>
        <w:t xml:space="preserve"> Результат оценки риска перелома в оранжевой зоне: рекомендовано проведение двухэнергетической рентгеноденситометрии (</w:t>
      </w:r>
      <w:r>
        <w:t xml:space="preserve">DXA) поясничного отдела позвоночника и проксимального отдела бедренной кости. При выявлении остеопороза (Т-критерий ≤ -2,5) показано назначение антиостеопоротической терапии без повторной оценки риска перелома. </w:t>
      </w:r>
    </w:p>
    <w:p w:rsidR="000A3B51" w:rsidRDefault="003D0A08">
      <w:pPr>
        <w:pStyle w:val="Heading2"/>
        <w:ind w:left="1063" w:right="749"/>
      </w:pPr>
      <w:r>
        <w:rPr>
          <w:color w:val="222222"/>
        </w:rPr>
        <w:t xml:space="preserve">Приложение Г 3. </w:t>
      </w:r>
      <w:r>
        <w:t>Функциональный индекс оценки</w:t>
      </w:r>
      <w:r>
        <w:t xml:space="preserve"> ОА коленного и/или тазобедренного сустава WOMAC (Western Ontario and McMaster Universities Arthritis Index</w:t>
      </w:r>
      <w:r>
        <w:rPr>
          <w:b w:val="0"/>
          <w:sz w:val="24"/>
        </w:rPr>
        <w:t xml:space="preserve">) </w:t>
      </w:r>
    </w:p>
    <w:p w:rsidR="000A3B51" w:rsidRDefault="003D0A08">
      <w:pPr>
        <w:spacing w:after="20" w:line="385" w:lineRule="auto"/>
        <w:ind w:right="755"/>
      </w:pPr>
      <w:r>
        <w:rPr>
          <w:b/>
        </w:rPr>
        <w:t>Название на русском языке</w:t>
      </w:r>
      <w:r>
        <w:t xml:space="preserve">: Функциональный индекс оценки ОА коленного и/или тазобедренного сустава WOMAC </w:t>
      </w:r>
    </w:p>
    <w:p w:rsidR="000A3B51" w:rsidRDefault="003D0A08">
      <w:pPr>
        <w:spacing w:after="89"/>
        <w:ind w:right="755"/>
      </w:pPr>
      <w:r>
        <w:rPr>
          <w:b/>
        </w:rPr>
        <w:t>Оригинальное название</w:t>
      </w:r>
      <w:r>
        <w:t>:</w:t>
      </w:r>
      <w:r>
        <w:rPr>
          <w:b/>
          <w:sz w:val="28"/>
        </w:rPr>
        <w:t xml:space="preserve"> </w:t>
      </w:r>
      <w:r>
        <w:t>Western Ontario an</w:t>
      </w:r>
      <w:r>
        <w:t xml:space="preserve">d McMaster Universities Arthritis Index </w:t>
      </w:r>
    </w:p>
    <w:p w:rsidR="000A3B51" w:rsidRDefault="003D0A08">
      <w:pPr>
        <w:spacing w:after="148" w:line="267" w:lineRule="auto"/>
        <w:ind w:left="355" w:right="753"/>
      </w:pPr>
      <w:r>
        <w:rPr>
          <w:b/>
        </w:rPr>
        <w:t>Источник:</w:t>
      </w:r>
      <w:r>
        <w:t xml:space="preserve"> [490,491]</w:t>
      </w:r>
      <w:r>
        <w:rPr>
          <w:b/>
          <w:color w:val="0066FF"/>
        </w:rPr>
        <w:t xml:space="preserve"> </w:t>
      </w:r>
    </w:p>
    <w:p w:rsidR="000A3B51" w:rsidRDefault="003D0A08">
      <w:pPr>
        <w:spacing w:after="3" w:line="267" w:lineRule="auto"/>
        <w:ind w:left="355" w:right="753"/>
      </w:pPr>
      <w:r>
        <w:rPr>
          <w:b/>
        </w:rPr>
        <w:t xml:space="preserve">Тип (подчеркнуть): </w:t>
      </w:r>
      <w:r>
        <w:t xml:space="preserve">- </w:t>
      </w:r>
      <w:r>
        <w:rPr>
          <w:u w:val="single" w:color="000000"/>
        </w:rPr>
        <w:t>индекс</w:t>
      </w:r>
      <w:r>
        <w:t xml:space="preserve"> </w:t>
      </w:r>
    </w:p>
    <w:p w:rsidR="000A3B51" w:rsidRDefault="003D0A08">
      <w:pPr>
        <w:spacing w:after="6" w:line="397" w:lineRule="auto"/>
        <w:ind w:right="755"/>
      </w:pPr>
      <w:r>
        <w:rPr>
          <w:b/>
        </w:rPr>
        <w:t xml:space="preserve">Назначение: </w:t>
      </w:r>
      <w:r>
        <w:t xml:space="preserve">для оценки боли, скованности и функции коленного и/или тазобедренного суставов. </w:t>
      </w:r>
    </w:p>
    <w:p w:rsidR="000A3B51" w:rsidRDefault="003D0A08">
      <w:pPr>
        <w:tabs>
          <w:tab w:val="center" w:pos="1593"/>
          <w:tab w:val="center" w:pos="3289"/>
        </w:tabs>
        <w:spacing w:after="3" w:line="267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Содержание (шаблон):  </w:t>
      </w:r>
      <w:r>
        <w:rPr>
          <w:b/>
        </w:rPr>
        <w:tab/>
        <w:t xml:space="preserve"> </w:t>
      </w:r>
    </w:p>
    <w:tbl>
      <w:tblPr>
        <w:tblStyle w:val="TableGrid"/>
        <w:tblW w:w="9496" w:type="dxa"/>
        <w:tblInd w:w="365" w:type="dxa"/>
        <w:tblCellMar>
          <w:top w:w="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517"/>
        <w:gridCol w:w="2979"/>
      </w:tblGrid>
      <w:tr w:rsidR="000A3B51">
        <w:trPr>
          <w:trHeight w:val="1253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15" w:line="259" w:lineRule="auto"/>
              <w:ind w:left="0" w:right="0" w:firstLine="0"/>
              <w:jc w:val="left"/>
            </w:pPr>
            <w:r>
              <w:t xml:space="preserve">Оценка по </w:t>
            </w:r>
          </w:p>
          <w:p w:rsidR="000A3B51" w:rsidRDefault="003D0A08">
            <w:pPr>
              <w:spacing w:after="157" w:line="259" w:lineRule="auto"/>
              <w:ind w:left="0" w:right="0" w:firstLine="0"/>
              <w:jc w:val="left"/>
            </w:pPr>
            <w:r>
              <w:t xml:space="preserve">ВАШ/ЧРШ/шкале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Ликерта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b/>
              </w:rPr>
              <w:t>Оценка боли</w:t>
            </w:r>
            <w:r>
              <w:t xml:space="preserve"> </w:t>
            </w:r>
          </w:p>
        </w:tc>
        <w:tc>
          <w:tcPr>
            <w:tcW w:w="297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>Ходить по ровной поверхности</w:t>
            </w:r>
            <w:r>
              <w:rPr>
                <w:b/>
              </w:rPr>
              <w:t xml:space="preserve">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Подъем или спуск по лестнице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3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Ночные боли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Сидя или лежа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Стоя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b/>
              </w:rPr>
              <w:t xml:space="preserve">Сумма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9" w:right="0" w:firstLine="0"/>
              <w:jc w:val="left"/>
            </w:pPr>
            <w:r>
              <w:t xml:space="preserve"> </w:t>
            </w:r>
          </w:p>
        </w:tc>
      </w:tr>
    </w:tbl>
    <w:p w:rsidR="000A3B51" w:rsidRDefault="003D0A08">
      <w:pPr>
        <w:spacing w:after="3" w:line="267" w:lineRule="auto"/>
        <w:ind w:left="1078" w:right="753"/>
      </w:pPr>
      <w:r>
        <w:rPr>
          <w:b/>
        </w:rPr>
        <w:t xml:space="preserve">Оценка скованности </w:t>
      </w:r>
    </w:p>
    <w:tbl>
      <w:tblPr>
        <w:tblStyle w:val="TableGrid"/>
        <w:tblW w:w="9496" w:type="dxa"/>
        <w:tblInd w:w="365" w:type="dxa"/>
        <w:tblCellMar>
          <w:top w:w="9" w:type="dxa"/>
          <w:left w:w="81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517"/>
        <w:gridCol w:w="2979"/>
      </w:tblGrid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Скованность утром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Скованность в течение дня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Сумма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</w:tbl>
    <w:p w:rsidR="000A3B51" w:rsidRDefault="003D0A08">
      <w:pPr>
        <w:spacing w:after="3" w:line="267" w:lineRule="auto"/>
        <w:ind w:left="1078" w:right="753"/>
      </w:pPr>
      <w:r>
        <w:rPr>
          <w:b/>
        </w:rPr>
        <w:t xml:space="preserve">Затруднение повседневной деятельности  </w:t>
      </w:r>
    </w:p>
    <w:tbl>
      <w:tblPr>
        <w:tblStyle w:val="TableGrid"/>
        <w:tblW w:w="9496" w:type="dxa"/>
        <w:tblInd w:w="365" w:type="dxa"/>
        <w:tblCellMar>
          <w:top w:w="9" w:type="dxa"/>
          <w:left w:w="81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517"/>
        <w:gridCol w:w="2979"/>
      </w:tblGrid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Спуск по лестнице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Подъем по лестнице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Встать из сидячего положения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Стоя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Нагибаться к полу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Ходьба по ровной поверхности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Входить или выходить из машины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Ходить за покупками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Надевать носки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Вставать из лежачего положения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Снимать носки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Лежать в кровати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Залезать, вылезать из ванной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Сидеть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Садиться или вставать с унитаза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Выполнять легкую домашнюю работу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Выполнять тяжелую домашнюю работу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Сумма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6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Суммарный индекс WOMAC 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</w:tr>
    </w:tbl>
    <w:p w:rsidR="000A3B51" w:rsidRDefault="003D0A08">
      <w:pPr>
        <w:spacing w:after="7" w:line="390" w:lineRule="auto"/>
        <w:ind w:left="345" w:right="750" w:firstLine="2"/>
      </w:pPr>
      <w:r>
        <w:rPr>
          <w:b/>
          <w:color w:val="222222"/>
        </w:rPr>
        <w:t>Ключ (интерпретация):</w:t>
      </w:r>
      <w:r>
        <w:rPr>
          <w:color w:val="222222"/>
        </w:rPr>
        <w:t xml:space="preserve"> </w:t>
      </w:r>
      <w:r>
        <w:rPr>
          <w:color w:val="222222"/>
        </w:rPr>
        <w:t>индекс WOMAC применяется</w:t>
      </w:r>
      <w:r>
        <w:t xml:space="preserve"> не только для оценки боли, скованности и функции коленного и/или тазобедренного суставов, но и может использоваться</w:t>
      </w:r>
      <w:r>
        <w:rPr>
          <w:color w:val="222222"/>
        </w:rPr>
        <w:t xml:space="preserve"> для оценки эффективности проводимой терапии. Формат шкал для оценки каждого показателя может быть представлен в вид</w:t>
      </w:r>
      <w:r>
        <w:rPr>
          <w:color w:val="222222"/>
        </w:rPr>
        <w:t xml:space="preserve">е ВАШ, ЧРШ, 5-ти балльной шкале Ликерта. Однако большей чувствительностью по сравнению с другими форматами шкал обладает оценка по ВАШ.  </w:t>
      </w:r>
    </w:p>
    <w:p w:rsidR="000A3B51" w:rsidRDefault="003D0A08">
      <w:pPr>
        <w:spacing w:after="181" w:line="259" w:lineRule="auto"/>
        <w:ind w:left="1068" w:right="750" w:firstLine="2"/>
      </w:pPr>
      <w:r>
        <w:rPr>
          <w:color w:val="222222"/>
        </w:rPr>
        <w:t xml:space="preserve">Возможным диапазон баллов в зависимости от шкалы: </w:t>
      </w:r>
    </w:p>
    <w:p w:rsidR="000A3B51" w:rsidRDefault="003D0A08">
      <w:pPr>
        <w:tabs>
          <w:tab w:val="center" w:pos="1123"/>
          <w:tab w:val="center" w:pos="3113"/>
        </w:tabs>
        <w:spacing w:after="115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color w:val="222222"/>
        </w:rPr>
        <w:t></w:t>
      </w:r>
      <w:r>
        <w:rPr>
          <w:rFonts w:ascii="Arial" w:eastAsia="Arial" w:hAnsi="Arial" w:cs="Arial"/>
          <w:color w:val="222222"/>
        </w:rPr>
        <w:t xml:space="preserve"> </w:t>
      </w:r>
      <w:r>
        <w:rPr>
          <w:rFonts w:ascii="Arial" w:eastAsia="Arial" w:hAnsi="Arial" w:cs="Arial"/>
          <w:color w:val="222222"/>
        </w:rPr>
        <w:tab/>
      </w:r>
      <w:r>
        <w:rPr>
          <w:color w:val="222222"/>
        </w:rPr>
        <w:t xml:space="preserve">при использовании ВАШ: </w:t>
      </w:r>
    </w:p>
    <w:p w:rsidR="000A3B51" w:rsidRDefault="003D0A08">
      <w:pPr>
        <w:numPr>
          <w:ilvl w:val="0"/>
          <w:numId w:val="32"/>
        </w:numPr>
        <w:spacing w:after="157" w:line="259" w:lineRule="auto"/>
        <w:ind w:right="750" w:hanging="139"/>
      </w:pPr>
      <w:r>
        <w:rPr>
          <w:color w:val="222222"/>
        </w:rPr>
        <w:t xml:space="preserve">подшкала «Боль» от 0 до 500 мм; </w:t>
      </w:r>
    </w:p>
    <w:p w:rsidR="000A3B51" w:rsidRDefault="003D0A08">
      <w:pPr>
        <w:numPr>
          <w:ilvl w:val="0"/>
          <w:numId w:val="32"/>
        </w:numPr>
        <w:spacing w:after="157" w:line="259" w:lineRule="auto"/>
        <w:ind w:right="750" w:hanging="139"/>
      </w:pPr>
      <w:r>
        <w:rPr>
          <w:color w:val="222222"/>
        </w:rPr>
        <w:t>подшка</w:t>
      </w:r>
      <w:r>
        <w:rPr>
          <w:color w:val="222222"/>
        </w:rPr>
        <w:t xml:space="preserve">ла «Скованность» от 0 до 200 мм; </w:t>
      </w:r>
    </w:p>
    <w:p w:rsidR="000A3B51" w:rsidRDefault="003D0A08">
      <w:pPr>
        <w:numPr>
          <w:ilvl w:val="0"/>
          <w:numId w:val="32"/>
        </w:numPr>
        <w:spacing w:after="182" w:line="259" w:lineRule="auto"/>
        <w:ind w:right="750" w:hanging="139"/>
      </w:pPr>
      <w:r>
        <w:rPr>
          <w:color w:val="222222"/>
        </w:rPr>
        <w:t xml:space="preserve">подшкала «Функциональная недостаточность» от 0 до 1700 мм.  </w:t>
      </w:r>
    </w:p>
    <w:p w:rsidR="000A3B51" w:rsidRDefault="003D0A08">
      <w:pPr>
        <w:tabs>
          <w:tab w:val="center" w:pos="1123"/>
          <w:tab w:val="center" w:pos="3623"/>
        </w:tabs>
        <w:spacing w:after="116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color w:val="222222"/>
        </w:rPr>
        <w:t></w:t>
      </w:r>
      <w:r>
        <w:rPr>
          <w:rFonts w:ascii="Arial" w:eastAsia="Arial" w:hAnsi="Arial" w:cs="Arial"/>
          <w:color w:val="222222"/>
        </w:rPr>
        <w:t xml:space="preserve"> </w:t>
      </w:r>
      <w:r>
        <w:rPr>
          <w:rFonts w:ascii="Arial" w:eastAsia="Arial" w:hAnsi="Arial" w:cs="Arial"/>
          <w:color w:val="222222"/>
        </w:rPr>
        <w:tab/>
      </w:r>
      <w:r>
        <w:rPr>
          <w:color w:val="222222"/>
        </w:rPr>
        <w:t xml:space="preserve">при использовании шкалы Ликерта: </w:t>
      </w:r>
    </w:p>
    <w:p w:rsidR="000A3B51" w:rsidRDefault="003D0A08">
      <w:pPr>
        <w:numPr>
          <w:ilvl w:val="0"/>
          <w:numId w:val="33"/>
        </w:numPr>
        <w:spacing w:after="157" w:line="259" w:lineRule="auto"/>
        <w:ind w:right="750" w:hanging="139"/>
      </w:pPr>
      <w:r>
        <w:rPr>
          <w:color w:val="222222"/>
        </w:rPr>
        <w:t xml:space="preserve">подшкала «Боль» от 0 до 20 баллов; </w:t>
      </w:r>
    </w:p>
    <w:p w:rsidR="000A3B51" w:rsidRDefault="003D0A08">
      <w:pPr>
        <w:numPr>
          <w:ilvl w:val="0"/>
          <w:numId w:val="33"/>
        </w:numPr>
        <w:spacing w:after="157" w:line="259" w:lineRule="auto"/>
        <w:ind w:right="750" w:hanging="139"/>
      </w:pPr>
      <w:r>
        <w:rPr>
          <w:color w:val="222222"/>
        </w:rPr>
        <w:t xml:space="preserve">подшкала «Скованность» от 0 до 8 баллов; </w:t>
      </w:r>
    </w:p>
    <w:p w:rsidR="000A3B51" w:rsidRDefault="003D0A08">
      <w:pPr>
        <w:numPr>
          <w:ilvl w:val="0"/>
          <w:numId w:val="33"/>
        </w:numPr>
        <w:spacing w:after="183" w:line="259" w:lineRule="auto"/>
        <w:ind w:right="750" w:hanging="139"/>
      </w:pPr>
      <w:r>
        <w:rPr>
          <w:color w:val="222222"/>
        </w:rPr>
        <w:t xml:space="preserve">подшкала </w:t>
      </w:r>
      <w:r>
        <w:rPr>
          <w:color w:val="222222"/>
        </w:rPr>
        <w:t xml:space="preserve">«Функциональная недостаточность» от 0 до 68 баллов.  </w:t>
      </w:r>
    </w:p>
    <w:p w:rsidR="000A3B51" w:rsidRDefault="003D0A08">
      <w:pPr>
        <w:tabs>
          <w:tab w:val="center" w:pos="1123"/>
          <w:tab w:val="center" w:pos="3089"/>
        </w:tabs>
        <w:spacing w:after="119" w:line="259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color w:val="222222"/>
        </w:rPr>
        <w:t></w:t>
      </w:r>
      <w:r>
        <w:rPr>
          <w:rFonts w:ascii="Arial" w:eastAsia="Arial" w:hAnsi="Arial" w:cs="Arial"/>
          <w:color w:val="222222"/>
        </w:rPr>
        <w:t xml:space="preserve"> </w:t>
      </w:r>
      <w:r>
        <w:rPr>
          <w:rFonts w:ascii="Arial" w:eastAsia="Arial" w:hAnsi="Arial" w:cs="Arial"/>
          <w:color w:val="222222"/>
        </w:rPr>
        <w:tab/>
      </w:r>
      <w:r>
        <w:rPr>
          <w:color w:val="222222"/>
        </w:rPr>
        <w:t xml:space="preserve">при использовании ЧРШ: </w:t>
      </w:r>
    </w:p>
    <w:p w:rsidR="000A3B51" w:rsidRDefault="003D0A08">
      <w:pPr>
        <w:numPr>
          <w:ilvl w:val="0"/>
          <w:numId w:val="34"/>
        </w:numPr>
        <w:spacing w:after="157" w:line="259" w:lineRule="auto"/>
        <w:ind w:right="750" w:firstLine="720"/>
      </w:pPr>
      <w:r>
        <w:rPr>
          <w:color w:val="222222"/>
        </w:rPr>
        <w:t xml:space="preserve">подшкала «Боль» от 0 до 50 см или баллов; </w:t>
      </w:r>
    </w:p>
    <w:p w:rsidR="000A3B51" w:rsidRDefault="003D0A08">
      <w:pPr>
        <w:numPr>
          <w:ilvl w:val="0"/>
          <w:numId w:val="34"/>
        </w:numPr>
        <w:spacing w:after="157" w:line="259" w:lineRule="auto"/>
        <w:ind w:right="750" w:firstLine="720"/>
      </w:pPr>
      <w:r>
        <w:rPr>
          <w:color w:val="222222"/>
        </w:rPr>
        <w:t xml:space="preserve">подшкала «Скованность» от 0 до 20 см или баллов; </w:t>
      </w:r>
    </w:p>
    <w:p w:rsidR="000A3B51" w:rsidRDefault="003D0A08">
      <w:pPr>
        <w:numPr>
          <w:ilvl w:val="0"/>
          <w:numId w:val="34"/>
        </w:numPr>
        <w:spacing w:after="260" w:line="377" w:lineRule="auto"/>
        <w:ind w:right="750" w:firstLine="720"/>
      </w:pPr>
      <w:r>
        <w:rPr>
          <w:color w:val="222222"/>
        </w:rPr>
        <w:t xml:space="preserve">подшкала «Функциональная недостаточность» от 0 до 170 см или баллов. </w:t>
      </w:r>
      <w:r>
        <w:rPr>
          <w:b/>
          <w:color w:val="1A1A1A"/>
        </w:rPr>
        <w:t>Пояснения:</w:t>
      </w:r>
      <w:r>
        <w:rPr>
          <w:color w:val="FF0000"/>
        </w:rPr>
        <w:t xml:space="preserve"> </w:t>
      </w:r>
      <w:r>
        <w:t>пациент самостоятельно проводит оценку состояния целевого коленного или тазобедренного сустава в течение последних суток в каждой из категорий («боль», «скованность», «затруднения повседневной деятельности») индекса WOMAC. Категория «боль» содержит 5 вопро</w:t>
      </w:r>
      <w:r>
        <w:t>сов, «скованность» - 2 вопроса и «затруднения повседневной деятельности – 17 вопросов. На каждый вопрос пациент отвечает, например, с помощью ВАШ. В этом случае пациент должен сделать на прямой линии ВАШ (100 мм) отметку, соответствующую интенсивности испы</w:t>
      </w:r>
      <w:r>
        <w:t xml:space="preserve">тываемых им боли, скованности и затруднения в повседневной деятельности в анализируемом суставе. Расстояние между началом линии (0) и сделанной пациентом отметкой измеряют в миллиметрах. Далее врач проводит оценку полученных результатов путем суммирования </w:t>
      </w:r>
      <w:r>
        <w:t xml:space="preserve">показателей (в мм) в каждой категории (WOMAC боль, WOMAC скованность и WOMAC функциональная недостаточность) и в целом, получая значения суммарного индекса WOMAC.  </w:t>
      </w:r>
    </w:p>
    <w:p w:rsidR="000A3B51" w:rsidRDefault="003D0A08">
      <w:pPr>
        <w:spacing w:after="30" w:line="365" w:lineRule="auto"/>
        <w:ind w:left="345" w:right="744" w:firstLine="708"/>
      </w:pPr>
      <w:r>
        <w:rPr>
          <w:rFonts w:ascii="Cambria" w:eastAsia="Cambria" w:hAnsi="Cambria" w:cs="Cambria"/>
          <w:b/>
          <w:sz w:val="28"/>
          <w:u w:val="single" w:color="000000"/>
        </w:rPr>
        <w:t xml:space="preserve">Приложение Г4. Шкала оценки </w:t>
      </w:r>
      <w:r>
        <w:rPr>
          <w:b/>
          <w:sz w:val="28"/>
          <w:u w:val="single" w:color="000000"/>
        </w:rPr>
        <w:t>функционального состояния</w:t>
      </w:r>
      <w:r>
        <w:rPr>
          <w:b/>
          <w:sz w:val="28"/>
        </w:rPr>
        <w:t xml:space="preserve"> </w:t>
      </w:r>
      <w:r>
        <w:rPr>
          <w:b/>
          <w:sz w:val="28"/>
          <w:u w:val="single" w:color="000000"/>
        </w:rPr>
        <w:t>коленного сустава (КООS)</w:t>
      </w:r>
      <w:r>
        <w:rPr>
          <w:sz w:val="28"/>
          <w:u w:val="single" w:color="000000"/>
        </w:rPr>
        <w:t xml:space="preserve"> </w:t>
      </w:r>
      <w:r>
        <w:rPr>
          <w:b/>
          <w:sz w:val="28"/>
          <w:u w:val="single" w:color="000000"/>
        </w:rPr>
        <w:t>(The Knee in</w:t>
      </w:r>
      <w:r>
        <w:rPr>
          <w:b/>
          <w:sz w:val="28"/>
          <w:u w:val="single" w:color="000000"/>
        </w:rPr>
        <w:t>jury and Osteoarthritis Outcome</w:t>
      </w:r>
      <w:r>
        <w:rPr>
          <w:b/>
          <w:sz w:val="28"/>
        </w:rPr>
        <w:t xml:space="preserve"> </w:t>
      </w:r>
      <w:r>
        <w:rPr>
          <w:b/>
          <w:sz w:val="28"/>
          <w:u w:val="single" w:color="000000"/>
        </w:rPr>
        <w:t>Score).</w:t>
      </w:r>
      <w:r>
        <w:rPr>
          <w:sz w:val="28"/>
        </w:rPr>
        <w:t xml:space="preserve"> </w:t>
      </w:r>
    </w:p>
    <w:p w:rsidR="000A3B51" w:rsidRDefault="003D0A08">
      <w:pPr>
        <w:ind w:right="755"/>
      </w:pPr>
      <w:r>
        <w:rPr>
          <w:b/>
          <w:color w:val="1A1A1A"/>
        </w:rPr>
        <w:t>Название на русском языке</w:t>
      </w:r>
      <w:r>
        <w:rPr>
          <w:color w:val="1A1A1A"/>
        </w:rPr>
        <w:t>:</w:t>
      </w:r>
      <w:r>
        <w:rPr>
          <w:b/>
          <w:sz w:val="28"/>
        </w:rPr>
        <w:t xml:space="preserve"> </w:t>
      </w:r>
      <w:r>
        <w:t>Функциональное состояние коленного сустава</w:t>
      </w:r>
      <w:r>
        <w:rPr>
          <w:color w:val="0066FF"/>
        </w:rPr>
        <w:t xml:space="preserve"> </w:t>
      </w:r>
    </w:p>
    <w:p w:rsidR="000A3B51" w:rsidRDefault="003D0A08">
      <w:pPr>
        <w:spacing w:after="74"/>
        <w:ind w:right="755"/>
      </w:pPr>
      <w:r>
        <w:rPr>
          <w:b/>
          <w:color w:val="1A1A1A"/>
        </w:rPr>
        <w:t>Оригинальное название</w:t>
      </w:r>
      <w:r>
        <w:rPr>
          <w:color w:val="1A1A1A"/>
        </w:rPr>
        <w:t>:</w:t>
      </w:r>
      <w:r>
        <w:rPr>
          <w:b/>
          <w:sz w:val="28"/>
        </w:rPr>
        <w:t xml:space="preserve"> </w:t>
      </w:r>
      <w:r>
        <w:t>The Knee injury and Osteoarthritis Outcome Score</w:t>
      </w:r>
      <w:r>
        <w:rPr>
          <w:color w:val="1A1A1A"/>
        </w:rPr>
        <w:t xml:space="preserve"> </w:t>
      </w:r>
    </w:p>
    <w:p w:rsidR="000A3B51" w:rsidRDefault="003D0A08">
      <w:pPr>
        <w:spacing w:after="163" w:line="259" w:lineRule="auto"/>
        <w:ind w:left="360" w:right="0" w:firstLine="0"/>
        <w:jc w:val="left"/>
      </w:pPr>
      <w:r>
        <w:rPr>
          <w:b/>
          <w:color w:val="1A1A1A"/>
        </w:rPr>
        <w:t xml:space="preserve">Источник: </w:t>
      </w:r>
      <w:hyperlink r:id="rId45">
        <w:r>
          <w:rPr>
            <w:color w:val="0000FF"/>
            <w:u w:val="single" w:color="0000FF"/>
          </w:rPr>
          <w:t>https</w:t>
        </w:r>
      </w:hyperlink>
      <w:hyperlink r:id="rId46">
        <w:r>
          <w:rPr>
            <w:color w:val="0000FF"/>
            <w:u w:val="single" w:color="0000FF"/>
          </w:rPr>
          <w:t>://</w:t>
        </w:r>
      </w:hyperlink>
      <w:hyperlink r:id="rId47">
        <w:r>
          <w:rPr>
            <w:color w:val="0000FF"/>
            <w:u w:val="single" w:color="0000FF"/>
          </w:rPr>
          <w:t>orthotoolkit</w:t>
        </w:r>
      </w:hyperlink>
      <w:hyperlink r:id="rId48">
        <w:r>
          <w:rPr>
            <w:color w:val="0000FF"/>
            <w:u w:val="single" w:color="0000FF"/>
          </w:rPr>
          <w:t>.</w:t>
        </w:r>
      </w:hyperlink>
      <w:hyperlink r:id="rId49">
        <w:r>
          <w:rPr>
            <w:color w:val="0000FF"/>
            <w:u w:val="single" w:color="0000FF"/>
          </w:rPr>
          <w:t>com</w:t>
        </w:r>
      </w:hyperlink>
      <w:hyperlink r:id="rId50">
        <w:r>
          <w:rPr>
            <w:color w:val="0000FF"/>
            <w:u w:val="single" w:color="0000FF"/>
          </w:rPr>
          <w:t>/</w:t>
        </w:r>
      </w:hyperlink>
      <w:hyperlink r:id="rId51">
        <w:r>
          <w:rPr>
            <w:color w:val="0000FF"/>
            <w:u w:val="single" w:color="0000FF"/>
          </w:rPr>
          <w:t>koos</w:t>
        </w:r>
      </w:hyperlink>
      <w:hyperlink r:id="rId52">
        <w:r>
          <w:rPr>
            <w:color w:val="0000FF"/>
            <w:u w:val="single" w:color="0000FF"/>
          </w:rPr>
          <w:t>/[497</w:t>
        </w:r>
      </w:hyperlink>
      <w:hyperlink r:id="rId53">
        <w:r>
          <w:rPr>
            <w:color w:val="0000FF"/>
            <w:u w:val="single" w:color="0000FF"/>
          </w:rPr>
          <w:t>[493,4</w:t>
        </w:r>
      </w:hyperlink>
      <w:hyperlink r:id="rId54">
        <w:r>
          <w:t>[</w:t>
        </w:r>
      </w:hyperlink>
      <w:r>
        <w:t xml:space="preserve">492,493,514] </w:t>
      </w:r>
    </w:p>
    <w:p w:rsidR="000A3B51" w:rsidRDefault="003D0A08">
      <w:pPr>
        <w:spacing w:after="148" w:line="259" w:lineRule="auto"/>
        <w:ind w:left="355" w:right="0"/>
        <w:jc w:val="left"/>
      </w:pPr>
      <w:r>
        <w:rPr>
          <w:b/>
          <w:color w:val="1A1A1A"/>
        </w:rPr>
        <w:t xml:space="preserve">Тип (подчеркнуть): </w:t>
      </w:r>
    </w:p>
    <w:p w:rsidR="000A3B51" w:rsidRDefault="003D0A08">
      <w:pPr>
        <w:numPr>
          <w:ilvl w:val="0"/>
          <w:numId w:val="34"/>
        </w:numPr>
        <w:spacing w:after="162" w:line="259" w:lineRule="auto"/>
        <w:ind w:right="750" w:firstLine="720"/>
      </w:pPr>
      <w:r>
        <w:rPr>
          <w:color w:val="1A1A1A"/>
          <w:u w:val="single" w:color="1A1A1A"/>
        </w:rPr>
        <w:t>шкала оценки</w:t>
      </w:r>
      <w:r>
        <w:rPr>
          <w:color w:val="1A1A1A"/>
        </w:rPr>
        <w:t xml:space="preserve"> </w:t>
      </w:r>
    </w:p>
    <w:p w:rsidR="000A3B51" w:rsidRDefault="003D0A08">
      <w:pPr>
        <w:spacing w:after="4" w:line="396" w:lineRule="auto"/>
        <w:ind w:left="355" w:right="753"/>
      </w:pPr>
      <w:r>
        <w:rPr>
          <w:b/>
          <w:color w:val="1A1A1A"/>
        </w:rPr>
        <w:t>Назнач</w:t>
      </w:r>
      <w:r>
        <w:rPr>
          <w:b/>
          <w:color w:val="1A1A1A"/>
        </w:rPr>
        <w:t>ение:</w:t>
      </w:r>
      <w:r>
        <w:rPr>
          <w:color w:val="1A1A1A"/>
        </w:rPr>
        <w:t xml:space="preserve"> специально разработанный инструмент, разработанный для оценки мнения пациента о своем коленном суставе и связанных с ним проблемах.  Оценивает</w:t>
      </w:r>
      <w:r>
        <w:t xml:space="preserve"> у больного</w:t>
      </w:r>
      <w:r>
        <w:rPr>
          <w:color w:val="1A1A1A"/>
        </w:rPr>
        <w:t xml:space="preserve"> боль, симптомы, функцию коленного сустава, качество жизни и активность пациента в повседневной и</w:t>
      </w:r>
      <w:r>
        <w:rPr>
          <w:color w:val="1A1A1A"/>
        </w:rPr>
        <w:t xml:space="preserve"> спортивной жизни. </w:t>
      </w:r>
    </w:p>
    <w:p w:rsidR="000A3B51" w:rsidRDefault="003D0A08">
      <w:pPr>
        <w:spacing w:after="164" w:line="259" w:lineRule="auto"/>
        <w:ind w:left="355" w:right="0"/>
        <w:jc w:val="left"/>
      </w:pPr>
      <w:r>
        <w:rPr>
          <w:b/>
          <w:color w:val="1A1A1A"/>
        </w:rPr>
        <w:t xml:space="preserve">Содержание (шаблон): </w:t>
      </w:r>
    </w:p>
    <w:p w:rsidR="000A3B51" w:rsidRDefault="003D0A08">
      <w:pPr>
        <w:spacing w:after="108" w:line="259" w:lineRule="auto"/>
        <w:ind w:left="355" w:right="0"/>
        <w:jc w:val="left"/>
      </w:pPr>
      <w:r>
        <w:rPr>
          <w:b/>
          <w:color w:val="1A1A1A"/>
        </w:rPr>
        <w:t xml:space="preserve">Симптомы </w:t>
      </w:r>
    </w:p>
    <w:p w:rsidR="000A3B51" w:rsidRDefault="003D0A08">
      <w:pPr>
        <w:spacing w:after="4" w:line="259" w:lineRule="auto"/>
        <w:ind w:left="355" w:right="753"/>
      </w:pPr>
      <w:r>
        <w:rPr>
          <w:color w:val="1A1A1A"/>
        </w:rPr>
        <w:t xml:space="preserve">При ответе на эти вопросы больной должен обобщить свои ощущения, полученные в течение прошедшей недели. </w:t>
      </w:r>
    </w:p>
    <w:tbl>
      <w:tblPr>
        <w:tblStyle w:val="TableGrid"/>
        <w:tblW w:w="9350" w:type="dxa"/>
        <w:tblInd w:w="367" w:type="dxa"/>
        <w:tblCellMar>
          <w:top w:w="5" w:type="dxa"/>
          <w:left w:w="9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6"/>
        <w:gridCol w:w="3805"/>
        <w:gridCol w:w="16"/>
        <w:gridCol w:w="1060"/>
        <w:gridCol w:w="16"/>
        <w:gridCol w:w="1035"/>
        <w:gridCol w:w="16"/>
        <w:gridCol w:w="1117"/>
        <w:gridCol w:w="16"/>
        <w:gridCol w:w="1120"/>
        <w:gridCol w:w="16"/>
        <w:gridCol w:w="1117"/>
        <w:gridCol w:w="16"/>
      </w:tblGrid>
      <w:tr w:rsidR="000A3B51">
        <w:trPr>
          <w:gridBefore w:val="1"/>
          <w:wBefore w:w="16" w:type="dxa"/>
          <w:trHeight w:val="430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color w:val="1A1A1A"/>
              </w:rPr>
              <w:t xml:space="preserve">Никогда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</w:pPr>
            <w:r>
              <w:rPr>
                <w:color w:val="1A1A1A"/>
              </w:rPr>
              <w:t xml:space="preserve">Изредка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Иногда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1A1A1A"/>
              </w:rPr>
              <w:t xml:space="preserve">Часто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Всегда </w:t>
            </w:r>
          </w:p>
        </w:tc>
      </w:tr>
      <w:tr w:rsidR="000A3B51">
        <w:trPr>
          <w:gridBefore w:val="1"/>
          <w:wBefore w:w="16" w:type="dxa"/>
          <w:trHeight w:val="842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S1. Отечен ли Ваш коленный сустав?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98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72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1673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S2. Ощущаете ли Вы хруст, слышите ли щелчки или другие звуки при движениях в коленном суставе?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98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72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1256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S3. Бывают ли у Вас блокады коленного сустава в положении сгибания или разгибания?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98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72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430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Всегда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Часто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Иногда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1A1A1A"/>
              </w:rPr>
              <w:t xml:space="preserve">Изредка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color w:val="1A1A1A"/>
              </w:rPr>
              <w:t xml:space="preserve">Никогда </w:t>
            </w:r>
          </w:p>
        </w:tc>
      </w:tr>
      <w:tr w:rsidR="000A3B51">
        <w:trPr>
          <w:gridBefore w:val="1"/>
          <w:wBefore w:w="16" w:type="dxa"/>
          <w:trHeight w:val="1258"/>
        </w:trPr>
        <w:tc>
          <w:tcPr>
            <w:tcW w:w="38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115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S4. Полностью ли Вы 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выпрямляете/разгибаете коленный сустав? </w:t>
            </w:r>
          </w:p>
        </w:tc>
        <w:tc>
          <w:tcPr>
            <w:tcW w:w="10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98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5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72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gridAfter w:val="1"/>
          <w:wAfter w:w="16" w:type="dxa"/>
          <w:trHeight w:val="840"/>
        </w:trPr>
        <w:tc>
          <w:tcPr>
            <w:tcW w:w="3821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1A1A1A"/>
              </w:rPr>
              <w:t xml:space="preserve">S5. Полностью ли Вы сгибаете коленный сустав? </w:t>
            </w:r>
          </w:p>
        </w:tc>
        <w:tc>
          <w:tcPr>
            <w:tcW w:w="1076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26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051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5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gridAfter w:val="1"/>
          <w:wAfter w:w="16" w:type="dxa"/>
          <w:trHeight w:val="418"/>
        </w:trPr>
        <w:tc>
          <w:tcPr>
            <w:tcW w:w="9350" w:type="dxa"/>
            <w:gridSpan w:val="12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color w:val="1A1A1A"/>
              </w:rPr>
              <w:t>Тугоподвижность</w:t>
            </w:r>
            <w:r>
              <w:rPr>
                <w:color w:val="1A1A1A"/>
              </w:rPr>
              <w:t xml:space="preserve"> </w:t>
            </w:r>
          </w:p>
        </w:tc>
      </w:tr>
    </w:tbl>
    <w:p w:rsidR="000A3B51" w:rsidRDefault="003D0A08">
      <w:pPr>
        <w:spacing w:after="4" w:line="259" w:lineRule="auto"/>
        <w:ind w:left="355" w:right="753"/>
      </w:pPr>
      <w:r>
        <w:rPr>
          <w:color w:val="1A1A1A"/>
        </w:rPr>
        <w:t xml:space="preserve">Следующие вопросы касаются оценки тугоподвижности в коленном суставе, которую больной испытывал в течение последней недели. Тугоподвижность это ощущение ограничения объема или замедления движений в коленном суставе. </w:t>
      </w:r>
    </w:p>
    <w:tbl>
      <w:tblPr>
        <w:tblStyle w:val="TableGrid"/>
        <w:tblW w:w="9376" w:type="dxa"/>
        <w:tblInd w:w="351" w:type="dxa"/>
        <w:tblCellMar>
          <w:top w:w="5" w:type="dxa"/>
          <w:left w:w="103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3838"/>
        <w:gridCol w:w="1136"/>
        <w:gridCol w:w="991"/>
        <w:gridCol w:w="1133"/>
        <w:gridCol w:w="1136"/>
        <w:gridCol w:w="1143"/>
      </w:tblGrid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Отсутст вует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Лёгкая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Умеренная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</w:pPr>
            <w:r>
              <w:rPr>
                <w:color w:val="1A1A1A"/>
              </w:rPr>
              <w:t>Сил</w:t>
            </w:r>
            <w:r>
              <w:rPr>
                <w:color w:val="1A1A1A"/>
              </w:rPr>
              <w:t xml:space="preserve">ьная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Очень сильная </w:t>
            </w:r>
          </w:p>
        </w:tc>
      </w:tr>
      <w:tr w:rsidR="000A3B51">
        <w:trPr>
          <w:trHeight w:val="843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S6. Насколько выражена утренняя скованность коленного сустава?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color w:val="1A1A1A"/>
              </w:rPr>
              <w:t xml:space="preserve">Никогда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Изредка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Иногда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1A1A1A"/>
              </w:rPr>
              <w:t xml:space="preserve">Часто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Всегда </w:t>
            </w:r>
          </w:p>
        </w:tc>
      </w:tr>
      <w:tr w:rsidR="000A3B51">
        <w:trPr>
          <w:trHeight w:val="2087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S7. Как Вы оцениваете выраженность тугоподвижности коленного сустава после сидения, лежания или кратковременного отдыха в вечерние часы?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6"/>
        </w:trPr>
        <w:tc>
          <w:tcPr>
            <w:tcW w:w="9376" w:type="dxa"/>
            <w:gridSpan w:val="6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614" w:right="0" w:firstLine="0"/>
              <w:jc w:val="left"/>
            </w:pPr>
            <w:r>
              <w:rPr>
                <w:color w:val="1A1A1A"/>
              </w:rPr>
              <w:t xml:space="preserve"> </w:t>
            </w:r>
            <w:r>
              <w:rPr>
                <w:b/>
                <w:color w:val="1A1A1A"/>
              </w:rPr>
              <w:t>Боль</w:t>
            </w:r>
            <w:r>
              <w:rPr>
                <w:color w:val="1A1A1A"/>
              </w:rPr>
              <w:t xml:space="preserve"> </w:t>
            </w:r>
          </w:p>
        </w:tc>
      </w:tr>
      <w:tr w:rsidR="000A3B51">
        <w:trPr>
          <w:trHeight w:val="845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27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color w:val="1A1A1A"/>
              </w:rPr>
              <w:t xml:space="preserve">Никогда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Ежемесячно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Еженедельно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151" w:line="259" w:lineRule="auto"/>
              <w:ind w:left="3" w:right="0" w:firstLine="0"/>
              <w:jc w:val="left"/>
            </w:pPr>
            <w:r>
              <w:rPr>
                <w:color w:val="1A1A1A"/>
              </w:rPr>
              <w:t>Ежеднев</w:t>
            </w:r>
          </w:p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1A1A1A"/>
              </w:rPr>
              <w:t xml:space="preserve">но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Постоян но </w:t>
            </w:r>
          </w:p>
        </w:tc>
      </w:tr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29" w:firstLine="0"/>
              <w:jc w:val="left"/>
            </w:pPr>
            <w:r>
              <w:rPr>
                <w:color w:val="1A1A1A"/>
              </w:rPr>
              <w:t xml:space="preserve">P1. Как часто вы испытываете боль в коленном суставе?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9376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</w:pPr>
            <w:r>
              <w:rPr>
                <w:color w:val="1A1A1A"/>
              </w:rPr>
              <w:t xml:space="preserve">Насколько сильной была боль в коленном суставе в течение прошедшей недели при выполнении следующих движений? </w:t>
            </w:r>
          </w:p>
        </w:tc>
      </w:tr>
      <w:tr w:rsidR="000A3B51">
        <w:trPr>
          <w:trHeight w:val="845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Отсутст вует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Легкая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Умеренная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</w:pPr>
            <w:r>
              <w:rPr>
                <w:color w:val="1A1A1A"/>
              </w:rPr>
              <w:t xml:space="preserve">Сильная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Чрезвычайная </w:t>
            </w:r>
          </w:p>
        </w:tc>
      </w:tr>
      <w:tr w:rsidR="000A3B51">
        <w:trPr>
          <w:trHeight w:val="843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822" w:firstLine="0"/>
              <w:jc w:val="left"/>
            </w:pPr>
            <w:r>
              <w:rPr>
                <w:color w:val="1A1A1A"/>
              </w:rPr>
              <w:t xml:space="preserve">P2. Вращение/ </w:t>
            </w:r>
            <w:r>
              <w:rPr>
                <w:color w:val="1A1A1A"/>
              </w:rPr>
              <w:t xml:space="preserve">скручивание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P3. Полное разгибание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7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P4. Полное сгибание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P5. Ходьба по ровной поверхности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9" w:right="0" w:firstLine="0"/>
              <w:jc w:val="left"/>
            </w:pPr>
            <w:r>
              <w:rPr>
                <w:color w:val="1A1A1A"/>
              </w:rPr>
              <w:t xml:space="preserve">P6. Ходьба по лестнице (подъем и спуск)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9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3"/>
        </w:trPr>
        <w:tc>
          <w:tcPr>
            <w:tcW w:w="383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P7. Ночью в кровати </w:t>
            </w:r>
          </w:p>
        </w:tc>
        <w:tc>
          <w:tcPr>
            <w:tcW w:w="11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P8. Сидение или лежание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4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P9. Стояние на месте на выпрямленных ногах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9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689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1"/>
        </w:trPr>
        <w:tc>
          <w:tcPr>
            <w:tcW w:w="9376" w:type="dxa"/>
            <w:gridSpan w:val="6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595" w:right="0" w:firstLine="0"/>
              <w:jc w:val="left"/>
            </w:pPr>
            <w:r>
              <w:rPr>
                <w:b/>
                <w:color w:val="1A1A1A"/>
              </w:rPr>
              <w:t>Ежедневная активность</w:t>
            </w:r>
            <w:r>
              <w:rPr>
                <w:color w:val="1A1A1A"/>
              </w:rPr>
              <w:t xml:space="preserve"> </w:t>
            </w:r>
          </w:p>
        </w:tc>
      </w:tr>
    </w:tbl>
    <w:p w:rsidR="000A3B51" w:rsidRDefault="003D0A08">
      <w:pPr>
        <w:spacing w:after="4" w:line="259" w:lineRule="auto"/>
        <w:ind w:left="355" w:right="753"/>
      </w:pPr>
      <w:r>
        <w:rPr>
          <w:color w:val="1A1A1A"/>
        </w:rPr>
        <w:t xml:space="preserve">Следующие вопросы касаются физической активности больного, а именно способности к передвижению и самообслуживанию. Для каждого из приведенных вопросов больной должен отметить степень выраженности затруднений, которые испытывал в течение прошедшей недели в </w:t>
      </w:r>
      <w:r>
        <w:rPr>
          <w:color w:val="1A1A1A"/>
        </w:rPr>
        <w:t xml:space="preserve">связи с заболеванием коленного сустава. </w:t>
      </w:r>
    </w:p>
    <w:tbl>
      <w:tblPr>
        <w:tblStyle w:val="TableGrid"/>
        <w:tblW w:w="9479" w:type="dxa"/>
        <w:tblInd w:w="367" w:type="dxa"/>
        <w:tblCellMar>
          <w:top w:w="12" w:type="dxa"/>
          <w:left w:w="103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3821"/>
        <w:gridCol w:w="1136"/>
        <w:gridCol w:w="991"/>
        <w:gridCol w:w="1133"/>
        <w:gridCol w:w="1136"/>
        <w:gridCol w:w="1262"/>
      </w:tblGrid>
      <w:tr w:rsidR="000A3B51">
        <w:trPr>
          <w:trHeight w:val="843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Отсутст вует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Лёгкая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Умеренная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</w:pPr>
            <w:r>
              <w:rPr>
                <w:color w:val="1A1A1A"/>
              </w:rPr>
              <w:t xml:space="preserve">Сильная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1A1A1A"/>
              </w:rPr>
              <w:t xml:space="preserve">Чрезвычайная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A1. Спуск по лестнице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7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A2. Подъем по лестнице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A3. Вставание после сидения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A4. Стояние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A5. Наклон к полу/подъем предметов с пола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3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32" w:firstLine="0"/>
              <w:jc w:val="left"/>
            </w:pPr>
            <w:r>
              <w:rPr>
                <w:color w:val="1A1A1A"/>
              </w:rPr>
              <w:t xml:space="preserve">A6. Ходьба по ровной поверхности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A7. Усаживание в машину/выход из машины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A8. Поход по магазинам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A9. Надевание носков/чулок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A10. Вставание с кровати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7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A11. Снятие носков/чулок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5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45" w:firstLine="0"/>
              <w:jc w:val="left"/>
            </w:pPr>
            <w:r>
              <w:rPr>
                <w:color w:val="1A1A1A"/>
              </w:rPr>
              <w:t xml:space="preserve">A12. Лежание и переворачивание в кровати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3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368" w:firstLine="0"/>
              <w:jc w:val="left"/>
            </w:pPr>
            <w:r>
              <w:rPr>
                <w:color w:val="1A1A1A"/>
              </w:rPr>
              <w:t xml:space="preserve">A13. Вхождение в ванну/ выход из ванны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1A1A1A"/>
              </w:rPr>
              <w:t xml:space="preserve">A14. Положение сидя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842"/>
        </w:trPr>
        <w:tc>
          <w:tcPr>
            <w:tcW w:w="3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</w:pPr>
            <w:r>
              <w:rPr>
                <w:color w:val="1A1A1A"/>
              </w:rPr>
              <w:t xml:space="preserve">A15. Усаживание на унитаз/вставание с унитаза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7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</w:tbl>
    <w:p w:rsidR="000A3B51" w:rsidRDefault="003D0A08">
      <w:pPr>
        <w:spacing w:after="52" w:line="259" w:lineRule="auto"/>
        <w:ind w:left="331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046673" cy="2123236"/>
                <wp:effectExtent l="0" t="0" r="0" b="0"/>
                <wp:docPr id="225361" name="Group 2253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6673" cy="2123236"/>
                          <a:chOff x="0" y="0"/>
                          <a:chExt cx="6046673" cy="2123236"/>
                        </a:xfrm>
                      </wpg:grpSpPr>
                      <wps:wsp>
                        <wps:cNvPr id="27556" name="Rectangle 27556"/>
                        <wps:cNvSpPr/>
                        <wps:spPr>
                          <a:xfrm>
                            <a:off x="89916" y="33067"/>
                            <a:ext cx="236237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A16. Выполнение тяжёлой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58" name="Rectangle 27558"/>
                        <wps:cNvSpPr/>
                        <wps:spPr>
                          <a:xfrm>
                            <a:off x="89916" y="296973"/>
                            <a:ext cx="288491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домашней работы (перемещение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0" name="Rectangle 27560"/>
                        <wps:cNvSpPr/>
                        <wps:spPr>
                          <a:xfrm>
                            <a:off x="89916" y="559101"/>
                            <a:ext cx="275194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тяжёлых коробок, мытье полов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2" name="Rectangle 27562"/>
                        <wps:cNvSpPr/>
                        <wps:spPr>
                          <a:xfrm>
                            <a:off x="89916" y="822753"/>
                            <a:ext cx="36119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>т.д.)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3" name="Rectangle 27563"/>
                        <wps:cNvSpPr/>
                        <wps:spPr>
                          <a:xfrm>
                            <a:off x="361137" y="79263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6" name="Rectangle 27566"/>
                        <wps:cNvSpPr/>
                        <wps:spPr>
                          <a:xfrm>
                            <a:off x="2964764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67" name="Rectangle 27567"/>
                        <wps:cNvSpPr/>
                        <wps:spPr>
                          <a:xfrm>
                            <a:off x="3002864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0" name="Rectangle 27570"/>
                        <wps:cNvSpPr/>
                        <wps:spPr>
                          <a:xfrm>
                            <a:off x="3685616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1" name="Rectangle 27571"/>
                        <wps:cNvSpPr/>
                        <wps:spPr>
                          <a:xfrm>
                            <a:off x="3723716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4" name="Rectangle 27574"/>
                        <wps:cNvSpPr/>
                        <wps:spPr>
                          <a:xfrm>
                            <a:off x="4315028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5" name="Rectangle 27575"/>
                        <wps:cNvSpPr/>
                        <wps:spPr>
                          <a:xfrm>
                            <a:off x="4353128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8" name="Rectangle 27578"/>
                        <wps:cNvSpPr/>
                        <wps:spPr>
                          <a:xfrm>
                            <a:off x="5036261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79" name="Rectangle 27579"/>
                        <wps:cNvSpPr/>
                        <wps:spPr>
                          <a:xfrm>
                            <a:off x="5074361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82" name="Rectangle 27582"/>
                        <wps:cNvSpPr/>
                        <wps:spPr>
                          <a:xfrm>
                            <a:off x="5755589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83" name="Rectangle 27583"/>
                        <wps:cNvSpPr/>
                        <wps:spPr>
                          <a:xfrm>
                            <a:off x="5793689" y="29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0993" name="Shape 230993"/>
                        <wps:cNvSpPr/>
                        <wps:spPr>
                          <a:xfrm>
                            <a:off x="18288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4" name="Shape 230994"/>
                        <wps:cNvSpPr/>
                        <wps:spPr>
                          <a:xfrm>
                            <a:off x="2444826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5" name="Shape 230995"/>
                        <wps:cNvSpPr/>
                        <wps:spPr>
                          <a:xfrm>
                            <a:off x="3165932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6" name="Shape 230996"/>
                        <wps:cNvSpPr/>
                        <wps:spPr>
                          <a:xfrm>
                            <a:off x="3795344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7" name="Shape 230997"/>
                        <wps:cNvSpPr/>
                        <wps:spPr>
                          <a:xfrm>
                            <a:off x="4514672" y="0"/>
                            <a:ext cx="9449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9" h="1051865">
                                <a:moveTo>
                                  <a:pt x="0" y="0"/>
                                </a:moveTo>
                                <a:lnTo>
                                  <a:pt x="9449" y="0"/>
                                </a:lnTo>
                                <a:lnTo>
                                  <a:pt x="9449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8" name="Shape 230998"/>
                        <wps:cNvSpPr/>
                        <wps:spPr>
                          <a:xfrm>
                            <a:off x="5235905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0999" name="Shape 230999"/>
                        <wps:cNvSpPr/>
                        <wps:spPr>
                          <a:xfrm>
                            <a:off x="6037529" y="0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593" name="Rectangle 27593"/>
                        <wps:cNvSpPr/>
                        <wps:spPr>
                          <a:xfrm>
                            <a:off x="89916" y="1095549"/>
                            <a:ext cx="222231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A17. Выполнение лёгкой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95" name="Rectangle 27595"/>
                        <wps:cNvSpPr/>
                        <wps:spPr>
                          <a:xfrm>
                            <a:off x="89916" y="1357677"/>
                            <a:ext cx="301281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домашней работы (приготовление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97" name="Rectangle 27597"/>
                        <wps:cNvSpPr/>
                        <wps:spPr>
                          <a:xfrm>
                            <a:off x="89916" y="1621329"/>
                            <a:ext cx="259101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>пищи, вытирание пыли и т.п.)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98" name="Rectangle 27598"/>
                        <wps:cNvSpPr/>
                        <wps:spPr>
                          <a:xfrm>
                            <a:off x="2037918" y="159120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1" name="Rectangle 27601"/>
                        <wps:cNvSpPr/>
                        <wps:spPr>
                          <a:xfrm>
                            <a:off x="2964764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2" name="Rectangle 27602"/>
                        <wps:cNvSpPr/>
                        <wps:spPr>
                          <a:xfrm>
                            <a:off x="3002864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5" name="Rectangle 27605"/>
                        <wps:cNvSpPr/>
                        <wps:spPr>
                          <a:xfrm>
                            <a:off x="3685616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6" name="Rectangle 27606"/>
                        <wps:cNvSpPr/>
                        <wps:spPr>
                          <a:xfrm>
                            <a:off x="3723716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9" name="Rectangle 27609"/>
                        <wps:cNvSpPr/>
                        <wps:spPr>
                          <a:xfrm>
                            <a:off x="4315028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0" name="Rectangle 27610"/>
                        <wps:cNvSpPr/>
                        <wps:spPr>
                          <a:xfrm>
                            <a:off x="4353128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3" name="Rectangle 27613"/>
                        <wps:cNvSpPr/>
                        <wps:spPr>
                          <a:xfrm>
                            <a:off x="5036261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4" name="Rectangle 27614"/>
                        <wps:cNvSpPr/>
                        <wps:spPr>
                          <a:xfrm>
                            <a:off x="5074361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7" name="Rectangle 27617"/>
                        <wps:cNvSpPr/>
                        <wps:spPr>
                          <a:xfrm>
                            <a:off x="5755589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8" name="Rectangle 27618"/>
                        <wps:cNvSpPr/>
                        <wps:spPr>
                          <a:xfrm>
                            <a:off x="5793689" y="10654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1000" name="Shape 231000"/>
                        <wps:cNvSpPr/>
                        <wps:spPr>
                          <a:xfrm>
                            <a:off x="18288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1" name="Shape 231001"/>
                        <wps:cNvSpPr/>
                        <wps:spPr>
                          <a:xfrm>
                            <a:off x="27432" y="1051865"/>
                            <a:ext cx="24173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7318" h="9144">
                                <a:moveTo>
                                  <a:pt x="0" y="0"/>
                                </a:moveTo>
                                <a:lnTo>
                                  <a:pt x="2417318" y="0"/>
                                </a:lnTo>
                                <a:lnTo>
                                  <a:pt x="24173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2" name="Shape 231002"/>
                        <wps:cNvSpPr/>
                        <wps:spPr>
                          <a:xfrm>
                            <a:off x="2444826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3" name="Shape 231003"/>
                        <wps:cNvSpPr/>
                        <wps:spPr>
                          <a:xfrm>
                            <a:off x="2453970" y="1051865"/>
                            <a:ext cx="7120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013" h="9144">
                                <a:moveTo>
                                  <a:pt x="0" y="0"/>
                                </a:moveTo>
                                <a:lnTo>
                                  <a:pt x="712013" y="0"/>
                                </a:lnTo>
                                <a:lnTo>
                                  <a:pt x="7120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4" name="Shape 231004"/>
                        <wps:cNvSpPr/>
                        <wps:spPr>
                          <a:xfrm>
                            <a:off x="3165932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5" name="Shape 231005"/>
                        <wps:cNvSpPr/>
                        <wps:spPr>
                          <a:xfrm>
                            <a:off x="3175076" y="1051865"/>
                            <a:ext cx="6202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68" h="9144">
                                <a:moveTo>
                                  <a:pt x="0" y="0"/>
                                </a:moveTo>
                                <a:lnTo>
                                  <a:pt x="620268" y="0"/>
                                </a:lnTo>
                                <a:lnTo>
                                  <a:pt x="6202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6" name="Shape 231006"/>
                        <wps:cNvSpPr/>
                        <wps:spPr>
                          <a:xfrm>
                            <a:off x="3795344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7" name="Shape 231007"/>
                        <wps:cNvSpPr/>
                        <wps:spPr>
                          <a:xfrm>
                            <a:off x="3804488" y="1051865"/>
                            <a:ext cx="7101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184" h="9144">
                                <a:moveTo>
                                  <a:pt x="0" y="0"/>
                                </a:moveTo>
                                <a:lnTo>
                                  <a:pt x="710184" y="0"/>
                                </a:lnTo>
                                <a:lnTo>
                                  <a:pt x="7101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8" name="Shape 231008"/>
                        <wps:cNvSpPr/>
                        <wps:spPr>
                          <a:xfrm>
                            <a:off x="4514672" y="1051865"/>
                            <a:ext cx="944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9" h="9144">
                                <a:moveTo>
                                  <a:pt x="0" y="0"/>
                                </a:moveTo>
                                <a:lnTo>
                                  <a:pt x="9449" y="0"/>
                                </a:lnTo>
                                <a:lnTo>
                                  <a:pt x="944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09" name="Shape 231009"/>
                        <wps:cNvSpPr/>
                        <wps:spPr>
                          <a:xfrm>
                            <a:off x="4524197" y="1051865"/>
                            <a:ext cx="7117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1708" h="9144">
                                <a:moveTo>
                                  <a:pt x="0" y="0"/>
                                </a:moveTo>
                                <a:lnTo>
                                  <a:pt x="711708" y="0"/>
                                </a:lnTo>
                                <a:lnTo>
                                  <a:pt x="7117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0" name="Shape 231010"/>
                        <wps:cNvSpPr/>
                        <wps:spPr>
                          <a:xfrm>
                            <a:off x="5235905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1" name="Shape 231011"/>
                        <wps:cNvSpPr/>
                        <wps:spPr>
                          <a:xfrm>
                            <a:off x="5245049" y="1051865"/>
                            <a:ext cx="79248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0" h="9144">
                                <a:moveTo>
                                  <a:pt x="0" y="0"/>
                                </a:moveTo>
                                <a:lnTo>
                                  <a:pt x="792480" y="0"/>
                                </a:lnTo>
                                <a:lnTo>
                                  <a:pt x="79248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2" name="Shape 231012"/>
                        <wps:cNvSpPr/>
                        <wps:spPr>
                          <a:xfrm>
                            <a:off x="6037529" y="105186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3" name="Shape 231013"/>
                        <wps:cNvSpPr/>
                        <wps:spPr>
                          <a:xfrm>
                            <a:off x="18288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4" name="Shape 231014"/>
                        <wps:cNvSpPr/>
                        <wps:spPr>
                          <a:xfrm>
                            <a:off x="18288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5" name="Shape 231015"/>
                        <wps:cNvSpPr/>
                        <wps:spPr>
                          <a:xfrm>
                            <a:off x="27432" y="1850441"/>
                            <a:ext cx="24173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7318" h="9144">
                                <a:moveTo>
                                  <a:pt x="0" y="0"/>
                                </a:moveTo>
                                <a:lnTo>
                                  <a:pt x="2417318" y="0"/>
                                </a:lnTo>
                                <a:lnTo>
                                  <a:pt x="24173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6" name="Shape 231016"/>
                        <wps:cNvSpPr/>
                        <wps:spPr>
                          <a:xfrm>
                            <a:off x="2444826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7" name="Shape 231017"/>
                        <wps:cNvSpPr/>
                        <wps:spPr>
                          <a:xfrm>
                            <a:off x="2444826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8" name="Shape 231018"/>
                        <wps:cNvSpPr/>
                        <wps:spPr>
                          <a:xfrm>
                            <a:off x="2453970" y="1850441"/>
                            <a:ext cx="7120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013" h="9144">
                                <a:moveTo>
                                  <a:pt x="0" y="0"/>
                                </a:moveTo>
                                <a:lnTo>
                                  <a:pt x="712013" y="0"/>
                                </a:lnTo>
                                <a:lnTo>
                                  <a:pt x="7120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19" name="Shape 231019"/>
                        <wps:cNvSpPr/>
                        <wps:spPr>
                          <a:xfrm>
                            <a:off x="3165932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0" name="Shape 231020"/>
                        <wps:cNvSpPr/>
                        <wps:spPr>
                          <a:xfrm>
                            <a:off x="3165932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1" name="Shape 231021"/>
                        <wps:cNvSpPr/>
                        <wps:spPr>
                          <a:xfrm>
                            <a:off x="3175076" y="1850441"/>
                            <a:ext cx="62026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68" h="9144">
                                <a:moveTo>
                                  <a:pt x="0" y="0"/>
                                </a:moveTo>
                                <a:lnTo>
                                  <a:pt x="620268" y="0"/>
                                </a:lnTo>
                                <a:lnTo>
                                  <a:pt x="62026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2" name="Shape 231022"/>
                        <wps:cNvSpPr/>
                        <wps:spPr>
                          <a:xfrm>
                            <a:off x="3795344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3" name="Shape 231023"/>
                        <wps:cNvSpPr/>
                        <wps:spPr>
                          <a:xfrm>
                            <a:off x="3795344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4" name="Shape 231024"/>
                        <wps:cNvSpPr/>
                        <wps:spPr>
                          <a:xfrm>
                            <a:off x="3804488" y="1850441"/>
                            <a:ext cx="7101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184" h="9144">
                                <a:moveTo>
                                  <a:pt x="0" y="0"/>
                                </a:moveTo>
                                <a:lnTo>
                                  <a:pt x="710184" y="0"/>
                                </a:lnTo>
                                <a:lnTo>
                                  <a:pt x="7101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5" name="Shape 231025"/>
                        <wps:cNvSpPr/>
                        <wps:spPr>
                          <a:xfrm>
                            <a:off x="4514672" y="1061009"/>
                            <a:ext cx="9449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9" h="789432">
                                <a:moveTo>
                                  <a:pt x="0" y="0"/>
                                </a:moveTo>
                                <a:lnTo>
                                  <a:pt x="9449" y="0"/>
                                </a:lnTo>
                                <a:lnTo>
                                  <a:pt x="9449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6" name="Shape 231026"/>
                        <wps:cNvSpPr/>
                        <wps:spPr>
                          <a:xfrm>
                            <a:off x="4514672" y="1850441"/>
                            <a:ext cx="944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9" h="9144">
                                <a:moveTo>
                                  <a:pt x="0" y="0"/>
                                </a:moveTo>
                                <a:lnTo>
                                  <a:pt x="9449" y="0"/>
                                </a:lnTo>
                                <a:lnTo>
                                  <a:pt x="944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7" name="Shape 231027"/>
                        <wps:cNvSpPr/>
                        <wps:spPr>
                          <a:xfrm>
                            <a:off x="4524197" y="1850441"/>
                            <a:ext cx="7117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1708" h="9144">
                                <a:moveTo>
                                  <a:pt x="0" y="0"/>
                                </a:moveTo>
                                <a:lnTo>
                                  <a:pt x="711708" y="0"/>
                                </a:lnTo>
                                <a:lnTo>
                                  <a:pt x="7117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8" name="Shape 231028"/>
                        <wps:cNvSpPr/>
                        <wps:spPr>
                          <a:xfrm>
                            <a:off x="5235905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29" name="Shape 231029"/>
                        <wps:cNvSpPr/>
                        <wps:spPr>
                          <a:xfrm>
                            <a:off x="5235905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30" name="Shape 231030"/>
                        <wps:cNvSpPr/>
                        <wps:spPr>
                          <a:xfrm>
                            <a:off x="5245049" y="1850441"/>
                            <a:ext cx="79248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0" h="9144">
                                <a:moveTo>
                                  <a:pt x="0" y="0"/>
                                </a:moveTo>
                                <a:lnTo>
                                  <a:pt x="792480" y="0"/>
                                </a:lnTo>
                                <a:lnTo>
                                  <a:pt x="79248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31" name="Shape 231031"/>
                        <wps:cNvSpPr/>
                        <wps:spPr>
                          <a:xfrm>
                            <a:off x="6037529" y="1061009"/>
                            <a:ext cx="9144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894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89432"/>
                                </a:lnTo>
                                <a:lnTo>
                                  <a:pt x="0" y="7894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32" name="Shape 231032"/>
                        <wps:cNvSpPr/>
                        <wps:spPr>
                          <a:xfrm>
                            <a:off x="6037529" y="185044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33" name="Shape 231033"/>
                        <wps:cNvSpPr/>
                        <wps:spPr>
                          <a:xfrm>
                            <a:off x="0" y="1859584"/>
                            <a:ext cx="5978018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263652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263652"/>
                                </a:lnTo>
                                <a:lnTo>
                                  <a:pt x="0" y="2636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5" name="Rectangle 27655"/>
                        <wps:cNvSpPr/>
                        <wps:spPr>
                          <a:xfrm>
                            <a:off x="467817" y="1898104"/>
                            <a:ext cx="118331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color w:val="1A1A1A"/>
                                </w:rPr>
                                <w:t xml:space="preserve">Спортивная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56" name="Rectangle 27656"/>
                        <wps:cNvSpPr/>
                        <wps:spPr>
                          <a:xfrm>
                            <a:off x="1358214" y="1898104"/>
                            <a:ext cx="105724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color w:val="1A1A1A"/>
                                </w:rPr>
                                <w:t>активность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57" name="Rectangle 27657"/>
                        <wps:cNvSpPr/>
                        <wps:spPr>
                          <a:xfrm>
                            <a:off x="2152218" y="186552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A1A1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5361" style="width:476.116pt;height:167.184pt;mso-position-horizontal-relative:char;mso-position-vertical-relative:line" coordsize="60466,21232">
                <v:rect id="Rectangle 27556" style="position:absolute;width:23623;height:1843;left:899;top:3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A16. Выполнение тяжёлой </w:t>
                        </w:r>
                      </w:p>
                    </w:txbxContent>
                  </v:textbox>
                </v:rect>
                <v:rect id="Rectangle 27558" style="position:absolute;width:28849;height:1843;left:899;top:29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домашней работы (перемещение </w:t>
                        </w:r>
                      </w:p>
                    </w:txbxContent>
                  </v:textbox>
                </v:rect>
                <v:rect id="Rectangle 27560" style="position:absolute;width:27519;height:1843;left:899;top:5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тяжёлых коробок, мытье полов </w:t>
                        </w:r>
                      </w:p>
                    </w:txbxContent>
                  </v:textbox>
                </v:rect>
                <v:rect id="Rectangle 27562" style="position:absolute;width:3611;height:1843;left:899;top:82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т.д.)</w:t>
                        </w:r>
                      </w:p>
                    </w:txbxContent>
                  </v:textbox>
                </v:rect>
                <v:rect id="Rectangle 27563" style="position:absolute;width:506;height:2243;left:3611;top:7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66" style="position:absolute;width:506;height:2243;left:29647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67" style="position:absolute;width:506;height:2243;left:30028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0" style="position:absolute;width:506;height:2243;left:36856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1" style="position:absolute;width:506;height:2243;left:37237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4" style="position:absolute;width:506;height:2243;left:43150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5" style="position:absolute;width:506;height:2243;left:43531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8" style="position:absolute;width:506;height:2243;left:50362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79" style="position:absolute;width:506;height:2243;left:50743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82" style="position:absolute;width:506;height:2243;left:57555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583" style="position:absolute;width:506;height:2243;left:57936;top: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31034" style="position:absolute;width:91;height:10518;left:182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shape id="Shape 231035" style="position:absolute;width:91;height:10518;left:24448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shape id="Shape 231036" style="position:absolute;width:91;height:10518;left:31659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shape id="Shape 231037" style="position:absolute;width:91;height:10518;left:37953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shape id="Shape 231038" style="position:absolute;width:94;height:10518;left:45146;top:0;" coordsize="9449,1051865" path="m0,0l9449,0l9449,1051865l0,1051865l0,0">
                  <v:stroke weight="0pt" endcap="flat" joinstyle="miter" miterlimit="10" on="false" color="#000000" opacity="0"/>
                  <v:fill on="true" color="#000000"/>
                </v:shape>
                <v:shape id="Shape 231039" style="position:absolute;width:91;height:10518;left:52359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shape id="Shape 231040" style="position:absolute;width:91;height:10518;left:60375;top:0;" coordsize="9144,1051865" path="m0,0l9144,0l9144,1051865l0,1051865l0,0">
                  <v:stroke weight="0pt" endcap="flat" joinstyle="miter" miterlimit="10" on="false" color="#000000" opacity="0"/>
                  <v:fill on="true" color="#000000"/>
                </v:shape>
                <v:rect id="Rectangle 27593" style="position:absolute;width:22223;height:1843;left:899;top:109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A17. Выполнение лёгкой </w:t>
                        </w:r>
                      </w:p>
                    </w:txbxContent>
                  </v:textbox>
                </v:rect>
                <v:rect id="Rectangle 27595" style="position:absolute;width:30128;height:1843;left:899;top:135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домашней работы (приготовление </w:t>
                        </w:r>
                      </w:p>
                    </w:txbxContent>
                  </v:textbox>
                </v:rect>
                <v:rect id="Rectangle 27597" style="position:absolute;width:25910;height:1843;left:899;top:16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пищи, вытирание пыли и т.п.)</w:t>
                        </w:r>
                      </w:p>
                    </w:txbxContent>
                  </v:textbox>
                </v:rect>
                <v:rect id="Rectangle 27598" style="position:absolute;width:506;height:2243;left:20379;top:159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01" style="position:absolute;width:506;height:2243;left:29647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02" style="position:absolute;width:506;height:2243;left:30028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05" style="position:absolute;width:506;height:2243;left:36856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06" style="position:absolute;width:506;height:2243;left:37237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09" style="position:absolute;width:506;height:2243;left:43150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10" style="position:absolute;width:506;height:2243;left:43531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13" style="position:absolute;width:506;height:2243;left:50362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14" style="position:absolute;width:506;height:2243;left:50743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17" style="position:absolute;width:506;height:2243;left:57555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618" style="position:absolute;width:506;height:2243;left:57936;top:106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31041" style="position:absolute;width:91;height:91;left:182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42" style="position:absolute;width:24173;height:91;left:274;top:10518;" coordsize="2417318,9144" path="m0,0l2417318,0l2417318,9144l0,9144l0,0">
                  <v:stroke weight="0pt" endcap="flat" joinstyle="miter" miterlimit="10" on="false" color="#000000" opacity="0"/>
                  <v:fill on="true" color="#000000"/>
                </v:shape>
                <v:shape id="Shape 231043" style="position:absolute;width:91;height:91;left:24448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44" style="position:absolute;width:7120;height:91;left:24539;top:10518;" coordsize="712013,9144" path="m0,0l712013,0l712013,9144l0,9144l0,0">
                  <v:stroke weight="0pt" endcap="flat" joinstyle="miter" miterlimit="10" on="false" color="#000000" opacity="0"/>
                  <v:fill on="true" color="#000000"/>
                </v:shape>
                <v:shape id="Shape 231045" style="position:absolute;width:91;height:91;left:31659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46" style="position:absolute;width:6202;height:91;left:31750;top:10518;" coordsize="620268,9144" path="m0,0l620268,0l620268,9144l0,9144l0,0">
                  <v:stroke weight="0pt" endcap="flat" joinstyle="miter" miterlimit="10" on="false" color="#000000" opacity="0"/>
                  <v:fill on="true" color="#000000"/>
                </v:shape>
                <v:shape id="Shape 231047" style="position:absolute;width:91;height:91;left:37953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48" style="position:absolute;width:7101;height:91;left:38044;top:10518;" coordsize="710184,9144" path="m0,0l710184,0l710184,9144l0,9144l0,0">
                  <v:stroke weight="0pt" endcap="flat" joinstyle="miter" miterlimit="10" on="false" color="#000000" opacity="0"/>
                  <v:fill on="true" color="#000000"/>
                </v:shape>
                <v:shape id="Shape 231049" style="position:absolute;width:94;height:91;left:45146;top:10518;" coordsize="9449,9144" path="m0,0l9449,0l9449,9144l0,9144l0,0">
                  <v:stroke weight="0pt" endcap="flat" joinstyle="miter" miterlimit="10" on="false" color="#000000" opacity="0"/>
                  <v:fill on="true" color="#000000"/>
                </v:shape>
                <v:shape id="Shape 231050" style="position:absolute;width:7117;height:91;left:45241;top:10518;" coordsize="711708,9144" path="m0,0l711708,0l711708,9144l0,9144l0,0">
                  <v:stroke weight="0pt" endcap="flat" joinstyle="miter" miterlimit="10" on="false" color="#000000" opacity="0"/>
                  <v:fill on="true" color="#000000"/>
                </v:shape>
                <v:shape id="Shape 231051" style="position:absolute;width:91;height:91;left:52359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52" style="position:absolute;width:7924;height:91;left:52450;top:10518;" coordsize="792480,9144" path="m0,0l792480,0l792480,9144l0,9144l0,0">
                  <v:stroke weight="0pt" endcap="flat" joinstyle="miter" miterlimit="10" on="false" color="#000000" opacity="0"/>
                  <v:fill on="true" color="#000000"/>
                </v:shape>
                <v:shape id="Shape 231053" style="position:absolute;width:91;height:91;left:60375;top:105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54" style="position:absolute;width:91;height:7894;left:182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55" style="position:absolute;width:91;height:91;left:182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56" style="position:absolute;width:24173;height:91;left:274;top:18504;" coordsize="2417318,9144" path="m0,0l2417318,0l2417318,9144l0,9144l0,0">
                  <v:stroke weight="0pt" endcap="flat" joinstyle="miter" miterlimit="10" on="false" color="#000000" opacity="0"/>
                  <v:fill on="true" color="#000000"/>
                </v:shape>
                <v:shape id="Shape 231057" style="position:absolute;width:91;height:7894;left:24448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58" style="position:absolute;width:91;height:91;left:24448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59" style="position:absolute;width:7120;height:91;left:24539;top:18504;" coordsize="712013,9144" path="m0,0l712013,0l712013,9144l0,9144l0,0">
                  <v:stroke weight="0pt" endcap="flat" joinstyle="miter" miterlimit="10" on="false" color="#000000" opacity="0"/>
                  <v:fill on="true" color="#000000"/>
                </v:shape>
                <v:shape id="Shape 231060" style="position:absolute;width:91;height:7894;left:31659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61" style="position:absolute;width:91;height:91;left:31659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62" style="position:absolute;width:6202;height:91;left:31750;top:18504;" coordsize="620268,9144" path="m0,0l620268,0l620268,9144l0,9144l0,0">
                  <v:stroke weight="0pt" endcap="flat" joinstyle="miter" miterlimit="10" on="false" color="#000000" opacity="0"/>
                  <v:fill on="true" color="#000000"/>
                </v:shape>
                <v:shape id="Shape 231063" style="position:absolute;width:91;height:7894;left:37953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64" style="position:absolute;width:91;height:91;left:37953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65" style="position:absolute;width:7101;height:91;left:38044;top:18504;" coordsize="710184,9144" path="m0,0l710184,0l710184,9144l0,9144l0,0">
                  <v:stroke weight="0pt" endcap="flat" joinstyle="miter" miterlimit="10" on="false" color="#000000" opacity="0"/>
                  <v:fill on="true" color="#000000"/>
                </v:shape>
                <v:shape id="Shape 231066" style="position:absolute;width:94;height:7894;left:45146;top:10610;" coordsize="9449,789432" path="m0,0l9449,0l9449,789432l0,789432l0,0">
                  <v:stroke weight="0pt" endcap="flat" joinstyle="miter" miterlimit="10" on="false" color="#000000" opacity="0"/>
                  <v:fill on="true" color="#000000"/>
                </v:shape>
                <v:shape id="Shape 231067" style="position:absolute;width:94;height:91;left:45146;top:18504;" coordsize="9449,9144" path="m0,0l9449,0l9449,9144l0,9144l0,0">
                  <v:stroke weight="0pt" endcap="flat" joinstyle="miter" miterlimit="10" on="false" color="#000000" opacity="0"/>
                  <v:fill on="true" color="#000000"/>
                </v:shape>
                <v:shape id="Shape 231068" style="position:absolute;width:7117;height:91;left:45241;top:18504;" coordsize="711708,9144" path="m0,0l711708,0l711708,9144l0,9144l0,0">
                  <v:stroke weight="0pt" endcap="flat" joinstyle="miter" miterlimit="10" on="false" color="#000000" opacity="0"/>
                  <v:fill on="true" color="#000000"/>
                </v:shape>
                <v:shape id="Shape 231069" style="position:absolute;width:91;height:7894;left:52359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70" style="position:absolute;width:91;height:91;left:52359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71" style="position:absolute;width:7924;height:91;left:52450;top:18504;" coordsize="792480,9144" path="m0,0l792480,0l792480,9144l0,9144l0,0">
                  <v:stroke weight="0pt" endcap="flat" joinstyle="miter" miterlimit="10" on="false" color="#000000" opacity="0"/>
                  <v:fill on="true" color="#000000"/>
                </v:shape>
                <v:shape id="Shape 231072" style="position:absolute;width:91;height:7894;left:60375;top:10610;" coordsize="9144,789432" path="m0,0l9144,0l9144,789432l0,789432l0,0">
                  <v:stroke weight="0pt" endcap="flat" joinstyle="miter" miterlimit="10" on="false" color="#000000" opacity="0"/>
                  <v:fill on="true" color="#000000"/>
                </v:shape>
                <v:shape id="Shape 231073" style="position:absolute;width:91;height:91;left:60375;top:185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074" style="position:absolute;width:59780;height:2636;left:0;top:18595;" coordsize="5978018,263652" path="m0,0l5978018,0l5978018,263652l0,263652l0,0">
                  <v:stroke weight="0pt" endcap="flat" joinstyle="miter" miterlimit="10" on="false" color="#000000" opacity="0"/>
                  <v:fill on="true" color="#ffffff"/>
                </v:shape>
                <v:rect id="Rectangle 27655" style="position:absolute;width:11833;height:1811;left:4678;top:189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1a1a1a"/>
                          </w:rPr>
                          <w:t xml:space="preserve">Спортивная </w:t>
                        </w:r>
                      </w:p>
                    </w:txbxContent>
                  </v:textbox>
                </v:rect>
                <v:rect id="Rectangle 27656" style="position:absolute;width:10572;height:1811;left:13582;top:189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1a1a1a"/>
                          </w:rPr>
                          <w:t xml:space="preserve">активность</w:t>
                        </w:r>
                      </w:p>
                    </w:txbxContent>
                  </v:textbox>
                </v:rect>
                <v:rect id="Rectangle 27657" style="position:absolute;width:506;height:2243;left:21522;top:186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a1a1a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0A3B51" w:rsidRDefault="003D0A08">
      <w:pPr>
        <w:spacing w:after="4" w:line="259" w:lineRule="auto"/>
        <w:ind w:left="355" w:right="753"/>
      </w:pPr>
      <w:r>
        <w:rPr>
          <w:color w:val="1A1A1A"/>
        </w:rPr>
        <w:t>Следующие вопросы имеют отношение к физической активности более высокого уровня: при занятиях спортом или при участии в подвижных играх. Для каждого из приведенных вопросов больной должен отметить степень выраженности затруднений, которые испытывал в течен</w:t>
      </w:r>
      <w:r>
        <w:rPr>
          <w:color w:val="1A1A1A"/>
        </w:rPr>
        <w:t xml:space="preserve">ие прошедшей недели в связи с заболеванием коленного сустава. </w:t>
      </w:r>
    </w:p>
    <w:tbl>
      <w:tblPr>
        <w:tblStyle w:val="TableGrid"/>
        <w:tblW w:w="9510" w:type="dxa"/>
        <w:tblInd w:w="351" w:type="dxa"/>
        <w:tblCellMar>
          <w:top w:w="12" w:type="dxa"/>
          <w:left w:w="0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3838"/>
        <w:gridCol w:w="992"/>
        <w:gridCol w:w="1135"/>
        <w:gridCol w:w="1133"/>
        <w:gridCol w:w="1113"/>
        <w:gridCol w:w="1184"/>
        <w:gridCol w:w="115"/>
      </w:tblGrid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3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hanging="31"/>
              <w:jc w:val="left"/>
            </w:pPr>
            <w:r>
              <w:rPr>
                <w:color w:val="1A1A1A"/>
              </w:rPr>
              <w:t xml:space="preserve">Отсутс твует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4" w:right="0" w:firstLine="0"/>
              <w:jc w:val="left"/>
            </w:pPr>
            <w:r>
              <w:rPr>
                <w:color w:val="1A1A1A"/>
              </w:rPr>
              <w:t xml:space="preserve">Лёгкая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hanging="31"/>
              <w:jc w:val="left"/>
            </w:pPr>
            <w:r>
              <w:rPr>
                <w:color w:val="1A1A1A"/>
              </w:rPr>
              <w:t xml:space="preserve">Умеренная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75" w:right="0" w:firstLine="0"/>
            </w:pPr>
            <w:r>
              <w:rPr>
                <w:color w:val="1A1A1A"/>
              </w:rPr>
              <w:t xml:space="preserve">Сильная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6" w:right="0" w:hanging="31"/>
              <w:jc w:val="left"/>
            </w:pPr>
            <w:r>
              <w:rPr>
                <w:color w:val="1A1A1A"/>
              </w:rPr>
              <w:t xml:space="preserve">Чрезвычайная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SP1. Сидение на корточках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534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7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SP2. Бег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534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SP3. Прыжки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534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0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SP4. Вращение на больной ноге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534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3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SP5. Стояние на коленях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534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424"/>
        </w:trPr>
        <w:tc>
          <w:tcPr>
            <w:tcW w:w="9394" w:type="dxa"/>
            <w:gridSpan w:val="6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717" w:right="0" w:firstLine="0"/>
              <w:jc w:val="left"/>
            </w:pPr>
            <w:r>
              <w:rPr>
                <w:b/>
                <w:color w:val="1A1A1A"/>
              </w:rPr>
              <w:t>Качество жизни</w:t>
            </w:r>
            <w:r>
              <w:rPr>
                <w:color w:val="1A1A1A"/>
              </w:rPr>
              <w:t xml:space="preserve"> </w:t>
            </w:r>
          </w:p>
        </w:tc>
        <w:tc>
          <w:tcPr>
            <w:tcW w:w="115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571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30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Никогда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Ежемесячно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Еженедельно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Ежедневно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" w:right="0" w:firstLine="0"/>
            </w:pPr>
            <w:r>
              <w:rPr>
                <w:color w:val="1A1A1A"/>
              </w:rPr>
              <w:t xml:space="preserve">Постоянно </w:t>
            </w:r>
          </w:p>
        </w:tc>
      </w:tr>
      <w:tr w:rsidR="000A3B51">
        <w:trPr>
          <w:trHeight w:val="566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Q1. Как часто Вас беспокоят проблемы с коленным суставом?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43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566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-5" w:right="0" w:firstLine="0"/>
              <w:jc w:val="left"/>
            </w:pPr>
            <w:r>
              <w:rPr>
                <w:color w:val="1A1A1A"/>
              </w:rPr>
              <w:t xml:space="preserve">Нет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-2" w:right="0" w:firstLine="0"/>
              <w:jc w:val="left"/>
            </w:pPr>
            <w:r>
              <w:rPr>
                <w:color w:val="1A1A1A"/>
              </w:rPr>
              <w:t xml:space="preserve">Слегка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-5" w:right="0" w:firstLine="0"/>
            </w:pPr>
            <w:r>
              <w:rPr>
                <w:color w:val="1A1A1A"/>
              </w:rPr>
              <w:t xml:space="preserve">Умеренно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-1" w:right="0" w:hanging="2"/>
              <w:jc w:val="left"/>
            </w:pPr>
            <w:r>
              <w:rPr>
                <w:color w:val="1A1A1A"/>
              </w:rPr>
              <w:t xml:space="preserve">Значительно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-28" w:right="0" w:firstLine="0"/>
            </w:pPr>
            <w:r>
              <w:rPr>
                <w:color w:val="1A1A1A"/>
              </w:rPr>
              <w:t>Полностью</w:t>
            </w:r>
            <w:r>
              <w:rPr>
                <w:color w:val="1A1A1A"/>
              </w:rPr>
              <w:t xml:space="preserve"> </w:t>
            </w:r>
          </w:p>
        </w:tc>
      </w:tr>
      <w:tr w:rsidR="000A3B51">
        <w:trPr>
          <w:trHeight w:val="1118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Q2. Изменили ли Вы образ жизни для того, чтобы избегать действий, создающих проблемы с коленным суставом?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43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569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Совсем нет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Слегка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Умеренно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Сильно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" w:right="0" w:firstLine="0"/>
              <w:jc w:val="left"/>
            </w:pPr>
            <w:r>
              <w:rPr>
                <w:color w:val="1A1A1A"/>
              </w:rPr>
              <w:t xml:space="preserve">Очень сильно </w:t>
            </w:r>
          </w:p>
        </w:tc>
      </w:tr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51" w:firstLine="0"/>
              <w:jc w:val="left"/>
            </w:pPr>
            <w:r>
              <w:rPr>
                <w:color w:val="1A1A1A"/>
              </w:rPr>
              <w:t xml:space="preserve">Q3. В какой степени Вас беспокоят проблемы с коленным суставом?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43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  <w:tr w:rsidR="000A3B51">
        <w:trPr>
          <w:trHeight w:val="566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16" w:line="259" w:lineRule="auto"/>
              <w:ind w:left="103" w:right="0" w:firstLine="0"/>
            </w:pPr>
            <w:r>
              <w:rPr>
                <w:color w:val="1A1A1A"/>
              </w:rPr>
              <w:t>Нискол</w:t>
            </w:r>
          </w:p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ько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Слегка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3" w:right="0" w:firstLine="0"/>
              <w:jc w:val="left"/>
            </w:pPr>
            <w:r>
              <w:rPr>
                <w:color w:val="1A1A1A"/>
              </w:rPr>
              <w:t xml:space="preserve">Умеренно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rPr>
                <w:color w:val="1A1A1A"/>
              </w:rPr>
              <w:t xml:space="preserve">Сильно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0" w:right="0" w:firstLine="0"/>
              <w:jc w:val="left"/>
            </w:pPr>
            <w:r>
              <w:rPr>
                <w:color w:val="1A1A1A"/>
              </w:rPr>
              <w:t xml:space="preserve">Очень сильно </w:t>
            </w:r>
          </w:p>
        </w:tc>
      </w:tr>
      <w:tr w:rsidR="000A3B51">
        <w:trPr>
          <w:trHeight w:val="842"/>
        </w:trPr>
        <w:tc>
          <w:tcPr>
            <w:tcW w:w="3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122" w:right="0" w:firstLine="0"/>
              <w:jc w:val="left"/>
            </w:pPr>
            <w:r>
              <w:rPr>
                <w:color w:val="1A1A1A"/>
              </w:rPr>
              <w:t xml:space="preserve">Q4. Насколько осложняют Вашу жизнь проблемы с коленным суставом в целом? 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1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1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14" w:right="0" w:firstLine="0"/>
              <w:jc w:val="left"/>
            </w:pPr>
            <w:r>
              <w:rPr>
                <w:color w:val="1A1A1A"/>
              </w:rPr>
              <w:t xml:space="preserve">  </w:t>
            </w:r>
          </w:p>
        </w:tc>
        <w:tc>
          <w:tcPr>
            <w:tcW w:w="1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43" w:right="0" w:firstLine="0"/>
              <w:jc w:val="center"/>
            </w:pPr>
            <w:r>
              <w:rPr>
                <w:color w:val="1A1A1A"/>
              </w:rPr>
              <w:t xml:space="preserve">  </w:t>
            </w:r>
          </w:p>
        </w:tc>
      </w:tr>
    </w:tbl>
    <w:p w:rsidR="000A3B51" w:rsidRDefault="003D0A08">
      <w:pPr>
        <w:spacing w:after="0" w:line="399" w:lineRule="auto"/>
        <w:ind w:right="755"/>
      </w:pPr>
      <w:r>
        <w:rPr>
          <w:b/>
          <w:color w:val="1A1A1A"/>
        </w:rPr>
        <w:t>Ключ (интерпретация):</w:t>
      </w:r>
      <w:r>
        <w:t xml:space="preserve"> оценка представляет собой </w:t>
      </w:r>
      <w:r>
        <w:t xml:space="preserve">процентную оценку от 0 до 100, где 0 означает экстремальные проблемы, а 100 — отсутствие проблем. </w:t>
      </w:r>
    </w:p>
    <w:p w:rsidR="000A3B51" w:rsidRDefault="003D0A08">
      <w:pPr>
        <w:spacing w:after="266" w:line="377" w:lineRule="auto"/>
        <w:ind w:right="755"/>
      </w:pPr>
      <w:r>
        <w:rPr>
          <w:b/>
        </w:rPr>
        <w:t xml:space="preserve">Пояснения: </w:t>
      </w:r>
      <w:r>
        <w:t xml:space="preserve">шкала включает в себя 42 вопроса по 5 параметрам: «симптомы и тугоподвижность», «боль», «сложность выполнения ежедневных бытовых действий», «спорт, активность на отдыхе», «качество жизни». Пациент самостоятельно или в присутствии врача отвечает на вопросы </w:t>
      </w:r>
      <w:r>
        <w:t>каждого подраздела, выбирая только один вариант ответа.</w:t>
      </w:r>
      <w:r>
        <w:rPr>
          <w:b/>
        </w:rPr>
        <w:t xml:space="preserve"> </w:t>
      </w:r>
      <w:r>
        <w:rPr>
          <w:color w:val="1A1A1A"/>
        </w:rPr>
        <w:t xml:space="preserve">Ответам присваиваются цифровые значения, причем 0 соответствует отсутствующему признаку (благоприятная ситуация), 4 – максимальной степени выраженности признака (наихудшая ситуация). </w:t>
      </w:r>
      <w:r>
        <w:t>5 параметров оцен</w:t>
      </w:r>
      <w:r>
        <w:t>иваются отдельно как сумма всех соответствующих элементов.  Затем баллы преобразуются с помощью математической формулы в шкалу 0-100 (процент от общего возможного набранного балла), где 0 указывает на наихудшие возможные симптомы повреждения коленного суст</w:t>
      </w:r>
      <w:r>
        <w:t xml:space="preserve">ава, а 100 – на их отсутствие. </w:t>
      </w:r>
    </w:p>
    <w:p w:rsidR="000A3B51" w:rsidRDefault="003D0A08">
      <w:pPr>
        <w:spacing w:after="0" w:line="356" w:lineRule="auto"/>
        <w:ind w:left="360" w:right="0" w:firstLine="708"/>
        <w:jc w:val="left"/>
      </w:pPr>
      <w:r>
        <w:rPr>
          <w:rFonts w:ascii="Cambria" w:eastAsia="Cambria" w:hAnsi="Cambria" w:cs="Cambria"/>
          <w:b/>
          <w:sz w:val="28"/>
          <w:u w:val="single" w:color="000000"/>
        </w:rPr>
        <w:t>Приложение Г5. Шкала оценки функционального состояния</w:t>
      </w:r>
      <w:r>
        <w:rPr>
          <w:rFonts w:ascii="Cambria" w:eastAsia="Cambria" w:hAnsi="Cambria" w:cs="Cambria"/>
          <w:b/>
          <w:sz w:val="28"/>
        </w:rPr>
        <w:t xml:space="preserve"> </w:t>
      </w:r>
    </w:p>
    <w:p w:rsidR="000A3B51" w:rsidRDefault="003D0A08">
      <w:pPr>
        <w:pStyle w:val="Heading1"/>
        <w:spacing w:after="0" w:line="356" w:lineRule="auto"/>
        <w:ind w:left="360" w:right="0" w:firstLine="708"/>
        <w:jc w:val="left"/>
      </w:pPr>
      <w:r>
        <w:rPr>
          <w:rFonts w:ascii="Cambria" w:eastAsia="Cambria" w:hAnsi="Cambria" w:cs="Cambria"/>
          <w:u w:val="single" w:color="000000"/>
        </w:rPr>
        <w:t>тазобедренного сустава</w:t>
      </w:r>
      <w:r>
        <w:rPr>
          <w:rFonts w:ascii="Cambria" w:eastAsia="Cambria" w:hAnsi="Cambria" w:cs="Cambria"/>
        </w:rPr>
        <w:t xml:space="preserve"> </w:t>
      </w:r>
    </w:p>
    <w:p w:rsidR="000A3B51" w:rsidRDefault="003D0A08">
      <w:pPr>
        <w:ind w:right="755"/>
      </w:pPr>
      <w:r>
        <w:rPr>
          <w:b/>
          <w:color w:val="1A1A1A"/>
        </w:rPr>
        <w:t>Название на русском языке:</w:t>
      </w:r>
      <w:r>
        <w:t xml:space="preserve"> Функциональное состояние тазобедренного сустава  </w:t>
      </w:r>
    </w:p>
    <w:p w:rsidR="000A3B51" w:rsidRDefault="003D0A08">
      <w:pPr>
        <w:ind w:right="755"/>
      </w:pPr>
      <w:r>
        <w:rPr>
          <w:b/>
          <w:color w:val="1A1A1A"/>
        </w:rPr>
        <w:t>Оригинальное название (если есть):</w:t>
      </w:r>
      <w:r>
        <w:t xml:space="preserve"> </w:t>
      </w:r>
      <w:r>
        <w:t>The Hip injury and Osteoarthritis Outcome Score</w:t>
      </w:r>
      <w:r>
        <w:rPr>
          <w:color w:val="FF0000"/>
        </w:rPr>
        <w:t xml:space="preserve"> </w:t>
      </w:r>
    </w:p>
    <w:p w:rsidR="000A3B51" w:rsidRDefault="003D0A08">
      <w:pPr>
        <w:spacing w:after="164"/>
        <w:ind w:right="755"/>
      </w:pPr>
      <w:r>
        <w:rPr>
          <w:b/>
          <w:color w:val="1A1A1A"/>
        </w:rPr>
        <w:t xml:space="preserve">Источник: </w:t>
      </w:r>
      <w:r>
        <w:t>[494–498]</w:t>
      </w:r>
      <w:r>
        <w:rPr>
          <w:b/>
          <w:color w:val="1A1A1A"/>
        </w:rPr>
        <w:t xml:space="preserve">  </w:t>
      </w:r>
      <w:r>
        <w:rPr>
          <w:color w:val="FF0000"/>
        </w:rPr>
        <w:t xml:space="preserve"> </w:t>
      </w:r>
    </w:p>
    <w:p w:rsidR="000A3B51" w:rsidRDefault="003D0A08">
      <w:pPr>
        <w:spacing w:after="149" w:line="259" w:lineRule="auto"/>
        <w:ind w:left="355" w:right="0"/>
        <w:jc w:val="left"/>
      </w:pPr>
      <w:r>
        <w:rPr>
          <w:b/>
          <w:color w:val="1A1A1A"/>
        </w:rPr>
        <w:t xml:space="preserve">Тип (подчеркнуть): </w:t>
      </w:r>
    </w:p>
    <w:p w:rsidR="000A3B51" w:rsidRDefault="003D0A08">
      <w:pPr>
        <w:spacing w:after="162" w:line="259" w:lineRule="auto"/>
        <w:ind w:left="355" w:right="0"/>
        <w:jc w:val="left"/>
      </w:pPr>
      <w:r>
        <w:rPr>
          <w:color w:val="1A1A1A"/>
          <w:u w:val="single" w:color="1A1A1A"/>
        </w:rPr>
        <w:t>- шкала оценки</w:t>
      </w:r>
      <w:r>
        <w:rPr>
          <w:color w:val="1A1A1A"/>
        </w:rPr>
        <w:t xml:space="preserve"> </w:t>
      </w:r>
    </w:p>
    <w:p w:rsidR="000A3B51" w:rsidRDefault="003D0A08">
      <w:pPr>
        <w:spacing w:after="4" w:line="398" w:lineRule="auto"/>
        <w:ind w:left="355" w:right="753"/>
      </w:pPr>
      <w:r>
        <w:rPr>
          <w:b/>
          <w:color w:val="1A1A1A"/>
        </w:rPr>
        <w:t>Назначение:</w:t>
      </w:r>
      <w:r>
        <w:t xml:space="preserve"> </w:t>
      </w:r>
      <w:r>
        <w:rPr>
          <w:color w:val="1A1A1A"/>
        </w:rPr>
        <w:t>специально разработанный инструмент, разработанный для оценки мнения пациента о своем тазобедренном суставе и связанных с ним проблемах.</w:t>
      </w:r>
      <w:r>
        <w:rPr>
          <w:color w:val="1A1A1A"/>
        </w:rPr>
        <w:t xml:space="preserve">  Оценивает</w:t>
      </w:r>
      <w:r>
        <w:t xml:space="preserve"> у больного</w:t>
      </w:r>
      <w:r>
        <w:rPr>
          <w:color w:val="1A1A1A"/>
        </w:rPr>
        <w:t xml:space="preserve"> боль, симптомы, функцию коленного сустава, качество жизни и активность пациента в повседневной и спортивной жизни. </w:t>
      </w:r>
      <w:r>
        <w:rPr>
          <w:b/>
          <w:color w:val="1A1A1A"/>
        </w:rPr>
        <w:t>Симптомы</w:t>
      </w:r>
      <w:r>
        <w:rPr>
          <w:color w:val="1A1A1A"/>
        </w:rPr>
        <w:t xml:space="preserve">  </w:t>
      </w:r>
    </w:p>
    <w:p w:rsidR="000A3B51" w:rsidRDefault="003D0A08">
      <w:pPr>
        <w:spacing w:after="4" w:line="259" w:lineRule="auto"/>
        <w:ind w:left="355" w:right="753"/>
      </w:pPr>
      <w:r>
        <w:rPr>
          <w:color w:val="1A1A1A"/>
        </w:rPr>
        <w:t>При ответе на эти вопросы больной должен обобщить свои ощущения, полученные в течение прошедшей недели. Эти</w:t>
      </w:r>
      <w:r>
        <w:rPr>
          <w:color w:val="1A1A1A"/>
        </w:rPr>
        <w:t xml:space="preserve"> вопросы касаются ощущений в тазобедренном суставе и затруднений, которые больной испытывал при движении в течение прошедшей недели. </w:t>
      </w:r>
    </w:p>
    <w:tbl>
      <w:tblPr>
        <w:tblStyle w:val="TableGrid"/>
        <w:tblW w:w="9347" w:type="dxa"/>
        <w:tblInd w:w="365" w:type="dxa"/>
        <w:tblCellMar>
          <w:top w:w="9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4107"/>
        <w:gridCol w:w="992"/>
        <w:gridCol w:w="994"/>
        <w:gridCol w:w="1047"/>
        <w:gridCol w:w="1130"/>
        <w:gridCol w:w="1078"/>
      </w:tblGrid>
      <w:tr w:rsidR="000A3B51">
        <w:trPr>
          <w:trHeight w:val="840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rPr>
                <w:color w:val="1A1A1A"/>
              </w:rPr>
              <w:t xml:space="preserve"> </w:t>
            </w: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Никогда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Изредка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Иногда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Часто 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Всегда </w:t>
            </w:r>
          </w:p>
        </w:tc>
      </w:tr>
      <w:tr w:rsidR="000A3B51">
        <w:trPr>
          <w:trHeight w:val="1250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S1. Ощущаете ли Вы хруст, слышите ли щелчки или другие звуки при движении в тазобедренном суставе?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9" w:right="0" w:firstLine="0"/>
              <w:jc w:val="center"/>
            </w:pPr>
            <w:r>
              <w:t xml:space="preserve">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840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Нет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Лёгкие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Умерен ные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Сильные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Очень сильные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S2. Испытываете ли Вы затруднения, разводя ноги широко в стороны?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0" w:firstLine="0"/>
              <w:jc w:val="right"/>
            </w:pPr>
            <w:r>
              <w:t xml:space="preserve">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02" w:right="0" w:firstLine="0"/>
              <w:jc w:val="center"/>
            </w:pPr>
            <w:r>
              <w:t xml:space="preserve">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S3. Испытываете ли Вы затруднения при ходьбе?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0" w:firstLine="0"/>
              <w:jc w:val="right"/>
            </w:pPr>
            <w:r>
              <w:t xml:space="preserve"> 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02" w:right="0" w:firstLine="0"/>
              <w:jc w:val="center"/>
            </w:pPr>
            <w:r>
              <w:t xml:space="preserve"> 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</w:tr>
    </w:tbl>
    <w:p w:rsidR="000A3B51" w:rsidRDefault="003D0A08">
      <w:pPr>
        <w:spacing w:after="102" w:line="267" w:lineRule="auto"/>
        <w:ind w:left="1078" w:right="753"/>
      </w:pPr>
      <w:r>
        <w:rPr>
          <w:b/>
        </w:rPr>
        <w:t xml:space="preserve">Тугоподвижность </w:t>
      </w:r>
    </w:p>
    <w:p w:rsidR="000A3B51" w:rsidRDefault="003D0A08">
      <w:pPr>
        <w:spacing w:after="0"/>
        <w:ind w:right="755"/>
      </w:pPr>
      <w:r>
        <w:t xml:space="preserve">Следующие вопросы касаются оценки тугоподвижности в тазобедренном суставе, которую больной испытывал в течение последней недели. Тугоподвижность - </w:t>
      </w:r>
      <w:r>
        <w:t>это ощущение ограничения объема или замедления движений в тазобедренном суставе.</w:t>
      </w:r>
      <w:r>
        <w:rPr>
          <w:b/>
        </w:rPr>
        <w:t xml:space="preserve"> </w:t>
      </w:r>
    </w:p>
    <w:tbl>
      <w:tblPr>
        <w:tblStyle w:val="TableGrid"/>
        <w:tblW w:w="9347" w:type="dxa"/>
        <w:tblInd w:w="365" w:type="dxa"/>
        <w:tblCellMar>
          <w:top w:w="9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107"/>
        <w:gridCol w:w="992"/>
        <w:gridCol w:w="994"/>
        <w:gridCol w:w="1148"/>
        <w:gridCol w:w="1080"/>
        <w:gridCol w:w="1027"/>
      </w:tblGrid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8" w:line="259" w:lineRule="auto"/>
              <w:ind w:left="0" w:right="0" w:firstLine="0"/>
              <w:jc w:val="left"/>
            </w:pPr>
            <w:r>
              <w:t>Отсутс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твует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Лёгкая 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6" w:line="259" w:lineRule="auto"/>
              <w:ind w:left="0" w:right="0" w:firstLine="0"/>
              <w:jc w:val="left"/>
            </w:pPr>
            <w:r>
              <w:t>Умерен-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ная 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Сильная 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Очень сильная 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S4. Насколько выражена утренняя скованность тазобедренного сустава?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5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36" w:right="0" w:firstLine="0"/>
              <w:jc w:val="center"/>
            </w:pPr>
            <w: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51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Отсутс твует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Лёгкая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Умеренная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Сильная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Очень сильная </w:t>
            </w:r>
          </w:p>
        </w:tc>
      </w:tr>
      <w:tr w:rsidR="000A3B51">
        <w:trPr>
          <w:trHeight w:val="2081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S5. Как Вы оцениваете выраженность тугоподвижности тазобедренного сустава после сидения, лежания или кратковременного отдыха в течении дня?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5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 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36" w:right="0" w:firstLine="0"/>
              <w:jc w:val="center"/>
            </w:pPr>
            <w:r>
              <w:t xml:space="preserve">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51" w:firstLine="0"/>
              <w:jc w:val="right"/>
            </w:pPr>
            <w:r>
              <w:t xml:space="preserve"> </w:t>
            </w:r>
          </w:p>
        </w:tc>
      </w:tr>
    </w:tbl>
    <w:p w:rsidR="000A3B51" w:rsidRDefault="003D0A08">
      <w:pPr>
        <w:spacing w:after="3" w:line="267" w:lineRule="auto"/>
        <w:ind w:left="1078" w:right="753"/>
      </w:pPr>
      <w:r>
        <w:rPr>
          <w:b/>
        </w:rPr>
        <w:t xml:space="preserve">Боль </w:t>
      </w:r>
    </w:p>
    <w:tbl>
      <w:tblPr>
        <w:tblStyle w:val="TableGrid"/>
        <w:tblW w:w="9352" w:type="dxa"/>
        <w:tblInd w:w="365" w:type="dxa"/>
        <w:tblCellMar>
          <w:top w:w="9" w:type="dxa"/>
          <w:left w:w="106" w:type="dxa"/>
          <w:bottom w:w="0" w:type="dxa"/>
          <w:right w:w="103" w:type="dxa"/>
        </w:tblCellMar>
        <w:tblLook w:val="04A0" w:firstRow="1" w:lastRow="0" w:firstColumn="1" w:lastColumn="0" w:noHBand="0" w:noVBand="1"/>
      </w:tblPr>
      <w:tblGrid>
        <w:gridCol w:w="4107"/>
        <w:gridCol w:w="992"/>
        <w:gridCol w:w="994"/>
        <w:gridCol w:w="1136"/>
        <w:gridCol w:w="1133"/>
        <w:gridCol w:w="991"/>
      </w:tblGrid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10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2" w:line="259" w:lineRule="auto"/>
              <w:ind w:left="2" w:right="0" w:firstLine="0"/>
              <w:jc w:val="left"/>
            </w:pPr>
            <w:r>
              <w:t>Никог-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да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6" w:line="259" w:lineRule="auto"/>
              <w:ind w:left="2" w:right="0" w:firstLine="0"/>
              <w:jc w:val="left"/>
            </w:pPr>
            <w:r>
              <w:t>Ежеме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сячно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5" w:line="259" w:lineRule="auto"/>
              <w:ind w:left="2" w:right="0" w:firstLine="0"/>
              <w:jc w:val="left"/>
            </w:pPr>
            <w:r>
              <w:t>Еженеде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льно 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2" w:line="259" w:lineRule="auto"/>
              <w:ind w:left="0" w:right="0" w:firstLine="0"/>
              <w:jc w:val="left"/>
            </w:pPr>
            <w:r>
              <w:t>Ежеднев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но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Постоя нно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P1. Как часто вы испытываете боль в тазобедренном суставе?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935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Насколько сильной была боль в тазобедренном суставе в течение прошедшей недели при выполнении следующих движений?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8" w:line="259" w:lineRule="auto"/>
              <w:ind w:left="2" w:right="0" w:firstLine="0"/>
              <w:jc w:val="left"/>
            </w:pPr>
            <w:r>
              <w:t>Отсутс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твует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Легкая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2" w:line="259" w:lineRule="auto"/>
              <w:ind w:left="2" w:right="0" w:firstLine="0"/>
            </w:pPr>
            <w:r>
              <w:t>Умеренн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ая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Сильная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Чрезвы чайная </w:t>
            </w:r>
          </w:p>
        </w:tc>
      </w:tr>
      <w:tr w:rsidR="000A3B51">
        <w:trPr>
          <w:trHeight w:val="487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P2. Полное выпрямление бедра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P3. Полное сгибание бедра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P4. Ходьба по ровной поверхности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40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P5. Ходьба по лестнице (подъем и спуск)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P6. Ночью в кровати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P7. Сидение или лежание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P8. Стояние на месте на выпрямленных ногах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61" w:line="259" w:lineRule="auto"/>
              <w:ind w:left="0" w:right="0" w:firstLine="0"/>
              <w:jc w:val="left"/>
            </w:pPr>
            <w:r>
              <w:t xml:space="preserve">P9. Ходьба по твердой поверхности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(асфальт, бетон и т.п.)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P10. Ходьба по неровной поверхности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2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3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62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</w:tbl>
    <w:p w:rsidR="000A3B51" w:rsidRDefault="003D0A08">
      <w:pPr>
        <w:spacing w:after="102" w:line="267" w:lineRule="auto"/>
        <w:ind w:left="1078" w:right="753"/>
      </w:pPr>
      <w:r>
        <w:rPr>
          <w:b/>
        </w:rPr>
        <w:t>Ежедневная активность</w:t>
      </w:r>
      <w:r>
        <w:t xml:space="preserve"> </w:t>
      </w:r>
    </w:p>
    <w:p w:rsidR="000A3B51" w:rsidRDefault="003D0A08">
      <w:pPr>
        <w:spacing w:after="0"/>
        <w:ind w:right="755"/>
      </w:pPr>
      <w:r>
        <w:t xml:space="preserve">Следующие вопросы касаются физической активности больного, а именно способности к передвижению и самообслуживанию. Для каждого из приведенных вопросов больной должен отметить степень выраженности затруднений, которые испытывал в течение прошедшей недели в </w:t>
      </w:r>
      <w:r>
        <w:t xml:space="preserve">связи с заболеванием тазобедренного сустава. </w:t>
      </w:r>
    </w:p>
    <w:tbl>
      <w:tblPr>
        <w:tblStyle w:val="TableGrid"/>
        <w:tblW w:w="9347" w:type="dxa"/>
        <w:tblInd w:w="365" w:type="dxa"/>
        <w:tblCellMar>
          <w:top w:w="9" w:type="dxa"/>
          <w:left w:w="106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4047"/>
        <w:gridCol w:w="1052"/>
        <w:gridCol w:w="994"/>
        <w:gridCol w:w="1136"/>
        <w:gridCol w:w="1133"/>
        <w:gridCol w:w="986"/>
      </w:tblGrid>
      <w:tr w:rsidR="000A3B51">
        <w:trPr>
          <w:trHeight w:val="838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10" w:right="0" w:firstLine="0"/>
              <w:jc w:val="left"/>
            </w:pPr>
            <w:r>
              <w:t xml:space="preserve">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7" w:line="259" w:lineRule="auto"/>
              <w:ind w:left="0" w:right="0" w:firstLine="0"/>
              <w:jc w:val="left"/>
            </w:pPr>
            <w:r>
              <w:t>Отсутст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вует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Лёгкая 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6" w:line="259" w:lineRule="auto"/>
              <w:ind w:left="2" w:right="0" w:firstLine="0"/>
              <w:jc w:val="left"/>
            </w:pPr>
            <w:r>
              <w:t>Умерен-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ная 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Сильная 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9" w:line="259" w:lineRule="auto"/>
              <w:ind w:left="2" w:right="0" w:firstLine="0"/>
              <w:jc w:val="left"/>
            </w:pPr>
            <w:r>
              <w:t>Чрезвы</w:t>
            </w:r>
          </w:p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чайная 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A1. Спуск по лестнице 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3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А2. Подъем по лестнице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А3. Вставание из положения сидя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А4. Стояние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43" w:firstLine="0"/>
              <w:jc w:val="left"/>
            </w:pPr>
            <w:r>
              <w:t xml:space="preserve">А5. Наклон к полу/подъем предметов с пола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А6. Ходьба по ровной поверхности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40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А7. Усаживание в машину/выход из машины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А8. Поход по магазинам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А9. Надевание носков /чулок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А10. Вставание с кровати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2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А11. Снятие носков/чулок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А12. Лежание и переворачивание в кровати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40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t xml:space="preserve">A13. Вхождение в ванну/ выход из ванны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8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4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492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7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A14. Положение сидя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6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7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А15. Усаживание на унитаз/вставание с унитаза 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6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7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1666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43" w:line="357" w:lineRule="auto"/>
              <w:ind w:left="0" w:right="0" w:firstLine="0"/>
              <w:jc w:val="left"/>
            </w:pPr>
            <w:r>
              <w:t xml:space="preserve">А16. Выполнение тяжелой домашней работы (перемещение тяжелых коробок, мытье полов и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т.д.)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6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7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1253"/>
        </w:trPr>
        <w:tc>
          <w:tcPr>
            <w:tcW w:w="4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А17. Выполнение легкой домашней работы (приготовление пищи/вытирание пыли и т.д.)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06" w:right="0" w:firstLine="0"/>
              <w:jc w:val="lef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7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57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</w:tc>
      </w:tr>
    </w:tbl>
    <w:p w:rsidR="000A3B51" w:rsidRDefault="003D0A08">
      <w:pPr>
        <w:spacing w:after="102" w:line="267" w:lineRule="auto"/>
        <w:ind w:left="1078" w:right="753"/>
      </w:pPr>
      <w:r>
        <w:rPr>
          <w:b/>
        </w:rPr>
        <w:t xml:space="preserve">Спортивная активность </w:t>
      </w:r>
    </w:p>
    <w:p w:rsidR="000A3B51" w:rsidRDefault="003D0A08">
      <w:pPr>
        <w:spacing w:after="0"/>
        <w:ind w:right="755"/>
      </w:pPr>
      <w:r>
        <w:t>Следующие вопросы имеют отношение к физической активности более высокого уровня: при занятиях спортом или при участии в подвижных играх. Для каждого из приведенных вопросов больной должен отметить степень выраженности затруднений, которые испытывал в течен</w:t>
      </w:r>
      <w:r>
        <w:t xml:space="preserve">ие прошедшей недели в связи с заболеванием тазобедренного сустава. </w:t>
      </w:r>
    </w:p>
    <w:tbl>
      <w:tblPr>
        <w:tblStyle w:val="TableGrid"/>
        <w:tblW w:w="9347" w:type="dxa"/>
        <w:tblInd w:w="365" w:type="dxa"/>
        <w:tblCellMar>
          <w:top w:w="9" w:type="dxa"/>
          <w:left w:w="74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4107"/>
        <w:gridCol w:w="992"/>
        <w:gridCol w:w="994"/>
        <w:gridCol w:w="1136"/>
        <w:gridCol w:w="1133"/>
        <w:gridCol w:w="986"/>
      </w:tblGrid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742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3" w:right="0" w:hanging="31"/>
              <w:jc w:val="left"/>
            </w:pPr>
            <w:r>
              <w:t xml:space="preserve">Отсутс твует 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</w:pPr>
            <w:r>
              <w:t xml:space="preserve">Лёгкая 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3" w:right="0" w:hanging="31"/>
              <w:jc w:val="left"/>
            </w:pPr>
            <w:r>
              <w:t xml:space="preserve">Умеренная 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Сильная 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6" w:line="259" w:lineRule="auto"/>
              <w:ind w:left="2" w:right="0" w:firstLine="0"/>
              <w:jc w:val="left"/>
            </w:pPr>
            <w:r>
              <w:t>Чрезвы</w:t>
            </w:r>
          </w:p>
          <w:p w:rsidR="000A3B51" w:rsidRDefault="003D0A08">
            <w:pPr>
              <w:spacing w:after="0" w:line="259" w:lineRule="auto"/>
              <w:ind w:left="34" w:right="0" w:firstLine="0"/>
              <w:jc w:val="left"/>
            </w:pPr>
            <w:r>
              <w:t xml:space="preserve">чайная  </w:t>
            </w:r>
          </w:p>
        </w:tc>
      </w:tr>
      <w:tr w:rsidR="000A3B51">
        <w:trPr>
          <w:trHeight w:val="422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4" w:right="0" w:firstLine="0"/>
              <w:jc w:val="left"/>
            </w:pPr>
            <w:r>
              <w:t xml:space="preserve">SP1. Сидение на корточках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8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425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4" w:right="0" w:firstLine="0"/>
              <w:jc w:val="left"/>
            </w:pPr>
            <w:r>
              <w:t xml:space="preserve">SP2. Бег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8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4" w:right="0" w:firstLine="0"/>
              <w:jc w:val="left"/>
            </w:pPr>
            <w:r>
              <w:t xml:space="preserve">SP3. Поворот/ вращение на больной ноге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8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right"/>
            </w:pPr>
            <w:r>
              <w:t xml:space="preserve"> </w:t>
            </w:r>
          </w:p>
        </w:tc>
      </w:tr>
      <w:tr w:rsidR="000A3B51">
        <w:trPr>
          <w:trHeight w:val="838"/>
        </w:trPr>
        <w:tc>
          <w:tcPr>
            <w:tcW w:w="41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4" w:right="0" w:firstLine="0"/>
              <w:jc w:val="left"/>
            </w:pPr>
            <w:r>
              <w:t xml:space="preserve">SP.4 Ходьба по неровной поверхности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8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60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38" w:right="0" w:firstLine="0"/>
              <w:jc w:val="center"/>
            </w:pPr>
            <w:r>
              <w:t xml:space="preserve"> </w:t>
            </w:r>
          </w:p>
        </w:tc>
        <w:tc>
          <w:tcPr>
            <w:tcW w:w="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3" w:firstLine="0"/>
              <w:jc w:val="right"/>
            </w:pPr>
            <w:r>
              <w:t xml:space="preserve"> </w:t>
            </w:r>
          </w:p>
        </w:tc>
      </w:tr>
    </w:tbl>
    <w:p w:rsidR="000A3B51" w:rsidRDefault="003D0A08">
      <w:pPr>
        <w:spacing w:after="3" w:line="267" w:lineRule="auto"/>
        <w:ind w:left="1078" w:right="753"/>
      </w:pPr>
      <w:r>
        <w:rPr>
          <w:b/>
        </w:rPr>
        <w:t xml:space="preserve">Качество жизни </w:t>
      </w:r>
    </w:p>
    <w:tbl>
      <w:tblPr>
        <w:tblStyle w:val="TableGrid"/>
        <w:tblW w:w="9352" w:type="dxa"/>
        <w:tblInd w:w="365" w:type="dxa"/>
        <w:tblCellMar>
          <w:top w:w="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6"/>
        <w:gridCol w:w="4091"/>
        <w:gridCol w:w="16"/>
        <w:gridCol w:w="976"/>
        <w:gridCol w:w="16"/>
        <w:gridCol w:w="978"/>
        <w:gridCol w:w="16"/>
        <w:gridCol w:w="1120"/>
        <w:gridCol w:w="16"/>
        <w:gridCol w:w="1117"/>
        <w:gridCol w:w="16"/>
        <w:gridCol w:w="975"/>
        <w:gridCol w:w="16"/>
      </w:tblGrid>
      <w:tr w:rsidR="000A3B51">
        <w:trPr>
          <w:gridBefore w:val="1"/>
          <w:wBefore w:w="16" w:type="dxa"/>
          <w:trHeight w:val="838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816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Никогда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Ежемесячно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Еженеде льно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3" w:line="259" w:lineRule="auto"/>
              <w:ind w:left="106" w:right="0" w:firstLine="0"/>
              <w:jc w:val="left"/>
            </w:pPr>
            <w:r>
              <w:t>Ежеднев</w:t>
            </w:r>
          </w:p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t xml:space="preserve">но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Постоя нно </w:t>
            </w:r>
          </w:p>
        </w:tc>
      </w:tr>
      <w:tr w:rsidR="000A3B51">
        <w:trPr>
          <w:gridBefore w:val="1"/>
          <w:wBefore w:w="16" w:type="dxa"/>
          <w:trHeight w:val="1253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15" w:firstLine="0"/>
              <w:jc w:val="left"/>
            </w:pPr>
            <w:r>
              <w:t xml:space="preserve">Q1. Как часто Вас беспокоят проблемы с тазобедренным суставом?  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61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618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2" w:firstLine="0"/>
              <w:jc w:val="right"/>
            </w:pPr>
            <w:r>
              <w:t xml:space="preserve"> </w:t>
            </w:r>
          </w:p>
        </w:tc>
      </w:tr>
      <w:tr w:rsidR="000A3B51">
        <w:trPr>
          <w:gridBefore w:val="1"/>
          <w:wBefore w:w="16" w:type="dxa"/>
          <w:trHeight w:val="838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Нет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t xml:space="preserve">Слегка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Умеренно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t xml:space="preserve">Значительно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hanging="108"/>
              <w:jc w:val="left"/>
            </w:pPr>
            <w:r>
              <w:t xml:space="preserve">Полност ью </w:t>
            </w:r>
          </w:p>
        </w:tc>
      </w:tr>
      <w:tr w:rsidR="000A3B51">
        <w:trPr>
          <w:gridBefore w:val="1"/>
          <w:wBefore w:w="16" w:type="dxa"/>
          <w:trHeight w:val="838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08" w:right="0" w:firstLine="0"/>
              <w:jc w:val="left"/>
            </w:pPr>
            <w:r>
              <w:t xml:space="preserve">Q2. Изменили ли Вы образ жизни для того, чтобы избегать действий,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2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4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619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618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52" w:firstLine="0"/>
              <w:jc w:val="right"/>
            </w:pPr>
            <w:r>
              <w:t xml:space="preserve"> </w:t>
            </w:r>
          </w:p>
        </w:tc>
      </w:tr>
      <w:tr w:rsidR="000A3B51">
        <w:trPr>
          <w:gridAfter w:val="1"/>
          <w:wAfter w:w="16" w:type="dxa"/>
          <w:trHeight w:val="840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</w:pPr>
            <w:r>
              <w:t xml:space="preserve">создающих проблемы с тазобедренным суставом? 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gridAfter w:val="1"/>
          <w:wAfter w:w="16" w:type="dxa"/>
          <w:trHeight w:val="838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Совсем нет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Слегка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Умеренно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5" w:right="0" w:firstLine="0"/>
              <w:jc w:val="left"/>
            </w:pPr>
            <w:r>
              <w:t xml:space="preserve">Сильно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Очень сильно </w:t>
            </w:r>
          </w:p>
        </w:tc>
      </w:tr>
      <w:tr w:rsidR="000A3B51">
        <w:trPr>
          <w:gridAfter w:val="1"/>
          <w:wAfter w:w="16" w:type="dxa"/>
          <w:trHeight w:val="1250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78" w:firstLine="0"/>
              <w:jc w:val="left"/>
            </w:pPr>
            <w:r>
              <w:t xml:space="preserve">Q3. В какой степени Вас беспокоят проблемы с тазобедренным суставом? 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5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45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44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8" w:firstLine="0"/>
              <w:jc w:val="right"/>
            </w:pPr>
            <w:r>
              <w:t xml:space="preserve"> </w:t>
            </w:r>
          </w:p>
        </w:tc>
      </w:tr>
      <w:tr w:rsidR="000A3B51">
        <w:trPr>
          <w:gridAfter w:val="1"/>
          <w:wAfter w:w="16" w:type="dxa"/>
          <w:trHeight w:val="840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t xml:space="preserve">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53" w:line="259" w:lineRule="auto"/>
              <w:ind w:left="97" w:right="0" w:firstLine="0"/>
            </w:pPr>
            <w:r>
              <w:t>Нискол</w:t>
            </w:r>
          </w:p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ько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Слегка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Умеренно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5" w:right="0" w:firstLine="0"/>
              <w:jc w:val="left"/>
            </w:pPr>
            <w:r>
              <w:t xml:space="preserve">Сильно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t xml:space="preserve">Очень сильно </w:t>
            </w:r>
          </w:p>
        </w:tc>
      </w:tr>
      <w:tr w:rsidR="000A3B51">
        <w:trPr>
          <w:gridAfter w:val="1"/>
          <w:wAfter w:w="16" w:type="dxa"/>
          <w:trHeight w:val="1252"/>
        </w:trPr>
        <w:tc>
          <w:tcPr>
            <w:tcW w:w="41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t xml:space="preserve">Q4. Насколько осложняют Вашу жизнь проблемы с тазобедренным суставом в целом? 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5" w:firstLine="0"/>
              <w:jc w:val="right"/>
            </w:pPr>
            <w:r>
              <w:t xml:space="preserve"> </w:t>
            </w:r>
          </w:p>
        </w:tc>
        <w:tc>
          <w:tcPr>
            <w:tcW w:w="9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18" w:firstLine="0"/>
              <w:jc w:val="right"/>
            </w:pPr>
            <w:r>
              <w:t xml:space="preserve"> 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45" w:right="0" w:firstLine="0"/>
              <w:jc w:val="center"/>
            </w:pPr>
            <w:r>
              <w:t xml:space="preserve"> 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544" w:right="0" w:firstLine="0"/>
              <w:jc w:val="center"/>
            </w:pPr>
            <w:r>
              <w:t xml:space="preserve"> </w:t>
            </w:r>
          </w:p>
        </w:tc>
        <w:tc>
          <w:tcPr>
            <w:tcW w:w="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128" w:firstLine="0"/>
              <w:jc w:val="right"/>
            </w:pPr>
            <w:r>
              <w:t xml:space="preserve"> </w:t>
            </w:r>
          </w:p>
        </w:tc>
      </w:tr>
      <w:tr w:rsidR="000A3B51">
        <w:trPr>
          <w:gridAfter w:val="1"/>
          <w:wAfter w:w="16" w:type="dxa"/>
          <w:trHeight w:val="419"/>
        </w:trPr>
        <w:tc>
          <w:tcPr>
            <w:tcW w:w="9352" w:type="dxa"/>
            <w:gridSpan w:val="12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b/>
                <w:color w:val="1A1A1A"/>
              </w:rPr>
              <w:t>Ключ (интерпретация):</w:t>
            </w:r>
            <w:r>
              <w:t xml:space="preserve"> оценка представляет собой процентную оценку от 0 до 100, где 0 </w:t>
            </w:r>
          </w:p>
        </w:tc>
      </w:tr>
    </w:tbl>
    <w:p w:rsidR="000A3B51" w:rsidRDefault="003D0A08">
      <w:pPr>
        <w:spacing w:after="154"/>
        <w:ind w:right="755"/>
      </w:pPr>
      <w:r>
        <w:t xml:space="preserve">означает экстремальные проблемы, а 100 — отсутствие проблем.  </w:t>
      </w:r>
    </w:p>
    <w:p w:rsidR="000A3B51" w:rsidRDefault="003D0A08">
      <w:pPr>
        <w:spacing w:after="317" w:line="375" w:lineRule="auto"/>
        <w:ind w:left="355" w:right="753"/>
      </w:pPr>
      <w:r>
        <w:rPr>
          <w:b/>
          <w:color w:val="1A1A1A"/>
        </w:rPr>
        <w:t>Пояснения:</w:t>
      </w:r>
      <w:r>
        <w:t xml:space="preserve"> </w:t>
      </w:r>
      <w:r>
        <w:rPr>
          <w:color w:val="1A1A1A"/>
        </w:rPr>
        <w:t>Шкала включает в себя 40 вопросов по 5 параметрам: «симптомы и тугоподвижность», «боль», «сложность выполнения ежедневных бытовых действий», «активность, спорт и активный отдых», «ка</w:t>
      </w:r>
      <w:r>
        <w:rPr>
          <w:color w:val="1A1A1A"/>
        </w:rPr>
        <w:t>чество жизни». Пациент самостоятельно или в присутствии врача отвечает на вопросы каждого подраздела, выбирая только один вариант ответа.</w:t>
      </w:r>
      <w:r>
        <w:rPr>
          <w:b/>
          <w:color w:val="1A1A1A"/>
        </w:rPr>
        <w:t xml:space="preserve"> </w:t>
      </w:r>
      <w:r>
        <w:rPr>
          <w:color w:val="1A1A1A"/>
        </w:rPr>
        <w:t xml:space="preserve">Ответам присваиваются цифровые значения, причем 0 соответствует отсутствующему признаку (благоприятная ситуация), 4 – </w:t>
      </w:r>
      <w:r>
        <w:rPr>
          <w:color w:val="1A1A1A"/>
        </w:rPr>
        <w:t>максимальной степени выраженности признака (наихудшая ситуация). 5 параметров оцениваются отдельно как сумма всех соответствующих элементов. Затем баллы преобразуются в шкалу 0-100 (процент от общего возможного набранного балла), где 0 указывает на наихудш</w:t>
      </w:r>
      <w:r>
        <w:rPr>
          <w:color w:val="1A1A1A"/>
        </w:rPr>
        <w:t xml:space="preserve">ие возможные симптомы повреждения тазобедренного сустава, а 100 – на их отсутствие.  </w:t>
      </w:r>
    </w:p>
    <w:p w:rsidR="000A3B51" w:rsidRDefault="003D0A08">
      <w:pPr>
        <w:pStyle w:val="Heading2"/>
        <w:spacing w:after="14" w:line="357" w:lineRule="auto"/>
        <w:ind w:left="345" w:right="744" w:firstLine="708"/>
      </w:pPr>
      <w:r>
        <w:rPr>
          <w:u w:val="single" w:color="000000"/>
        </w:rPr>
        <w:t>Приложение Г6. Функциональный индекс по оценке ОА суставов</w:t>
      </w:r>
      <w:r>
        <w:t xml:space="preserve"> </w:t>
      </w:r>
      <w:r>
        <w:rPr>
          <w:u w:val="single" w:color="000000"/>
        </w:rPr>
        <w:t>кистей</w:t>
      </w:r>
      <w:r>
        <w:rPr>
          <w:b w:val="0"/>
          <w:u w:val="single" w:color="000000"/>
        </w:rPr>
        <w:t xml:space="preserve"> (</w:t>
      </w:r>
      <w:r>
        <w:rPr>
          <w:u w:val="single" w:color="000000"/>
        </w:rPr>
        <w:t>AUSCAN</w:t>
      </w:r>
      <w:r>
        <w:rPr>
          <w:b w:val="0"/>
          <w:u w:val="single" w:color="000000"/>
        </w:rPr>
        <w:t xml:space="preserve">) </w:t>
      </w:r>
      <w:r>
        <w:rPr>
          <w:u w:val="single" w:color="000000"/>
        </w:rPr>
        <w:t>(The Australian/Canadian Hand Osteoarthritis Index)</w:t>
      </w:r>
      <w:r>
        <w:rPr>
          <w:color w:val="252525"/>
        </w:rPr>
        <w:t xml:space="preserve"> </w:t>
      </w:r>
    </w:p>
    <w:p w:rsidR="000A3B51" w:rsidRDefault="003D0A08">
      <w:pPr>
        <w:spacing w:after="56" w:line="357" w:lineRule="auto"/>
        <w:ind w:right="755"/>
      </w:pPr>
      <w:r>
        <w:rPr>
          <w:b/>
          <w:color w:val="1A1A1A"/>
        </w:rPr>
        <w:t>Название на русском языке:</w:t>
      </w:r>
      <w:r>
        <w:rPr>
          <w:b/>
        </w:rPr>
        <w:t xml:space="preserve"> </w:t>
      </w:r>
      <w:r>
        <w:t xml:space="preserve">Функциональный </w:t>
      </w:r>
      <w:r>
        <w:t>индекс по оценке ОА суставов кистей AUSCAN</w:t>
      </w:r>
      <w:r>
        <w:rPr>
          <w:color w:val="1A1A1A"/>
        </w:rPr>
        <w:t xml:space="preserve"> </w:t>
      </w:r>
    </w:p>
    <w:p w:rsidR="000A3B51" w:rsidRDefault="003D0A08">
      <w:pPr>
        <w:spacing w:after="90"/>
        <w:ind w:right="755"/>
      </w:pPr>
      <w:r>
        <w:rPr>
          <w:b/>
          <w:color w:val="1A1A1A"/>
        </w:rPr>
        <w:t>Оригинальное название:</w:t>
      </w:r>
      <w:r>
        <w:rPr>
          <w:b/>
          <w:sz w:val="28"/>
        </w:rPr>
        <w:t xml:space="preserve"> </w:t>
      </w:r>
      <w:r>
        <w:t>Australian/Canadian Hand Osteoarthritis Index</w:t>
      </w:r>
      <w:r>
        <w:rPr>
          <w:b/>
          <w:color w:val="1A1A1A"/>
        </w:rPr>
        <w:t xml:space="preserve"> </w:t>
      </w:r>
    </w:p>
    <w:p w:rsidR="000A3B51" w:rsidRDefault="003D0A08">
      <w:pPr>
        <w:spacing w:after="147"/>
        <w:ind w:right="755"/>
      </w:pPr>
      <w:r>
        <w:rPr>
          <w:b/>
          <w:color w:val="1A1A1A"/>
        </w:rPr>
        <w:t>Источник</w:t>
      </w:r>
      <w:r>
        <w:rPr>
          <w:color w:val="1A1A1A"/>
        </w:rPr>
        <w:t xml:space="preserve">: </w:t>
      </w:r>
      <w:r>
        <w:t xml:space="preserve">[499–502]  </w:t>
      </w:r>
    </w:p>
    <w:p w:rsidR="000A3B51" w:rsidRDefault="003D0A08">
      <w:pPr>
        <w:spacing w:after="162" w:line="259" w:lineRule="auto"/>
        <w:ind w:left="355" w:right="0"/>
        <w:jc w:val="left"/>
      </w:pPr>
      <w:r>
        <w:rPr>
          <w:color w:val="1A1A1A"/>
        </w:rPr>
        <w:t xml:space="preserve">Тип - </w:t>
      </w:r>
      <w:r>
        <w:rPr>
          <w:color w:val="1A1A1A"/>
          <w:u w:val="single" w:color="1A1A1A"/>
        </w:rPr>
        <w:t>индекс</w:t>
      </w:r>
      <w:r>
        <w:rPr>
          <w:color w:val="1A1A1A"/>
        </w:rPr>
        <w:t xml:space="preserve"> </w:t>
      </w:r>
    </w:p>
    <w:p w:rsidR="000A3B51" w:rsidRDefault="003D0A08">
      <w:pPr>
        <w:spacing w:after="31" w:line="378" w:lineRule="auto"/>
        <w:ind w:left="355" w:right="746"/>
      </w:pPr>
      <w:r>
        <w:rPr>
          <w:b/>
          <w:color w:val="1A1A1A"/>
        </w:rPr>
        <w:t>Назначение:</w:t>
      </w:r>
      <w:r>
        <w:rPr>
          <w:rFonts w:ascii="Calibri" w:eastAsia="Calibri" w:hAnsi="Calibri" w:cs="Calibri"/>
          <w:color w:val="262626"/>
          <w:sz w:val="22"/>
        </w:rPr>
        <w:t xml:space="preserve"> </w:t>
      </w:r>
      <w:r>
        <w:rPr>
          <w:color w:val="262626"/>
        </w:rPr>
        <w:t xml:space="preserve">оценка клинических проявлений (боль, скованность, нарушение функции) у пациентов с ОА суставов кистей. Применяется в клинической практике и протоколах исследований, а также для оценки эффективности терапии. </w:t>
      </w:r>
      <w:r>
        <w:rPr>
          <w:color w:val="1A1A1A"/>
        </w:rPr>
        <w:t xml:space="preserve"> </w:t>
      </w:r>
    </w:p>
    <w:p w:rsidR="000A3B51" w:rsidRDefault="003D0A08">
      <w:pPr>
        <w:spacing w:after="0" w:line="259" w:lineRule="auto"/>
        <w:ind w:left="355" w:right="0"/>
        <w:jc w:val="left"/>
      </w:pPr>
      <w:r>
        <w:rPr>
          <w:b/>
          <w:color w:val="1A1A1A"/>
        </w:rPr>
        <w:t xml:space="preserve">Содержание (шаблон):  </w:t>
      </w:r>
    </w:p>
    <w:tbl>
      <w:tblPr>
        <w:tblStyle w:val="TableGrid"/>
        <w:tblW w:w="9381" w:type="dxa"/>
        <w:tblInd w:w="349" w:type="dxa"/>
        <w:tblCellMar>
          <w:top w:w="1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356"/>
        <w:gridCol w:w="1270"/>
        <w:gridCol w:w="755"/>
      </w:tblGrid>
      <w:tr w:rsidR="000A3B51">
        <w:trPr>
          <w:trHeight w:val="1253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rPr>
                <w:b/>
                <w:color w:val="1A1A1A"/>
              </w:rPr>
              <w:t>Оценка боли:</w:t>
            </w:r>
            <w: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156" w:line="259" w:lineRule="auto"/>
              <w:ind w:left="106" w:right="-632" w:firstLine="0"/>
              <w:jc w:val="left"/>
            </w:pPr>
            <w:r>
              <w:t xml:space="preserve">Оценка по </w:t>
            </w:r>
            <w:r>
              <w:t>ВАШ/</w:t>
            </w:r>
          </w:p>
          <w:p w:rsidR="000A3B51" w:rsidRDefault="003D0A08">
            <w:pPr>
              <w:spacing w:after="159" w:line="259" w:lineRule="auto"/>
              <w:ind w:left="106" w:right="0" w:firstLine="0"/>
              <w:jc w:val="left"/>
            </w:pPr>
            <w:r>
              <w:t xml:space="preserve">ЧРШ/ </w:t>
            </w:r>
          </w:p>
          <w:p w:rsidR="000A3B51" w:rsidRDefault="003D0A08">
            <w:pPr>
              <w:spacing w:after="0" w:line="259" w:lineRule="auto"/>
              <w:ind w:left="106" w:right="0" w:firstLine="0"/>
              <w:jc w:val="left"/>
            </w:pPr>
            <w:r>
              <w:t>Ликерта</w:t>
            </w: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112" w:line="259" w:lineRule="auto"/>
              <w:ind w:left="0" w:right="61" w:firstLine="0"/>
              <w:jc w:val="right"/>
            </w:pPr>
            <w:r>
              <w:t xml:space="preserve"> </w:t>
            </w:r>
          </w:p>
          <w:p w:rsidR="000A3B51" w:rsidRDefault="003D0A08">
            <w:pPr>
              <w:spacing w:after="0" w:line="259" w:lineRule="auto"/>
              <w:ind w:left="0" w:right="0" w:firstLine="0"/>
            </w:pPr>
            <w:r>
              <w:t xml:space="preserve">шкале </w:t>
            </w: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1.В состоянии покоя (т.е. когда Вы не пользуетесь руками)?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2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2.Когда Вы крепко держите предметы пальцами рук?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3.Когда Вы поднимаете предметы руками?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4. Когда Вы поворачиваете предметы руками?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2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5.Когда Вы сжимаете предметы руками?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Cумма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rPr>
                <w:b/>
              </w:rPr>
              <w:t>Оценка скованности:</w:t>
            </w:r>
            <w: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838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6.  Насколько остро Вы ощущаете скованность в кистях своих рук утром, сразу после пробуждения? (в течение последних 48 часов)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2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Сумма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rPr>
                <w:b/>
              </w:rPr>
              <w:t>Затруднения в повседневной деятельности:</w:t>
            </w:r>
            <w: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7.Поворачивать водопроводный кран?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2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8.Поворачивать круглую дверную или иную ручку?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9. Застегивать пуговицы?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838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10. Застегивать замки ювелирных изделий (например, часов, серег, запонок, бус, брошей, браслетов?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11. Открывать новую стеклянную банку?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2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12. Нести полный ковш одной рукой?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13. Очищать овощи/фрукты от кожуры?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14. Поднимать большие тяжелые предметы?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3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t xml:space="preserve">15. Выкручивать выстиранное белье? 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5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rPr>
                <w:u w:val="single" w:color="000000"/>
              </w:rPr>
              <w:t>Сумма</w:t>
            </w:r>
            <w: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26"/>
        </w:trPr>
        <w:tc>
          <w:tcPr>
            <w:tcW w:w="7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24" w:right="0" w:firstLine="0"/>
              <w:jc w:val="left"/>
            </w:pPr>
            <w:r>
              <w:rPr>
                <w:u w:val="single" w:color="000000"/>
              </w:rPr>
              <w:t>Суммарный индекс AUSCAN</w:t>
            </w:r>
            <w: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A3B51" w:rsidRDefault="003D0A08">
            <w:pPr>
              <w:spacing w:after="0" w:line="259" w:lineRule="auto"/>
              <w:ind w:left="418"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  <w:tc>
          <w:tcPr>
            <w:tcW w:w="7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16"/>
        </w:trPr>
        <w:tc>
          <w:tcPr>
            <w:tcW w:w="9381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11" w:right="0" w:firstLine="0"/>
            </w:pPr>
            <w:r>
              <w:rPr>
                <w:b/>
                <w:color w:val="1A1A1A"/>
              </w:rPr>
              <w:t xml:space="preserve">Ключ (интерпретация): </w:t>
            </w:r>
            <w:r>
              <w:rPr>
                <w:color w:val="222222"/>
              </w:rPr>
              <w:t>индекс применяется</w:t>
            </w:r>
            <w:r>
              <w:t xml:space="preserve"> не только для оценки боли, скованности и </w:t>
            </w:r>
          </w:p>
        </w:tc>
      </w:tr>
    </w:tbl>
    <w:p w:rsidR="000A3B51" w:rsidRDefault="003D0A08">
      <w:pPr>
        <w:spacing w:after="63" w:line="399" w:lineRule="auto"/>
        <w:ind w:right="755"/>
      </w:pPr>
      <w:r>
        <w:t xml:space="preserve">функции </w:t>
      </w:r>
      <w:r>
        <w:t>при ОА суставов кистей, но и может использоваться</w:t>
      </w:r>
      <w:r>
        <w:rPr>
          <w:color w:val="222222"/>
        </w:rPr>
        <w:t xml:space="preserve"> для оценки эффективности проводимой терапии. Формат шкал для оценки каждого показателя может быть представлен в виде ВАШ, ЧРШ, 5-ти балльной шкале Ликерта. Однако большей чувствительностью по сравнению с др</w:t>
      </w:r>
      <w:r>
        <w:rPr>
          <w:color w:val="222222"/>
        </w:rPr>
        <w:t xml:space="preserve">угими форматами шкал обладает оценка по ВАШ. </w:t>
      </w:r>
      <w:r>
        <w:rPr>
          <w:b/>
          <w:color w:val="1A1A1A"/>
        </w:rPr>
        <w:t xml:space="preserve"> Пояснения: </w:t>
      </w:r>
      <w:r>
        <w:rPr>
          <w:color w:val="1A1A1A"/>
        </w:rPr>
        <w:t xml:space="preserve">индекс содержит 15 вопросов, касающихся болевых ощущений, скованности и нарушения функции в суставах кисти за последние 48ч. Пациент заполняет анкету самостоятельно. </w:t>
      </w:r>
      <w:r>
        <w:t>На каждый вопрос пациент отвечает</w:t>
      </w:r>
      <w:r>
        <w:t>, например, с помощью ВАШ. В этом случае пациент должен сделать на прямой линии ВАШ (100 мм) отметку, соответствующую интенсивности испытываемых им боли, скованности и затруднения в повседневной деятельности в мелких суставах кистей. Расстояние между начал</w:t>
      </w:r>
      <w:r>
        <w:t>ом линии (0) и сделанной пациентом отметкой измеряют в миллиметрах. Далее врач проводит оценку полученных результатов путем суммирования показателей (в мм) в каждой категории (AUSCAN боль, AUSCAN скованность и AUSCAN функциональная недостаточность) и в цел</w:t>
      </w:r>
      <w:r>
        <w:t xml:space="preserve">ом, получая значения суммарного индекса AUSCAN. </w:t>
      </w:r>
    </w:p>
    <w:p w:rsidR="000A3B51" w:rsidRDefault="003D0A08">
      <w:pPr>
        <w:pStyle w:val="Heading3"/>
        <w:spacing w:after="137" w:line="259" w:lineRule="auto"/>
        <w:ind w:left="1460" w:right="749"/>
      </w:pPr>
      <w:r>
        <w:rPr>
          <w:rFonts w:ascii="Cambria" w:eastAsia="Cambria" w:hAnsi="Cambria" w:cs="Cambria"/>
        </w:rPr>
        <w:t xml:space="preserve">Приложение Г7. </w:t>
      </w:r>
      <w:r>
        <w:t xml:space="preserve">Индекс для оценки функции кисти (FIHOA) (functional Index of Hand OA) </w:t>
      </w:r>
    </w:p>
    <w:p w:rsidR="000A3B51" w:rsidRDefault="003D0A08">
      <w:pPr>
        <w:spacing w:after="3" w:line="394" w:lineRule="auto"/>
        <w:ind w:left="345" w:right="0" w:firstLine="708"/>
        <w:jc w:val="left"/>
      </w:pPr>
      <w:r>
        <w:rPr>
          <w:b/>
          <w:color w:val="222222"/>
        </w:rPr>
        <w:t>Название на русском языке:</w:t>
      </w:r>
      <w:r>
        <w:t xml:space="preserve"> </w:t>
      </w:r>
      <w:r>
        <w:rPr>
          <w:b/>
          <w:color w:val="222222"/>
        </w:rPr>
        <w:t>Индекс для оценки функции кисти</w:t>
      </w:r>
      <w:r>
        <w:rPr>
          <w:color w:val="222222"/>
        </w:rPr>
        <w:t xml:space="preserve"> (</w:t>
      </w:r>
      <w:r>
        <w:t>FIHOA или индекс Драйзера)</w:t>
      </w:r>
      <w:r>
        <w:rPr>
          <w:color w:val="222222"/>
        </w:rPr>
        <w:t xml:space="preserve"> </w:t>
      </w:r>
    </w:p>
    <w:p w:rsidR="000A3B51" w:rsidRDefault="003D0A08">
      <w:pPr>
        <w:spacing w:after="253"/>
        <w:ind w:right="755"/>
      </w:pPr>
      <w:r>
        <w:rPr>
          <w:b/>
          <w:color w:val="222222"/>
        </w:rPr>
        <w:t>Оригинальное название:</w:t>
      </w:r>
      <w:r>
        <w:rPr>
          <w:color w:val="222222"/>
        </w:rPr>
        <w:t xml:space="preserve"> </w:t>
      </w:r>
      <w:r>
        <w:t>Functional Index for Hand Osteoarthritis</w:t>
      </w:r>
      <w:r>
        <w:rPr>
          <w:b/>
          <w:color w:val="222222"/>
        </w:rPr>
        <w:t xml:space="preserve"> </w:t>
      </w:r>
      <w:r>
        <w:rPr>
          <w:color w:val="212529"/>
        </w:rPr>
        <w:t>or Dreiser’s index</w:t>
      </w:r>
      <w:r>
        <w:rPr>
          <w:b/>
          <w:color w:val="222222"/>
        </w:rPr>
        <w:t xml:space="preserve"> </w:t>
      </w:r>
    </w:p>
    <w:p w:rsidR="000A3B51" w:rsidRDefault="003D0A08">
      <w:pPr>
        <w:spacing w:after="3" w:line="271" w:lineRule="auto"/>
        <w:ind w:left="355" w:right="0"/>
        <w:jc w:val="left"/>
      </w:pPr>
      <w:r>
        <w:rPr>
          <w:b/>
          <w:color w:val="222222"/>
        </w:rPr>
        <w:t xml:space="preserve">Источники:  </w:t>
      </w:r>
      <w:r>
        <w:t>[503]</w:t>
      </w:r>
      <w:r>
        <w:rPr>
          <w:b/>
          <w:color w:val="222222"/>
        </w:rPr>
        <w:t xml:space="preserve"> </w:t>
      </w:r>
    </w:p>
    <w:p w:rsidR="000A3B51" w:rsidRDefault="003D0A08">
      <w:pPr>
        <w:spacing w:after="17" w:line="259" w:lineRule="auto"/>
        <w:ind w:left="360" w:right="0" w:firstLine="0"/>
        <w:jc w:val="left"/>
      </w:pPr>
      <w:r>
        <w:rPr>
          <w:color w:val="1A1A1A"/>
        </w:rPr>
        <w:t xml:space="preserve"> </w:t>
      </w:r>
    </w:p>
    <w:p w:rsidR="000A3B51" w:rsidRDefault="003D0A08">
      <w:pPr>
        <w:spacing w:after="275" w:line="259" w:lineRule="auto"/>
        <w:ind w:left="355" w:right="0"/>
        <w:jc w:val="left"/>
      </w:pPr>
      <w:r>
        <w:rPr>
          <w:b/>
          <w:color w:val="1A1A1A"/>
        </w:rPr>
        <w:t xml:space="preserve">Тип (подчеркнуть): </w:t>
      </w:r>
      <w:r>
        <w:rPr>
          <w:color w:val="1A1A1A"/>
          <w:u w:val="single" w:color="1A1A1A"/>
        </w:rPr>
        <w:t>- индекс</w:t>
      </w:r>
      <w:r>
        <w:rPr>
          <w:color w:val="1A1A1A"/>
        </w:rPr>
        <w:t xml:space="preserve"> </w:t>
      </w:r>
    </w:p>
    <w:p w:rsidR="000A3B51" w:rsidRDefault="003D0A08">
      <w:pPr>
        <w:spacing w:after="0" w:line="378" w:lineRule="auto"/>
        <w:ind w:left="355" w:right="746"/>
      </w:pPr>
      <w:r>
        <w:rPr>
          <w:b/>
          <w:color w:val="222222"/>
        </w:rPr>
        <w:t>Назначение:</w:t>
      </w:r>
      <w:r>
        <w:rPr>
          <w:color w:val="222222"/>
        </w:rPr>
        <w:t xml:space="preserve"> оценка степени нарушения функций при ОА кисти. </w:t>
      </w:r>
      <w:r>
        <w:rPr>
          <w:color w:val="262626"/>
        </w:rPr>
        <w:t xml:space="preserve">Применяется в клинической практике и протоколах исследований, а также </w:t>
      </w:r>
      <w:r>
        <w:rPr>
          <w:color w:val="262626"/>
        </w:rPr>
        <w:t>для оценки эффективности терапии.</w:t>
      </w:r>
      <w:r>
        <w:rPr>
          <w:color w:val="222222"/>
        </w:rPr>
        <w:t xml:space="preserve"> </w:t>
      </w:r>
    </w:p>
    <w:p w:rsidR="000A3B51" w:rsidRDefault="003D0A08">
      <w:pPr>
        <w:spacing w:after="0" w:line="259" w:lineRule="auto"/>
        <w:ind w:left="355" w:right="0"/>
        <w:jc w:val="left"/>
      </w:pPr>
      <w:r>
        <w:rPr>
          <w:b/>
          <w:color w:val="1A1A1A"/>
        </w:rPr>
        <w:t>Содержание (шаблон):</w:t>
      </w:r>
      <w:r>
        <w:rPr>
          <w:color w:val="1A1A1A"/>
        </w:rPr>
        <w:t xml:space="preserve"> </w:t>
      </w:r>
    </w:p>
    <w:tbl>
      <w:tblPr>
        <w:tblStyle w:val="TableGrid"/>
        <w:tblW w:w="9182" w:type="dxa"/>
        <w:tblInd w:w="365" w:type="dxa"/>
        <w:tblCellMar>
          <w:top w:w="9" w:type="dxa"/>
          <w:left w:w="106" w:type="dxa"/>
          <w:bottom w:w="10" w:type="dxa"/>
          <w:right w:w="115" w:type="dxa"/>
        </w:tblCellMar>
        <w:tblLook w:val="04A0" w:firstRow="1" w:lastRow="0" w:firstColumn="1" w:lastColumn="0" w:noHBand="0" w:noVBand="1"/>
      </w:tblPr>
      <w:tblGrid>
        <w:gridCol w:w="535"/>
        <w:gridCol w:w="5811"/>
        <w:gridCol w:w="708"/>
        <w:gridCol w:w="709"/>
        <w:gridCol w:w="710"/>
        <w:gridCol w:w="708"/>
      </w:tblGrid>
      <w:tr w:rsidR="000A3B51">
        <w:trPr>
          <w:trHeight w:val="39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1.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поворачивать ключ в замке?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40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резать мясо ножом?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40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3.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резать ткань или бумагу ножницами?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39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4.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поднять полную бутылку?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40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5.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сжимать кулаки?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40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6.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завязывать узел?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790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7.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138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Для женщин: можете и вышить? </w:t>
            </w:r>
          </w:p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Для мужчин: можете ли вы пользоваться отверткой?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398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8.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застегивать пуговицы?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  <w:tr w:rsidR="000A3B51">
        <w:trPr>
          <w:trHeight w:val="401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9. </w:t>
            </w:r>
          </w:p>
        </w:tc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Можете ли вы писать длительное время (10 минут)? 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3" w:right="0" w:firstLine="0"/>
              <w:jc w:val="left"/>
            </w:pPr>
            <w:r>
              <w:rPr>
                <w:color w:val="222222"/>
              </w:rPr>
              <w:t xml:space="preserve">1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2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3 </w:t>
            </w:r>
          </w:p>
        </w:tc>
      </w:tr>
    </w:tbl>
    <w:p w:rsidR="000A3B51" w:rsidRDefault="003D0A08">
      <w:pPr>
        <w:spacing w:after="4" w:line="259" w:lineRule="auto"/>
        <w:ind w:left="355" w:right="753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78018" cy="676909"/>
                <wp:effectExtent l="0" t="0" r="0" b="0"/>
                <wp:docPr id="219328" name="Group 219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8" cy="676909"/>
                          <a:chOff x="0" y="0"/>
                          <a:chExt cx="5978018" cy="676909"/>
                        </a:xfrm>
                      </wpg:grpSpPr>
                      <wps:wsp>
                        <wps:cNvPr id="31338" name="Rectangle 31338"/>
                        <wps:cNvSpPr/>
                        <wps:spPr>
                          <a:xfrm>
                            <a:off x="89916" y="234797"/>
                            <a:ext cx="253365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10.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39" name="Rectangle 31339"/>
                        <wps:cNvSpPr/>
                        <wps:spPr>
                          <a:xfrm>
                            <a:off x="280365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0" name="Rectangle 31340"/>
                        <wps:cNvSpPr/>
                        <wps:spPr>
                          <a:xfrm>
                            <a:off x="428193" y="264917"/>
                            <a:ext cx="240514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Сможете ли вы обменяться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1" name="Rectangle 31341"/>
                        <wps:cNvSpPr/>
                        <wps:spPr>
                          <a:xfrm>
                            <a:off x="2237562" y="264917"/>
                            <a:ext cx="134384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рукопожатием?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2" name="Rectangle 31342"/>
                        <wps:cNvSpPr/>
                        <wps:spPr>
                          <a:xfrm>
                            <a:off x="3251276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3" name="Rectangle 31343"/>
                        <wps:cNvSpPr/>
                        <wps:spPr>
                          <a:xfrm>
                            <a:off x="4119956" y="234797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4" name="Rectangle 31344"/>
                        <wps:cNvSpPr/>
                        <wps:spPr>
                          <a:xfrm>
                            <a:off x="4196157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5" name="Rectangle 31345"/>
                        <wps:cNvSpPr/>
                        <wps:spPr>
                          <a:xfrm>
                            <a:off x="4569917" y="234797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6" name="Rectangle 31346"/>
                        <wps:cNvSpPr/>
                        <wps:spPr>
                          <a:xfrm>
                            <a:off x="4646117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7" name="Rectangle 31347"/>
                        <wps:cNvSpPr/>
                        <wps:spPr>
                          <a:xfrm>
                            <a:off x="5019497" y="234797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8" name="Rectangle 31348"/>
                        <wps:cNvSpPr/>
                        <wps:spPr>
                          <a:xfrm>
                            <a:off x="5095697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49" name="Rectangle 31349"/>
                        <wps:cNvSpPr/>
                        <wps:spPr>
                          <a:xfrm>
                            <a:off x="5469077" y="234797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350" name="Rectangle 31350"/>
                        <wps:cNvSpPr/>
                        <wps:spPr>
                          <a:xfrm>
                            <a:off x="5545277" y="2347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A3B51" w:rsidRDefault="003D0A0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222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1075" name="Shape 231075"/>
                        <wps:cNvSpPr/>
                        <wps:spPr>
                          <a:xfrm>
                            <a:off x="1828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76" name="Shape 231076"/>
                        <wps:cNvSpPr/>
                        <wps:spPr>
                          <a:xfrm>
                            <a:off x="24384" y="0"/>
                            <a:ext cx="3337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756" h="9144">
                                <a:moveTo>
                                  <a:pt x="0" y="0"/>
                                </a:moveTo>
                                <a:lnTo>
                                  <a:pt x="333756" y="0"/>
                                </a:lnTo>
                                <a:lnTo>
                                  <a:pt x="3337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77" name="Shape 231077"/>
                        <wps:cNvSpPr/>
                        <wps:spPr>
                          <a:xfrm>
                            <a:off x="358089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78" name="Shape 231078"/>
                        <wps:cNvSpPr/>
                        <wps:spPr>
                          <a:xfrm>
                            <a:off x="364185" y="0"/>
                            <a:ext cx="368414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4143" h="9144">
                                <a:moveTo>
                                  <a:pt x="0" y="0"/>
                                </a:moveTo>
                                <a:lnTo>
                                  <a:pt x="3684143" y="0"/>
                                </a:lnTo>
                                <a:lnTo>
                                  <a:pt x="368414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79" name="Shape 231079"/>
                        <wps:cNvSpPr/>
                        <wps:spPr>
                          <a:xfrm>
                            <a:off x="404832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0" name="Shape 231080"/>
                        <wps:cNvSpPr/>
                        <wps:spPr>
                          <a:xfrm>
                            <a:off x="4054424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1" name="Shape 231081"/>
                        <wps:cNvSpPr/>
                        <wps:spPr>
                          <a:xfrm>
                            <a:off x="449790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2" name="Shape 231082"/>
                        <wps:cNvSpPr/>
                        <wps:spPr>
                          <a:xfrm>
                            <a:off x="4504004" y="0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3" name="Shape 231083"/>
                        <wps:cNvSpPr/>
                        <wps:spPr>
                          <a:xfrm>
                            <a:off x="494787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4" name="Shape 231084"/>
                        <wps:cNvSpPr/>
                        <wps:spPr>
                          <a:xfrm>
                            <a:off x="4953965" y="0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5" name="Shape 231085"/>
                        <wps:cNvSpPr/>
                        <wps:spPr>
                          <a:xfrm>
                            <a:off x="5398973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6" name="Shape 231086"/>
                        <wps:cNvSpPr/>
                        <wps:spPr>
                          <a:xfrm>
                            <a:off x="5405070" y="0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7" name="Shape 231087"/>
                        <wps:cNvSpPr/>
                        <wps:spPr>
                          <a:xfrm>
                            <a:off x="5848553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8" name="Shape 231088"/>
                        <wps:cNvSpPr/>
                        <wps:spPr>
                          <a:xfrm>
                            <a:off x="18288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89" name="Shape 231089"/>
                        <wps:cNvSpPr/>
                        <wps:spPr>
                          <a:xfrm>
                            <a:off x="18288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0" name="Shape 231090"/>
                        <wps:cNvSpPr/>
                        <wps:spPr>
                          <a:xfrm>
                            <a:off x="24384" y="407162"/>
                            <a:ext cx="33375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756" h="9144">
                                <a:moveTo>
                                  <a:pt x="0" y="0"/>
                                </a:moveTo>
                                <a:lnTo>
                                  <a:pt x="333756" y="0"/>
                                </a:lnTo>
                                <a:lnTo>
                                  <a:pt x="33375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1" name="Shape 231091"/>
                        <wps:cNvSpPr/>
                        <wps:spPr>
                          <a:xfrm>
                            <a:off x="358089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2" name="Shape 231092"/>
                        <wps:cNvSpPr/>
                        <wps:spPr>
                          <a:xfrm>
                            <a:off x="358089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3" name="Shape 231093"/>
                        <wps:cNvSpPr/>
                        <wps:spPr>
                          <a:xfrm>
                            <a:off x="364185" y="407162"/>
                            <a:ext cx="368414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4143" h="9144">
                                <a:moveTo>
                                  <a:pt x="0" y="0"/>
                                </a:moveTo>
                                <a:lnTo>
                                  <a:pt x="3684143" y="0"/>
                                </a:lnTo>
                                <a:lnTo>
                                  <a:pt x="368414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4" name="Shape 231094"/>
                        <wps:cNvSpPr/>
                        <wps:spPr>
                          <a:xfrm>
                            <a:off x="4048328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5" name="Shape 231095"/>
                        <wps:cNvSpPr/>
                        <wps:spPr>
                          <a:xfrm>
                            <a:off x="4048328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6" name="Shape 231096"/>
                        <wps:cNvSpPr/>
                        <wps:spPr>
                          <a:xfrm>
                            <a:off x="4054424" y="40716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7" name="Shape 231097"/>
                        <wps:cNvSpPr/>
                        <wps:spPr>
                          <a:xfrm>
                            <a:off x="4497908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8" name="Shape 231098"/>
                        <wps:cNvSpPr/>
                        <wps:spPr>
                          <a:xfrm>
                            <a:off x="4497908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99" name="Shape 231099"/>
                        <wps:cNvSpPr/>
                        <wps:spPr>
                          <a:xfrm>
                            <a:off x="4504004" y="407162"/>
                            <a:ext cx="4437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789" h="9144">
                                <a:moveTo>
                                  <a:pt x="0" y="0"/>
                                </a:moveTo>
                                <a:lnTo>
                                  <a:pt x="443789" y="0"/>
                                </a:lnTo>
                                <a:lnTo>
                                  <a:pt x="4437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0" name="Shape 231100"/>
                        <wps:cNvSpPr/>
                        <wps:spPr>
                          <a:xfrm>
                            <a:off x="4947870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1" name="Shape 231101"/>
                        <wps:cNvSpPr/>
                        <wps:spPr>
                          <a:xfrm>
                            <a:off x="4947870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2" name="Shape 231102"/>
                        <wps:cNvSpPr/>
                        <wps:spPr>
                          <a:xfrm>
                            <a:off x="4953965" y="407162"/>
                            <a:ext cx="4450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 h="9144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  <a:lnTo>
                                  <a:pt x="4450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3" name="Shape 231103"/>
                        <wps:cNvSpPr/>
                        <wps:spPr>
                          <a:xfrm>
                            <a:off x="5398973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4" name="Shape 231104"/>
                        <wps:cNvSpPr/>
                        <wps:spPr>
                          <a:xfrm>
                            <a:off x="5398973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5" name="Shape 231105"/>
                        <wps:cNvSpPr/>
                        <wps:spPr>
                          <a:xfrm>
                            <a:off x="5405070" y="407162"/>
                            <a:ext cx="4434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484" h="9144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  <a:lnTo>
                                  <a:pt x="4434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6" name="Shape 231106"/>
                        <wps:cNvSpPr/>
                        <wps:spPr>
                          <a:xfrm>
                            <a:off x="5848553" y="6045"/>
                            <a:ext cx="9144" cy="401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111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1117"/>
                                </a:lnTo>
                                <a:lnTo>
                                  <a:pt x="0" y="4011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7" name="Shape 231107"/>
                        <wps:cNvSpPr/>
                        <wps:spPr>
                          <a:xfrm>
                            <a:off x="5848553" y="40716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08" name="Shape 231108"/>
                        <wps:cNvSpPr/>
                        <wps:spPr>
                          <a:xfrm>
                            <a:off x="0" y="413257"/>
                            <a:ext cx="5978018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263652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263652"/>
                                </a:lnTo>
                                <a:lnTo>
                                  <a:pt x="0" y="26365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19328" style="width:470.71pt;height:53.2999pt;mso-position-horizontal-relative:char;mso-position-vertical-relative:line" coordsize="59780,6769">
                <v:rect id="Rectangle 31338" style="position:absolute;width:2533;height:2243;left:899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10.</w:t>
                        </w:r>
                      </w:p>
                    </w:txbxContent>
                  </v:textbox>
                </v:rect>
                <v:rect id="Rectangle 31339" style="position:absolute;width:506;height:2243;left:2803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340" style="position:absolute;width:24051;height:1843;left:4281;top:26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Сможете ли вы обменяться </w:t>
                        </w:r>
                      </w:p>
                    </w:txbxContent>
                  </v:textbox>
                </v:rect>
                <v:rect id="Rectangle 31341" style="position:absolute;width:13438;height:1843;left:22375;top:26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рукопожатием?</w:t>
                        </w:r>
                      </w:p>
                    </w:txbxContent>
                  </v:textbox>
                </v:rect>
                <v:rect id="Rectangle 31342" style="position:absolute;width:506;height:2243;left:32512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343" style="position:absolute;width:1013;height:2243;left:41199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31344" style="position:absolute;width:506;height:2243;left:41961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345" style="position:absolute;width:1013;height:2243;left:45699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31346" style="position:absolute;width:506;height:2243;left:46461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347" style="position:absolute;width:1013;height:2243;left:50194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31348" style="position:absolute;width:506;height:2243;left:50956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349" style="position:absolute;width:1013;height:2243;left:54690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3</w:t>
                        </w:r>
                      </w:p>
                    </w:txbxContent>
                  </v:textbox>
                </v:rect>
                <v:rect id="Rectangle 31350" style="position:absolute;width:506;height:2243;left:55452;top:2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222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31109" style="position:absolute;width:91;height:91;left:182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10" style="position:absolute;width:3337;height:91;left:243;top:0;" coordsize="333756,9144" path="m0,0l333756,0l333756,9144l0,9144l0,0">
                  <v:stroke weight="0pt" endcap="flat" joinstyle="miter" miterlimit="10" on="false" color="#000000" opacity="0"/>
                  <v:fill on="true" color="#000000"/>
                </v:shape>
                <v:shape id="Shape 231111" style="position:absolute;width:91;height:91;left:358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12" style="position:absolute;width:36841;height:91;left:3641;top:0;" coordsize="3684143,9144" path="m0,0l3684143,0l3684143,9144l0,9144l0,0">
                  <v:stroke weight="0pt" endcap="flat" joinstyle="miter" miterlimit="10" on="false" color="#000000" opacity="0"/>
                  <v:fill on="true" color="#000000"/>
                </v:shape>
                <v:shape id="Shape 231113" style="position:absolute;width:91;height:91;left:40483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14" style="position:absolute;width:4434;height:91;left:40544;top:0;" coordsize="443484,9144" path="m0,0l443484,0l443484,9144l0,9144l0,0">
                  <v:stroke weight="0pt" endcap="flat" joinstyle="miter" miterlimit="10" on="false" color="#000000" opacity="0"/>
                  <v:fill on="true" color="#000000"/>
                </v:shape>
                <v:shape id="Shape 231115" style="position:absolute;width:91;height:91;left:44979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16" style="position:absolute;width:4437;height:91;left:45040;top:0;" coordsize="443789,9144" path="m0,0l443789,0l443789,9144l0,9144l0,0">
                  <v:stroke weight="0pt" endcap="flat" joinstyle="miter" miterlimit="10" on="false" color="#000000" opacity="0"/>
                  <v:fill on="true" color="#000000"/>
                </v:shape>
                <v:shape id="Shape 231117" style="position:absolute;width:91;height:91;left:49478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18" style="position:absolute;width:4450;height:91;left:49539;top:0;" coordsize="445008,9144" path="m0,0l445008,0l445008,9144l0,9144l0,0">
                  <v:stroke weight="0pt" endcap="flat" joinstyle="miter" miterlimit="10" on="false" color="#000000" opacity="0"/>
                  <v:fill on="true" color="#000000"/>
                </v:shape>
                <v:shape id="Shape 231119" style="position:absolute;width:91;height:91;left:53989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20" style="position:absolute;width:4434;height:91;left:54050;top:0;" coordsize="443484,9144" path="m0,0l443484,0l443484,9144l0,9144l0,0">
                  <v:stroke weight="0pt" endcap="flat" joinstyle="miter" miterlimit="10" on="false" color="#000000" opacity="0"/>
                  <v:fill on="true" color="#000000"/>
                </v:shape>
                <v:shape id="Shape 231121" style="position:absolute;width:91;height:91;left:58485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22" style="position:absolute;width:91;height:4011;left:182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23" style="position:absolute;width:91;height:91;left:182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24" style="position:absolute;width:3337;height:91;left:243;top:4071;" coordsize="333756,9144" path="m0,0l333756,0l333756,9144l0,9144l0,0">
                  <v:stroke weight="0pt" endcap="flat" joinstyle="miter" miterlimit="10" on="false" color="#000000" opacity="0"/>
                  <v:fill on="true" color="#000000"/>
                </v:shape>
                <v:shape id="Shape 231125" style="position:absolute;width:91;height:4011;left:3580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26" style="position:absolute;width:91;height:91;left:3580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27" style="position:absolute;width:36841;height:91;left:3641;top:4071;" coordsize="3684143,9144" path="m0,0l3684143,0l3684143,9144l0,9144l0,0">
                  <v:stroke weight="0pt" endcap="flat" joinstyle="miter" miterlimit="10" on="false" color="#000000" opacity="0"/>
                  <v:fill on="true" color="#000000"/>
                </v:shape>
                <v:shape id="Shape 231128" style="position:absolute;width:91;height:4011;left:40483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29" style="position:absolute;width:91;height:91;left:40483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30" style="position:absolute;width:4434;height:91;left:40544;top:4071;" coordsize="443484,9144" path="m0,0l443484,0l443484,9144l0,9144l0,0">
                  <v:stroke weight="0pt" endcap="flat" joinstyle="miter" miterlimit="10" on="false" color="#000000" opacity="0"/>
                  <v:fill on="true" color="#000000"/>
                </v:shape>
                <v:shape id="Shape 231131" style="position:absolute;width:91;height:4011;left:44979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32" style="position:absolute;width:91;height:91;left:44979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33" style="position:absolute;width:4437;height:91;left:45040;top:4071;" coordsize="443789,9144" path="m0,0l443789,0l443789,9144l0,9144l0,0">
                  <v:stroke weight="0pt" endcap="flat" joinstyle="miter" miterlimit="10" on="false" color="#000000" opacity="0"/>
                  <v:fill on="true" color="#000000"/>
                </v:shape>
                <v:shape id="Shape 231134" style="position:absolute;width:91;height:4011;left:49478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35" style="position:absolute;width:91;height:91;left:49478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36" style="position:absolute;width:4450;height:91;left:49539;top:4071;" coordsize="445008,9144" path="m0,0l445008,0l445008,9144l0,9144l0,0">
                  <v:stroke weight="0pt" endcap="flat" joinstyle="miter" miterlimit="10" on="false" color="#000000" opacity="0"/>
                  <v:fill on="true" color="#000000"/>
                </v:shape>
                <v:shape id="Shape 231137" style="position:absolute;width:91;height:4011;left:53989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38" style="position:absolute;width:91;height:91;left:53989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39" style="position:absolute;width:4434;height:91;left:54050;top:4071;" coordsize="443484,9144" path="m0,0l443484,0l443484,9144l0,9144l0,0">
                  <v:stroke weight="0pt" endcap="flat" joinstyle="miter" miterlimit="10" on="false" color="#000000" opacity="0"/>
                  <v:fill on="true" color="#000000"/>
                </v:shape>
                <v:shape id="Shape 231140" style="position:absolute;width:91;height:4011;left:58485;top:60;" coordsize="9144,401117" path="m0,0l9144,0l9144,401117l0,401117l0,0">
                  <v:stroke weight="0pt" endcap="flat" joinstyle="miter" miterlimit="10" on="false" color="#000000" opacity="0"/>
                  <v:fill on="true" color="#000000"/>
                </v:shape>
                <v:shape id="Shape 231141" style="position:absolute;width:91;height:91;left:58485;top:407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31142" style="position:absolute;width:59780;height:2636;left:0;top:4132;" coordsize="5978018,263652" path="m0,0l5978018,0l5978018,263652l0,263652l0,0">
                  <v:stroke weight="0pt" endcap="flat" joinstyle="miter" miterlimit="10" on="false" color="#000000" opacity="0"/>
                  <v:fill on="true" color="#ffffff"/>
                </v:shape>
              </v:group>
            </w:pict>
          </mc:Fallback>
        </mc:AlternateContent>
      </w:r>
      <w:r>
        <w:rPr>
          <w:b/>
          <w:color w:val="1A1A1A"/>
        </w:rPr>
        <w:t>Ключ</w:t>
      </w:r>
      <w:r>
        <w:rPr>
          <w:color w:val="1A1A1A"/>
        </w:rPr>
        <w:t xml:space="preserve"> (интерпретация): </w:t>
      </w:r>
    </w:p>
    <w:p w:rsidR="000A3B51" w:rsidRDefault="003D0A08">
      <w:pPr>
        <w:numPr>
          <w:ilvl w:val="0"/>
          <w:numId w:val="35"/>
        </w:numPr>
        <w:spacing w:after="151"/>
        <w:ind w:right="755" w:hanging="180"/>
      </w:pPr>
      <w:r>
        <w:rPr>
          <w:color w:val="222222"/>
        </w:rPr>
        <w:t xml:space="preserve">– </w:t>
      </w:r>
      <w:r>
        <w:t xml:space="preserve">возможно без затруднений; </w:t>
      </w:r>
    </w:p>
    <w:p w:rsidR="000A3B51" w:rsidRDefault="003D0A08">
      <w:pPr>
        <w:numPr>
          <w:ilvl w:val="0"/>
          <w:numId w:val="35"/>
        </w:numPr>
        <w:spacing w:after="153"/>
        <w:ind w:right="755" w:hanging="180"/>
      </w:pPr>
      <w:r>
        <w:rPr>
          <w:color w:val="222222"/>
        </w:rPr>
        <w:t>–</w:t>
      </w:r>
      <w:r>
        <w:t xml:space="preserve"> возможно с незначительными трудностями; </w:t>
      </w:r>
    </w:p>
    <w:p w:rsidR="000A3B51" w:rsidRDefault="003D0A08">
      <w:pPr>
        <w:numPr>
          <w:ilvl w:val="0"/>
          <w:numId w:val="35"/>
        </w:numPr>
        <w:spacing w:after="11" w:line="390" w:lineRule="auto"/>
        <w:ind w:right="755" w:hanging="180"/>
      </w:pPr>
      <w:r>
        <w:rPr>
          <w:color w:val="222222"/>
        </w:rPr>
        <w:t>–</w:t>
      </w:r>
      <w:r>
        <w:t xml:space="preserve"> возможно с существенными трудностями; 3 </w:t>
      </w:r>
      <w:r>
        <w:rPr>
          <w:color w:val="222222"/>
        </w:rPr>
        <w:t>–</w:t>
      </w:r>
      <w:r>
        <w:t xml:space="preserve"> невозможно. </w:t>
      </w:r>
    </w:p>
    <w:p w:rsidR="000A3B51" w:rsidRDefault="003D0A08">
      <w:pPr>
        <w:spacing w:after="35" w:line="398" w:lineRule="auto"/>
        <w:ind w:left="360" w:right="755" w:firstLine="708"/>
      </w:pPr>
      <w:r>
        <w:rPr>
          <w:b/>
        </w:rPr>
        <w:t>Пояснение:</w:t>
      </w:r>
      <w:r>
        <w:t xml:space="preserve"> FIHOA оценивает функциональные нарушения, связанные с ОА суставов кисти, по шкале от 0 (отсутствие функциональных нару</w:t>
      </w:r>
      <w:r>
        <w:t xml:space="preserve">шений) до 30 баллов (максимальное нарушение). Состоит из 10 вопросов, оцениваемых по 4-балльной шкале. Он оценивает функциональное влияние ОА этой локализации на повседневную жизнь пациента. </w:t>
      </w:r>
    </w:p>
    <w:p w:rsidR="000A3B51" w:rsidRDefault="003D0A08">
      <w:pPr>
        <w:spacing w:after="135" w:line="259" w:lineRule="auto"/>
        <w:ind w:left="2458" w:right="0" w:firstLine="0"/>
        <w:jc w:val="left"/>
      </w:pPr>
      <w:r>
        <w:rPr>
          <w:rFonts w:ascii="Cambria" w:eastAsia="Cambria" w:hAnsi="Cambria" w:cs="Cambria"/>
          <w:b/>
          <w:sz w:val="28"/>
        </w:rPr>
        <w:t xml:space="preserve">Приложение Г8. </w:t>
      </w:r>
      <w:r>
        <w:rPr>
          <w:b/>
          <w:color w:val="222222"/>
          <w:sz w:val="28"/>
        </w:rPr>
        <w:t xml:space="preserve"> Индекс Освестри</w:t>
      </w:r>
      <w:r>
        <w:rPr>
          <w:rFonts w:ascii="Arial" w:eastAsia="Arial" w:hAnsi="Arial" w:cs="Arial"/>
          <w:sz w:val="23"/>
        </w:rPr>
        <w:t xml:space="preserve"> (</w:t>
      </w:r>
      <w:r>
        <w:rPr>
          <w:b/>
          <w:sz w:val="28"/>
        </w:rPr>
        <w:t xml:space="preserve">Oswestry) </w:t>
      </w:r>
    </w:p>
    <w:p w:rsidR="000A3B51" w:rsidRDefault="003D0A08">
      <w:pPr>
        <w:spacing w:after="126" w:line="271" w:lineRule="auto"/>
        <w:ind w:left="1078" w:right="0"/>
        <w:jc w:val="left"/>
      </w:pPr>
      <w:r>
        <w:rPr>
          <w:b/>
          <w:color w:val="222222"/>
        </w:rPr>
        <w:t xml:space="preserve">Название на русском </w:t>
      </w:r>
      <w:r>
        <w:rPr>
          <w:b/>
          <w:color w:val="222222"/>
        </w:rPr>
        <w:t>языке:</w:t>
      </w:r>
      <w:r>
        <w:rPr>
          <w:color w:val="222222"/>
        </w:rPr>
        <w:t xml:space="preserve"> Индекс Освестри </w:t>
      </w:r>
    </w:p>
    <w:p w:rsidR="000A3B51" w:rsidRDefault="003D0A08">
      <w:pPr>
        <w:spacing w:after="157" w:line="259" w:lineRule="auto"/>
        <w:ind w:left="345" w:right="750" w:firstLine="2"/>
      </w:pPr>
      <w:r>
        <w:rPr>
          <w:b/>
          <w:color w:val="222222"/>
        </w:rPr>
        <w:t>Оригинальное название:</w:t>
      </w:r>
      <w:r>
        <w:rPr>
          <w:color w:val="222222"/>
        </w:rPr>
        <w:t xml:space="preserve"> The Oswestry Disability Index  </w:t>
      </w:r>
    </w:p>
    <w:p w:rsidR="000A3B51" w:rsidRDefault="003D0A08">
      <w:pPr>
        <w:spacing w:after="150" w:line="271" w:lineRule="auto"/>
        <w:ind w:left="355" w:right="0"/>
        <w:jc w:val="left"/>
      </w:pPr>
      <w:r>
        <w:rPr>
          <w:b/>
          <w:color w:val="222222"/>
        </w:rPr>
        <w:t xml:space="preserve">Источники: </w:t>
      </w:r>
      <w:r>
        <w:t>[504–506]</w:t>
      </w:r>
      <w:r>
        <w:rPr>
          <w:color w:val="222222"/>
        </w:rPr>
        <w:t xml:space="preserve"> </w:t>
      </w:r>
    </w:p>
    <w:p w:rsidR="000A3B51" w:rsidRDefault="003D0A08">
      <w:pPr>
        <w:spacing w:after="160" w:line="259" w:lineRule="auto"/>
        <w:ind w:left="355" w:right="0"/>
        <w:jc w:val="left"/>
      </w:pPr>
      <w:r>
        <w:rPr>
          <w:b/>
          <w:color w:val="1A1A1A"/>
        </w:rPr>
        <w:t xml:space="preserve">Тип (подчеркнуть): </w:t>
      </w:r>
      <w:r>
        <w:rPr>
          <w:color w:val="1A1A1A"/>
        </w:rPr>
        <w:t xml:space="preserve">- </w:t>
      </w:r>
      <w:r>
        <w:rPr>
          <w:color w:val="1A1A1A"/>
          <w:u w:val="single" w:color="1A1A1A"/>
        </w:rPr>
        <w:t>вопросник</w:t>
      </w:r>
      <w:r>
        <w:rPr>
          <w:color w:val="1A1A1A"/>
        </w:rPr>
        <w:t xml:space="preserve"> </w:t>
      </w:r>
    </w:p>
    <w:p w:rsidR="000A3B51" w:rsidRDefault="003D0A08">
      <w:pPr>
        <w:spacing w:after="0" w:line="398" w:lineRule="auto"/>
        <w:ind w:left="345" w:right="750" w:firstLine="2"/>
      </w:pPr>
      <w:r>
        <w:rPr>
          <w:b/>
          <w:color w:val="222222"/>
        </w:rPr>
        <w:t>Назначение:</w:t>
      </w:r>
      <w:r>
        <w:rPr>
          <w:color w:val="222222"/>
        </w:rPr>
        <w:t xml:space="preserve"> оценка степени нарушения функций (жизнедеятельности) при хронической боли в нижней части спины. </w:t>
      </w:r>
    </w:p>
    <w:p w:rsidR="000A3B51" w:rsidRDefault="003D0A08">
      <w:pPr>
        <w:spacing w:after="0" w:line="259" w:lineRule="auto"/>
        <w:ind w:left="355" w:right="0"/>
        <w:jc w:val="left"/>
      </w:pPr>
      <w:r>
        <w:rPr>
          <w:b/>
          <w:color w:val="1A1A1A"/>
        </w:rPr>
        <w:t>Содержание</w:t>
      </w:r>
      <w:r>
        <w:rPr>
          <w:color w:val="1A1A1A"/>
        </w:rPr>
        <w:t xml:space="preserve"> </w:t>
      </w:r>
      <w:r>
        <w:rPr>
          <w:color w:val="1A1A1A"/>
        </w:rPr>
        <w:t xml:space="preserve">(шаблон): </w:t>
      </w:r>
    </w:p>
    <w:tbl>
      <w:tblPr>
        <w:tblStyle w:val="TableGrid"/>
        <w:tblW w:w="9443" w:type="dxa"/>
        <w:tblInd w:w="367" w:type="dxa"/>
        <w:tblCellMar>
          <w:top w:w="102" w:type="dxa"/>
          <w:left w:w="106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9083"/>
        <w:gridCol w:w="360"/>
      </w:tblGrid>
      <w:tr w:rsidR="000A3B51">
        <w:trPr>
          <w:trHeight w:val="866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</w:pPr>
            <w:r>
              <w:rPr>
                <w:b/>
                <w:color w:val="222222"/>
              </w:rPr>
              <w:t xml:space="preserve">Этот вопросник предназначен для получения информации о том, в какой степени боль в спине или ноге повлияла на Вашу повседневную жизнь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 </w:t>
            </w:r>
          </w:p>
        </w:tc>
      </w:tr>
      <w:tr w:rsidR="000A3B51">
        <w:trPr>
          <w:trHeight w:val="866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</w:pPr>
            <w:r>
              <w:rPr>
                <w:color w:val="222222"/>
              </w:rPr>
              <w:t xml:space="preserve">Пожалуйста, дайте ответ по каждому разделу и пометьте в каждом разделе только один квадратик, который имеет отношение к Вам.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1142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58" w:firstLine="0"/>
            </w:pPr>
            <w:r>
              <w:rPr>
                <w:color w:val="222222"/>
              </w:rPr>
              <w:t>Мы понимаем, что в каждом разделе к Вам могут иметь отношение два утверждения. Но, пожалуйста, сделайте отметку только в том к</w:t>
            </w:r>
            <w:r>
              <w:rPr>
                <w:color w:val="222222"/>
              </w:rPr>
              <w:t xml:space="preserve">вадратике, который наиболее точно описывает Вашу проблему.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1. Интенсивность боли.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1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231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у меня нет боли. </w:t>
            </w:r>
          </w:p>
        </w:tc>
        <w:tc>
          <w:tcPr>
            <w:tcW w:w="360" w:type="dxa"/>
            <w:tcBorders>
              <w:top w:val="single" w:sz="61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241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боль очень лёгкая.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230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боль умеренная.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34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267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боль довольно сильная.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</w:tbl>
    <w:p w:rsidR="000A3B51" w:rsidRDefault="000A3B51">
      <w:pPr>
        <w:spacing w:after="0" w:line="259" w:lineRule="auto"/>
        <w:ind w:left="-1342" w:right="668" w:firstLine="0"/>
        <w:jc w:val="left"/>
      </w:pPr>
    </w:p>
    <w:tbl>
      <w:tblPr>
        <w:tblStyle w:val="TableGrid"/>
        <w:tblW w:w="9443" w:type="dxa"/>
        <w:tblInd w:w="367" w:type="dxa"/>
        <w:tblCellMar>
          <w:top w:w="102" w:type="dxa"/>
          <w:left w:w="106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9083"/>
        <w:gridCol w:w="360"/>
      </w:tblGrid>
      <w:tr w:rsidR="000A3B51">
        <w:trPr>
          <w:trHeight w:val="869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</w:pPr>
            <w:r>
              <w:rPr>
                <w:b/>
                <w:color w:val="222222"/>
              </w:rPr>
              <w:t xml:space="preserve">Этот вопросник предназначен для получения информации о том, в какой степени боль в спине или ноге повлияла на Вашу повседневную жизнь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49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боль очень сильная.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866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360" w:right="0" w:hanging="36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В настоящий момент боль наихудшая из всех болей, которые только можно себе представить.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2. Самообслуживание (умывание, одевание и т. д.)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49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обслуживать себя нормально без существенной боли.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27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</w:t>
            </w:r>
            <w:r>
              <w:rPr>
                <w:color w:val="222222"/>
              </w:rPr>
              <w:t xml:space="preserve">могу обслуживать себя нормально с некоторой болью.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1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864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Самообслуживание причиняет мне боль; я медлителен и осторожен. </w:t>
            </w:r>
          </w:p>
        </w:tc>
        <w:tc>
          <w:tcPr>
            <w:tcW w:w="360" w:type="dxa"/>
            <w:tcBorders>
              <w:top w:val="single" w:sz="61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437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нуждаюсь в некоторой помощи, но в основном справляюсь самостоятельно.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364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Чтобы обслужить себя я нуждаюсь в ежедневной помощи.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44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не могу одеться, с трудом умываюсь и остаюсь в постели.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3. Подъем тяжести.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54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поднимать тяжёлые предметы без существенной боли.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32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поднимать тяжёлые предметы с некоторой болью.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866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360" w:right="0" w:hanging="36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поднимать тяжёлые предметы с пола, но я могу справиться, если они расположены удобно, например, на столе.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1142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360" w:right="65" w:hanging="360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color w:val="222222"/>
              </w:rPr>
              <w:t xml:space="preserve">Боль мешает мне поднимать тяжёлые предметы с пола, но я могу справиться с лёгкими предметами или предметами средней тяжести, если они удобно расположены. 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92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поднимать только очень лёгкие предметы.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02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вовсе не могу ни поднять, ни перенести что-либо.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4. Ходьба.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92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не мешает мне ходить на любые расстояния. 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06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ходить на расстояние больше 1 км.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34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406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ходить на расстояние больше 500 метров.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</w:tbl>
    <w:p w:rsidR="000A3B51" w:rsidRDefault="000A3B51">
      <w:pPr>
        <w:spacing w:after="0" w:line="259" w:lineRule="auto"/>
        <w:ind w:left="-1342" w:right="668" w:firstLine="0"/>
        <w:jc w:val="left"/>
      </w:pPr>
    </w:p>
    <w:tbl>
      <w:tblPr>
        <w:tblStyle w:val="TableGrid"/>
        <w:tblW w:w="9443" w:type="dxa"/>
        <w:tblInd w:w="367" w:type="dxa"/>
        <w:tblCellMar>
          <w:top w:w="102" w:type="dxa"/>
          <w:left w:w="106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9083"/>
        <w:gridCol w:w="360"/>
      </w:tblGrid>
      <w:tr w:rsidR="000A3B51">
        <w:trPr>
          <w:trHeight w:val="869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</w:pPr>
            <w:r>
              <w:rPr>
                <w:b/>
                <w:color w:val="222222"/>
              </w:rPr>
              <w:t xml:space="preserve">Этот вопросник предназначен для получения информации о том, в какой степени боль в спине или ноге повлияла на Вашу повседневную жизнь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404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ходить на расстояние больше 100 метров.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702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ходить, только опираясь на трость, костыли или ходунки.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443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с трудом добираюсь до туалета и большую часть времени остаюсь в постели.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5. Положение сидя.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20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сидеть на любом стуле столько, сколько захочу.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404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сидеть столько, сколько захочу, только на моём любимом стуле.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386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сидеть больше 1 часа.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54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сидеть больше 30 минут.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54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сидеть больше 10 минут.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23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>Из-</w:t>
            </w:r>
            <w:r>
              <w:rPr>
                <w:color w:val="222222"/>
              </w:rPr>
              <w:t xml:space="preserve">за боли я вообще не могу сидеть.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6. Положение стоя.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62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стоять столько, сколько захочу, без существенной боли.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39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стоять столько, сколько захочу, с некоторой болью.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37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стоять больше 1 часа.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533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стоять больше 30 минут.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532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мешает мне стоять больше 10 минут.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21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вообще не могу стоять.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7. Сон.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trHeight w:val="591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647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Мой сон никогда не прерывается из-за боли.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432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Иногда мой сон прерывается из-за боли.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14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сплю меньше 6 часов.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trHeight w:val="532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14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сплю меньше 4 часов. </w:t>
            </w:r>
          </w:p>
        </w:tc>
        <w:tc>
          <w:tcPr>
            <w:tcW w:w="360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</w:tbl>
    <w:p w:rsidR="000A3B51" w:rsidRDefault="000A3B51">
      <w:pPr>
        <w:spacing w:after="0" w:line="259" w:lineRule="auto"/>
        <w:ind w:left="-1342" w:right="668" w:firstLine="0"/>
        <w:jc w:val="left"/>
      </w:pPr>
    </w:p>
    <w:tbl>
      <w:tblPr>
        <w:tblStyle w:val="TableGrid"/>
        <w:tblW w:w="9443" w:type="dxa"/>
        <w:tblInd w:w="367" w:type="dxa"/>
        <w:tblCellMar>
          <w:top w:w="102" w:type="dxa"/>
          <w:left w:w="106" w:type="dxa"/>
          <w:bottom w:w="0" w:type="dxa"/>
          <w:right w:w="91" w:type="dxa"/>
        </w:tblCellMar>
        <w:tblLook w:val="04A0" w:firstRow="1" w:lastRow="0" w:firstColumn="1" w:lastColumn="0" w:noHBand="0" w:noVBand="1"/>
      </w:tblPr>
      <w:tblGrid>
        <w:gridCol w:w="16"/>
        <w:gridCol w:w="9083"/>
        <w:gridCol w:w="329"/>
        <w:gridCol w:w="31"/>
      </w:tblGrid>
      <w:tr w:rsidR="000A3B51">
        <w:trPr>
          <w:gridBefore w:val="1"/>
          <w:wBefore w:w="16" w:type="dxa"/>
          <w:trHeight w:val="869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</w:pPr>
            <w:r>
              <w:rPr>
                <w:b/>
                <w:color w:val="222222"/>
              </w:rPr>
              <w:t xml:space="preserve">Этот вопросник предназначен для получения информации о том, в какой степени боль в спине или ноге повлияла на Вашу повседневную жизнь </w:t>
            </w:r>
          </w:p>
        </w:tc>
        <w:tc>
          <w:tcPr>
            <w:tcW w:w="3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14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>Из-</w:t>
            </w:r>
            <w:r>
              <w:rPr>
                <w:color w:val="222222"/>
              </w:rPr>
              <w:t xml:space="preserve">за боли я сплю меньше 2 часов.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23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вообще не могу уснуть.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8. Сексуальная жизнь.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gridBefore w:val="1"/>
          <w:wBefore w:w="16" w:type="dxa"/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402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Моя сексуальная жизнь нормальна и не причиняет существенной боли.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824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Моя сексуальная жизнь нормальна, но причиняет небольшую боль.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1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627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Моя сексуальная жизнь почти нормальна, но очень болезненна.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957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Моя сексуальная жизнь сильно ограничена болью.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15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почти лишен/лишена сексуальной жизни.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33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лишает меня сексуальной жизни.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9. Образ жизни.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144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веду активный образ жизни без существенной боли.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92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веду активный образ жизни с некоторой болью. 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866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360" w:right="0" w:hanging="36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не особенно влияет на мой образ жизни, но ограничивает наиболее активную деятельность, например, занятия спортом и т.п.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428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моя активность ограничена; я выхожу из дома реже, чем обычно. 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22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>Из-</w:t>
            </w:r>
            <w:r>
              <w:rPr>
                <w:color w:val="222222"/>
              </w:rPr>
              <w:t xml:space="preserve">за боли моя активность ограничена пределами дома.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3"/>
        </w:trPr>
        <w:tc>
          <w:tcPr>
            <w:tcW w:w="9083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929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моя активность полностью ограничена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  <w:color w:val="222222"/>
              </w:rPr>
              <w:t>Раздел 10. Поездки, путешествия.</w:t>
            </w:r>
            <w:r>
              <w:rPr>
                <w:color w:val="222222"/>
              </w:rPr>
              <w:t xml:space="preserve">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color w:val="222222"/>
              </w:rPr>
              <w:t xml:space="preserve"> </w:t>
            </w:r>
            <w:r>
              <w:rPr>
                <w:color w:val="222222"/>
              </w:rPr>
              <w:t xml:space="preserve"> </w:t>
            </w:r>
          </w:p>
        </w:tc>
      </w:tr>
      <w:tr w:rsidR="000A3B51">
        <w:trPr>
          <w:gridBefore w:val="1"/>
          <w:wBefore w:w="16" w:type="dxa"/>
          <w:trHeight w:val="591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28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поехать куда угодно без боли.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2822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поехать куда угодно с некоторой болью. 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3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83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Боль довольно сильная, но я могу выдержать двухчасовую поездку.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90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802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могу выдержать поездку, длящуюся не больше 1 часа.   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rPr>
          <w:gridBefore w:val="1"/>
          <w:wBefore w:w="16" w:type="dxa"/>
          <w:trHeight w:val="532"/>
        </w:trPr>
        <w:tc>
          <w:tcPr>
            <w:tcW w:w="9083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46"/>
                <w:tab w:val="center" w:pos="3958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Из-за боли я могу выдержать поездку, длящуюся не больше 30 минут. </w:t>
            </w:r>
          </w:p>
        </w:tc>
        <w:tc>
          <w:tcPr>
            <w:tcW w:w="360" w:type="dxa"/>
            <w:gridSpan w:val="2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43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blPrEx>
          <w:tblCellMar>
            <w:top w:w="58" w:type="dxa"/>
            <w:left w:w="9" w:type="dxa"/>
            <w:right w:w="7" w:type="dxa"/>
          </w:tblCellMar>
        </w:tblPrEx>
        <w:trPr>
          <w:gridAfter w:val="1"/>
          <w:wAfter w:w="31" w:type="dxa"/>
          <w:trHeight w:val="869"/>
        </w:trPr>
        <w:tc>
          <w:tcPr>
            <w:tcW w:w="90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158" w:right="0" w:firstLine="0"/>
            </w:pPr>
            <w:r>
              <w:rPr>
                <w:b/>
                <w:color w:val="222222"/>
              </w:rPr>
              <w:t xml:space="preserve">Этот вопросник предназначен для получения информации о том, в какой степени боль в спине или ноге повлияла на Вашу повседневную жизнь </w:t>
            </w:r>
          </w:p>
        </w:tc>
        <w:tc>
          <w:tcPr>
            <w:tcW w:w="329" w:type="dxa"/>
            <w:tcBorders>
              <w:top w:val="single" w:sz="6" w:space="0" w:color="000000"/>
              <w:left w:val="single" w:sz="6" w:space="0" w:color="000000"/>
              <w:bottom w:val="single" w:sz="60" w:space="0" w:color="FFFFFF"/>
              <w:right w:val="single" w:sz="6" w:space="0" w:color="000000"/>
            </w:tcBorders>
          </w:tcPr>
          <w:p w:rsidR="000A3B51" w:rsidRDefault="003D0A08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color w:val="222222"/>
              </w:rPr>
              <w:t xml:space="preserve">  </w:t>
            </w:r>
          </w:p>
        </w:tc>
      </w:tr>
      <w:tr w:rsidR="000A3B51">
        <w:tblPrEx>
          <w:tblCellMar>
            <w:top w:w="58" w:type="dxa"/>
            <w:left w:w="9" w:type="dxa"/>
            <w:right w:w="7" w:type="dxa"/>
          </w:tblCellMar>
        </w:tblPrEx>
        <w:trPr>
          <w:gridAfter w:val="1"/>
          <w:wAfter w:w="31" w:type="dxa"/>
          <w:trHeight w:val="534"/>
        </w:trPr>
        <w:tc>
          <w:tcPr>
            <w:tcW w:w="9099" w:type="dxa"/>
            <w:gridSpan w:val="2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tabs>
                <w:tab w:val="center" w:pos="303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Segoe UI Symbol" w:eastAsia="Segoe UI Symbol" w:hAnsi="Segoe UI Symbol" w:cs="Segoe UI Symbol"/>
                <w:color w:val="222222"/>
                <w:sz w:val="20"/>
              </w:rPr>
              <w:t></w:t>
            </w:r>
            <w:r>
              <w:rPr>
                <w:rFonts w:ascii="Arial" w:eastAsia="Arial" w:hAnsi="Arial" w:cs="Arial"/>
                <w:color w:val="222222"/>
                <w:sz w:val="20"/>
              </w:rPr>
              <w:t xml:space="preserve"> </w:t>
            </w:r>
            <w:r>
              <w:rPr>
                <w:rFonts w:ascii="Arial" w:eastAsia="Arial" w:hAnsi="Arial" w:cs="Arial"/>
                <w:color w:val="222222"/>
                <w:sz w:val="20"/>
              </w:rPr>
              <w:tab/>
            </w:r>
            <w:r>
              <w:rPr>
                <w:color w:val="222222"/>
              </w:rPr>
              <w:t xml:space="preserve">Я могу доехать только до врача или до больницы. </w:t>
            </w:r>
          </w:p>
        </w:tc>
        <w:tc>
          <w:tcPr>
            <w:tcW w:w="329" w:type="dxa"/>
            <w:tcBorders>
              <w:top w:val="single" w:sz="60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B51" w:rsidRDefault="003D0A08">
            <w:pPr>
              <w:spacing w:after="0" w:line="259" w:lineRule="auto"/>
              <w:ind w:left="86" w:right="0" w:firstLine="0"/>
              <w:jc w:val="center"/>
            </w:pPr>
            <w:r>
              <w:rPr>
                <w:color w:val="222222"/>
              </w:rPr>
              <w:t xml:space="preserve">  </w:t>
            </w:r>
          </w:p>
        </w:tc>
      </w:tr>
      <w:tr w:rsidR="000A3B51">
        <w:tblPrEx>
          <w:tblCellMar>
            <w:top w:w="58" w:type="dxa"/>
            <w:left w:w="9" w:type="dxa"/>
            <w:right w:w="7" w:type="dxa"/>
          </w:tblCellMar>
        </w:tblPrEx>
        <w:trPr>
          <w:gridAfter w:val="1"/>
          <w:wAfter w:w="31" w:type="dxa"/>
          <w:trHeight w:val="421"/>
        </w:trPr>
        <w:tc>
          <w:tcPr>
            <w:tcW w:w="9429" w:type="dxa"/>
            <w:gridSpan w:val="3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b/>
                <w:color w:val="1A1A1A"/>
              </w:rPr>
              <w:t>Ключ (интерпретация):</w:t>
            </w:r>
            <w:r>
              <w:rPr>
                <w:color w:val="222222"/>
              </w:rPr>
              <w:t xml:space="preserve"> </w:t>
            </w:r>
            <w:r>
              <w:rPr>
                <w:color w:val="222222"/>
              </w:rPr>
              <w:t xml:space="preserve">индекс Освестри состоит из 10 разделов. В каждом разделе </w:t>
            </w:r>
          </w:p>
        </w:tc>
      </w:tr>
    </w:tbl>
    <w:p w:rsidR="000A3B51" w:rsidRDefault="003D0A08">
      <w:pPr>
        <w:spacing w:after="0" w:line="394" w:lineRule="auto"/>
        <w:ind w:left="345" w:right="750" w:firstLine="2"/>
      </w:pPr>
      <w:r>
        <w:rPr>
          <w:color w:val="222222"/>
        </w:rPr>
        <w:t>первый ответ -минимальный балл (0), последующие ответы соответственно 1,2,3,4 и 5 баллов</w:t>
      </w:r>
      <w:r>
        <w:rPr>
          <w:b/>
          <w:color w:val="1A1A1A"/>
        </w:rPr>
        <w:t xml:space="preserve"> </w:t>
      </w:r>
    </w:p>
    <w:p w:rsidR="000A3B51" w:rsidRDefault="003D0A08">
      <w:pPr>
        <w:spacing w:after="52" w:line="371" w:lineRule="auto"/>
        <w:ind w:left="345" w:right="750" w:firstLine="2"/>
      </w:pPr>
      <w:r>
        <w:rPr>
          <w:b/>
          <w:color w:val="1A1A1A"/>
        </w:rPr>
        <w:t xml:space="preserve">Пояснения: </w:t>
      </w:r>
      <w:r>
        <w:rPr>
          <w:color w:val="222222"/>
        </w:rPr>
        <w:t>в случае, когда заполнены все 10 разделов, индекс Освестри высчитывается так: сумма набранных баллов / 50 (максимально возможное количество баллов) х 100 =. Если один из разделов не заполнен или не поддается оценке (например, сексуальная жизнь), индекс Осв</w:t>
      </w:r>
      <w:r>
        <w:rPr>
          <w:color w:val="222222"/>
        </w:rPr>
        <w:t>естри высчитывается так: сумма набранных баллов / 45 (максимально возможное количество баллов) х 100   =.  Чем больше индекс, тем значительнее нарушена жизнедеятельность. С помощью вопросника возможна также оценка состояния пациента в динамике, например, н</w:t>
      </w:r>
      <w:r>
        <w:rPr>
          <w:color w:val="222222"/>
        </w:rPr>
        <w:t xml:space="preserve">а фоне терапии. </w:t>
      </w:r>
    </w:p>
    <w:p w:rsidR="000A3B51" w:rsidRDefault="003D0A08">
      <w:pPr>
        <w:pStyle w:val="Heading2"/>
        <w:spacing w:after="0" w:line="401" w:lineRule="auto"/>
        <w:ind w:left="1075" w:right="700" w:firstLine="0"/>
        <w:jc w:val="center"/>
      </w:pPr>
      <w:r>
        <w:rPr>
          <w:rFonts w:ascii="Cambria" w:eastAsia="Cambria" w:hAnsi="Cambria" w:cs="Cambria"/>
        </w:rPr>
        <w:t xml:space="preserve">Приложение Г9. </w:t>
      </w:r>
      <w:r>
        <w:rPr>
          <w:color w:val="222222"/>
        </w:rPr>
        <w:t xml:space="preserve">Диагностический опросник невропатической боли (ДН 4) </w:t>
      </w:r>
    </w:p>
    <w:p w:rsidR="000A3B51" w:rsidRDefault="003D0A08">
      <w:pPr>
        <w:spacing w:after="133" w:line="259" w:lineRule="auto"/>
        <w:ind w:left="345" w:right="750" w:firstLine="2"/>
      </w:pPr>
      <w:r>
        <w:rPr>
          <w:b/>
          <w:color w:val="222222"/>
        </w:rPr>
        <w:t>Название на русском языке:</w:t>
      </w:r>
      <w:r>
        <w:rPr>
          <w:color w:val="222222"/>
        </w:rPr>
        <w:t xml:space="preserve"> диагностический опросник невропатической боли (ДН4) </w:t>
      </w:r>
    </w:p>
    <w:p w:rsidR="000A3B51" w:rsidRDefault="003D0A08">
      <w:pPr>
        <w:spacing w:after="157" w:line="259" w:lineRule="auto"/>
        <w:ind w:left="345" w:right="750" w:firstLine="2"/>
      </w:pPr>
      <w:r>
        <w:rPr>
          <w:b/>
          <w:color w:val="222222"/>
        </w:rPr>
        <w:t>Оригинальное название:</w:t>
      </w:r>
      <w:r>
        <w:rPr>
          <w:color w:val="222222"/>
        </w:rPr>
        <w:t xml:space="preserve"> Douleur Neuropathique en 4 Questions (DN4) </w:t>
      </w:r>
    </w:p>
    <w:p w:rsidR="000A3B51" w:rsidRDefault="003D0A08">
      <w:pPr>
        <w:spacing w:after="149" w:line="271" w:lineRule="auto"/>
        <w:ind w:left="355" w:right="0"/>
        <w:jc w:val="left"/>
      </w:pPr>
      <w:r>
        <w:rPr>
          <w:b/>
          <w:color w:val="222222"/>
        </w:rPr>
        <w:t>Источники:</w:t>
      </w:r>
      <w:r>
        <w:rPr>
          <w:color w:val="222222"/>
        </w:rPr>
        <w:t xml:space="preserve"> </w:t>
      </w:r>
      <w:r>
        <w:t>[507, 508]</w:t>
      </w:r>
      <w:r>
        <w:rPr>
          <w:color w:val="222222"/>
        </w:rPr>
        <w:t xml:space="preserve"> </w:t>
      </w:r>
    </w:p>
    <w:p w:rsidR="000A3B51" w:rsidRDefault="003D0A08">
      <w:pPr>
        <w:spacing w:after="275" w:line="259" w:lineRule="auto"/>
        <w:ind w:left="345" w:right="750" w:firstLine="2"/>
      </w:pPr>
      <w:r>
        <w:rPr>
          <w:b/>
          <w:color w:val="222222"/>
        </w:rPr>
        <w:t>Тип</w:t>
      </w:r>
      <w:r>
        <w:rPr>
          <w:color w:val="222222"/>
        </w:rPr>
        <w:t xml:space="preserve"> (подчеркнуть): </w:t>
      </w:r>
      <w:r>
        <w:rPr>
          <w:color w:val="222222"/>
          <w:u w:val="single" w:color="222222"/>
        </w:rPr>
        <w:t>вопросник</w:t>
      </w:r>
      <w:r>
        <w:rPr>
          <w:color w:val="222222"/>
        </w:rPr>
        <w:t xml:space="preserve"> </w:t>
      </w:r>
    </w:p>
    <w:p w:rsidR="000A3B51" w:rsidRDefault="003D0A08">
      <w:pPr>
        <w:spacing w:after="3" w:line="375" w:lineRule="auto"/>
        <w:ind w:left="345" w:right="750" w:firstLine="2"/>
      </w:pPr>
      <w:r>
        <w:rPr>
          <w:b/>
          <w:color w:val="222222"/>
        </w:rPr>
        <w:t>Назначение:</w:t>
      </w:r>
      <w:r>
        <w:rPr>
          <w:color w:val="222222"/>
        </w:rPr>
        <w:t xml:space="preserve"> определение невропатической боли или невропатического компонента боли при смешанных ноцицептивно-невропатических болевых синдромах. </w:t>
      </w:r>
    </w:p>
    <w:p w:rsidR="000A3B51" w:rsidRDefault="003D0A08">
      <w:pPr>
        <w:spacing w:after="77" w:line="271" w:lineRule="auto"/>
        <w:ind w:left="355" w:right="0"/>
        <w:jc w:val="left"/>
      </w:pPr>
      <w:r>
        <w:rPr>
          <w:b/>
          <w:color w:val="222222"/>
        </w:rPr>
        <w:t xml:space="preserve">Содержание </w:t>
      </w:r>
      <w:r>
        <w:rPr>
          <w:color w:val="222222"/>
        </w:rPr>
        <w:t xml:space="preserve">(шаблон): </w:t>
      </w:r>
    </w:p>
    <w:p w:rsidR="000A3B51" w:rsidRDefault="003D0A08">
      <w:pPr>
        <w:spacing w:after="0" w:line="376" w:lineRule="auto"/>
        <w:ind w:left="345" w:right="750" w:firstLine="2"/>
      </w:pPr>
      <w:r>
        <w:rPr>
          <w:color w:val="222222"/>
        </w:rPr>
        <w:t>Опросник состоит из двух блоков. Первый заполняется на осно</w:t>
      </w:r>
      <w:r>
        <w:rPr>
          <w:color w:val="222222"/>
        </w:rPr>
        <w:t xml:space="preserve">вании опроса пациента, второй – на основании клинического осмотра. Первый блок позволяет оценить позитивные сенсорные симптомы, второй блок - выявить аллодинию и негативные сенсорные симптомы. </w:t>
      </w:r>
    </w:p>
    <w:p w:rsidR="000A3B51" w:rsidRDefault="003D0A08">
      <w:pPr>
        <w:spacing w:after="3" w:line="271" w:lineRule="auto"/>
        <w:ind w:left="355" w:right="0"/>
        <w:jc w:val="left"/>
      </w:pPr>
      <w:r>
        <w:rPr>
          <w:b/>
          <w:color w:val="222222"/>
        </w:rPr>
        <w:t>Вопрос 1: соответствует ли боль, которую испытывает пациент, о</w:t>
      </w:r>
      <w:r>
        <w:rPr>
          <w:b/>
          <w:color w:val="222222"/>
        </w:rPr>
        <w:t xml:space="preserve">дному или нескольким из следующих определений? </w:t>
      </w:r>
    </w:p>
    <w:p w:rsidR="000A3B51" w:rsidRDefault="003D0A08">
      <w:pPr>
        <w:spacing w:after="0" w:line="259" w:lineRule="auto"/>
        <w:ind w:left="360" w:right="0" w:firstLine="0"/>
        <w:jc w:val="left"/>
      </w:pPr>
      <w:r>
        <w:rPr>
          <w:color w:val="222222"/>
        </w:rPr>
        <w:t xml:space="preserve"> </w:t>
      </w:r>
    </w:p>
    <w:tbl>
      <w:tblPr>
        <w:tblStyle w:val="TableGrid"/>
        <w:tblW w:w="9378" w:type="dxa"/>
        <w:tblInd w:w="349" w:type="dxa"/>
        <w:tblCellMar>
          <w:top w:w="56" w:type="dxa"/>
          <w:left w:w="11" w:type="dxa"/>
          <w:bottom w:w="1" w:type="dxa"/>
          <w:right w:w="0" w:type="dxa"/>
        </w:tblCellMar>
        <w:tblLook w:val="04A0" w:firstRow="1" w:lastRow="0" w:firstColumn="1" w:lastColumn="0" w:noHBand="0" w:noVBand="1"/>
      </w:tblPr>
      <w:tblGrid>
        <w:gridCol w:w="7716"/>
        <w:gridCol w:w="838"/>
        <w:gridCol w:w="824"/>
      </w:tblGrid>
      <w:tr w:rsidR="000A3B51">
        <w:trPr>
          <w:trHeight w:val="401"/>
        </w:trPr>
        <w:tc>
          <w:tcPr>
            <w:tcW w:w="7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1. Ощущение жжения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398"/>
        </w:trPr>
        <w:tc>
          <w:tcPr>
            <w:tcW w:w="7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2. Болезненное ощущение холода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402"/>
        </w:trPr>
        <w:tc>
          <w:tcPr>
            <w:tcW w:w="7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3. Ощущение как от ударов током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280"/>
        </w:trPr>
        <w:tc>
          <w:tcPr>
            <w:tcW w:w="9378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FF"/>
          </w:tcPr>
          <w:p w:rsidR="000A3B51" w:rsidRDefault="003D0A08">
            <w:pPr>
              <w:spacing w:after="0" w:line="259" w:lineRule="auto"/>
              <w:ind w:left="0" w:right="0" w:firstLine="0"/>
            </w:pPr>
            <w:r>
              <w:rPr>
                <w:b/>
                <w:color w:val="222222"/>
              </w:rPr>
              <w:t xml:space="preserve">Вопрос 2: Cопровождается ли боль одним или несколькими из следующих симптомов </w:t>
            </w:r>
          </w:p>
        </w:tc>
      </w:tr>
    </w:tbl>
    <w:p w:rsidR="000A3B51" w:rsidRDefault="003D0A08">
      <w:pPr>
        <w:spacing w:after="3" w:line="271" w:lineRule="auto"/>
        <w:ind w:left="355" w:right="0"/>
        <w:jc w:val="left"/>
      </w:pPr>
      <w:r>
        <w:rPr>
          <w:b/>
          <w:color w:val="222222"/>
        </w:rPr>
        <w:t xml:space="preserve">в области ее локализации? </w:t>
      </w:r>
    </w:p>
    <w:tbl>
      <w:tblPr>
        <w:tblStyle w:val="TableGrid"/>
        <w:tblW w:w="9347" w:type="dxa"/>
        <w:tblInd w:w="365" w:type="dxa"/>
        <w:tblCellMar>
          <w:top w:w="0" w:type="dxa"/>
          <w:left w:w="106" w:type="dxa"/>
          <w:bottom w:w="10" w:type="dxa"/>
          <w:right w:w="115" w:type="dxa"/>
        </w:tblCellMar>
        <w:tblLook w:val="04A0" w:firstRow="1" w:lastRow="0" w:firstColumn="1" w:lastColumn="0" w:noHBand="0" w:noVBand="1"/>
      </w:tblPr>
      <w:tblGrid>
        <w:gridCol w:w="7703"/>
        <w:gridCol w:w="838"/>
        <w:gridCol w:w="806"/>
      </w:tblGrid>
      <w:tr w:rsidR="000A3B51">
        <w:trPr>
          <w:trHeight w:val="401"/>
        </w:trPr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4. Пощипыванием, ощущением ползания мурашек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401"/>
        </w:trPr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5. Покалыванием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401"/>
        </w:trPr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6. Онемением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401"/>
        </w:trPr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7. Зудом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2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</w:tbl>
    <w:p w:rsidR="000A3B51" w:rsidRDefault="003D0A08">
      <w:pPr>
        <w:spacing w:after="3" w:line="271" w:lineRule="auto"/>
        <w:ind w:left="355" w:right="0"/>
        <w:jc w:val="left"/>
      </w:pPr>
      <w:r>
        <w:rPr>
          <w:b/>
          <w:color w:val="222222"/>
        </w:rPr>
        <w:t>ОСМОТР ПАЦИЕНТА</w:t>
      </w:r>
      <w:r>
        <w:rPr>
          <w:color w:val="222222"/>
        </w:rPr>
        <w:t xml:space="preserve"> </w:t>
      </w:r>
    </w:p>
    <w:p w:rsidR="000A3B51" w:rsidRDefault="003D0A08">
      <w:pPr>
        <w:spacing w:after="3" w:line="271" w:lineRule="auto"/>
        <w:ind w:left="355" w:right="0"/>
        <w:jc w:val="left"/>
      </w:pPr>
      <w:r>
        <w:rPr>
          <w:b/>
          <w:color w:val="222222"/>
        </w:rPr>
        <w:t>Вопрос 3: Локализована ли боль в той же области, где осмотр выявляет один или оба следующих симптома:</w:t>
      </w:r>
      <w:r>
        <w:rPr>
          <w:color w:val="222222"/>
        </w:rPr>
        <w:t xml:space="preserve"> </w:t>
      </w:r>
    </w:p>
    <w:tbl>
      <w:tblPr>
        <w:tblStyle w:val="TableGrid"/>
        <w:tblW w:w="9378" w:type="dxa"/>
        <w:tblInd w:w="349" w:type="dxa"/>
        <w:tblCellMar>
          <w:top w:w="0" w:type="dxa"/>
          <w:left w:w="11" w:type="dxa"/>
          <w:bottom w:w="4" w:type="dxa"/>
          <w:right w:w="115" w:type="dxa"/>
        </w:tblCellMar>
        <w:tblLook w:val="04A0" w:firstRow="1" w:lastRow="0" w:firstColumn="1" w:lastColumn="0" w:noHBand="0" w:noVBand="1"/>
      </w:tblPr>
      <w:tblGrid>
        <w:gridCol w:w="7719"/>
        <w:gridCol w:w="838"/>
        <w:gridCol w:w="822"/>
      </w:tblGrid>
      <w:tr w:rsidR="000A3B51">
        <w:trPr>
          <w:trHeight w:val="398"/>
        </w:trPr>
        <w:tc>
          <w:tcPr>
            <w:tcW w:w="7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8. Пониженная чувствительность к прикосновению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5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402"/>
        </w:trPr>
        <w:tc>
          <w:tcPr>
            <w:tcW w:w="7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9. Пониженная чувствительность к покалыванию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5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  <w:tr w:rsidR="000A3B51">
        <w:trPr>
          <w:trHeight w:val="398"/>
        </w:trPr>
        <w:tc>
          <w:tcPr>
            <w:tcW w:w="855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FFFFF"/>
            <w:vAlign w:val="bottom"/>
          </w:tcPr>
          <w:p w:rsidR="000A3B51" w:rsidRDefault="003D0A08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color w:val="222222"/>
              </w:rPr>
              <w:t xml:space="preserve">Вопрос 4: Можно ли вызвать или усилить боль в области ее локализации? </w:t>
            </w:r>
          </w:p>
        </w:tc>
        <w:tc>
          <w:tcPr>
            <w:tcW w:w="82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FFFFF"/>
          </w:tcPr>
          <w:p w:rsidR="000A3B51" w:rsidRDefault="000A3B51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0A3B51">
        <w:trPr>
          <w:trHeight w:val="400"/>
        </w:trPr>
        <w:tc>
          <w:tcPr>
            <w:tcW w:w="7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113" w:right="0" w:firstLine="0"/>
              <w:jc w:val="left"/>
            </w:pPr>
            <w:r>
              <w:rPr>
                <w:color w:val="222222"/>
              </w:rPr>
              <w:t xml:space="preserve">10. Пониженная чувствительность к прикосновению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7" w:right="0" w:firstLine="0"/>
              <w:jc w:val="left"/>
            </w:pPr>
            <w:r>
              <w:rPr>
                <w:color w:val="222222"/>
              </w:rPr>
              <w:t xml:space="preserve">да 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A3B51" w:rsidRDefault="003D0A08">
            <w:pPr>
              <w:spacing w:after="0" w:line="259" w:lineRule="auto"/>
              <w:ind w:left="95" w:right="0" w:firstLine="0"/>
              <w:jc w:val="left"/>
            </w:pPr>
            <w:r>
              <w:rPr>
                <w:color w:val="222222"/>
              </w:rPr>
              <w:t xml:space="preserve">нет </w:t>
            </w:r>
          </w:p>
        </w:tc>
      </w:tr>
    </w:tbl>
    <w:p w:rsidR="000A3B51" w:rsidRDefault="003D0A08">
      <w:pPr>
        <w:spacing w:after="314" w:line="378" w:lineRule="auto"/>
        <w:ind w:right="755"/>
      </w:pPr>
      <w:r>
        <w:rPr>
          <w:b/>
        </w:rPr>
        <w:t xml:space="preserve">Ключ (интерпретация): </w:t>
      </w:r>
      <w:r>
        <w:t xml:space="preserve">Если сумма составляет 4 и более баллов, это указывает на то, что боль у пациента является невропатической, или имеется невропатический компонент боли (при смешанных ноцицептивно-невропатических болевых синдромах). </w:t>
      </w:r>
    </w:p>
    <w:p w:rsidR="000A3B51" w:rsidRDefault="003D0A08">
      <w:pPr>
        <w:pStyle w:val="Heading3"/>
        <w:spacing w:after="140" w:line="259" w:lineRule="auto"/>
        <w:ind w:left="1078" w:right="744"/>
      </w:pPr>
      <w:r>
        <w:rPr>
          <w:u w:val="single" w:color="000000"/>
        </w:rPr>
        <w:t>Приложение Г10. Вопросник боли Pain DETEC</w:t>
      </w:r>
      <w:r>
        <w:rPr>
          <w:u w:val="single" w:color="000000"/>
        </w:rPr>
        <w:t>T</w:t>
      </w:r>
      <w:r>
        <w:t xml:space="preserve"> </w:t>
      </w:r>
    </w:p>
    <w:p w:rsidR="000A3B51" w:rsidRDefault="003D0A08">
      <w:pPr>
        <w:spacing w:after="130" w:line="267" w:lineRule="auto"/>
        <w:ind w:left="355" w:right="753"/>
      </w:pPr>
      <w:r>
        <w:rPr>
          <w:b/>
        </w:rPr>
        <w:t xml:space="preserve">Название на русском языке: </w:t>
      </w:r>
      <w:r>
        <w:t xml:space="preserve">вопросник Pain DETECT </w:t>
      </w:r>
    </w:p>
    <w:p w:rsidR="000A3B51" w:rsidRDefault="003D0A08">
      <w:pPr>
        <w:ind w:right="755"/>
      </w:pPr>
      <w:r>
        <w:rPr>
          <w:b/>
        </w:rPr>
        <w:t xml:space="preserve">Оригинальное название: </w:t>
      </w:r>
      <w:r>
        <w:t xml:space="preserve">questionnaire Pain DETECT </w:t>
      </w:r>
    </w:p>
    <w:p w:rsidR="000A3B51" w:rsidRDefault="003D0A08">
      <w:pPr>
        <w:spacing w:after="160" w:line="267" w:lineRule="auto"/>
        <w:ind w:left="355" w:right="753"/>
      </w:pPr>
      <w:r>
        <w:rPr>
          <w:b/>
        </w:rPr>
        <w:t>Источник:</w:t>
      </w:r>
      <w:r>
        <w:rPr>
          <w:b/>
          <w:color w:val="FF0000"/>
        </w:rPr>
        <w:t xml:space="preserve"> </w:t>
      </w:r>
      <w:r>
        <w:t xml:space="preserve">[509–511] </w:t>
      </w:r>
    </w:p>
    <w:p w:rsidR="000A3B51" w:rsidRDefault="003D0A08">
      <w:pPr>
        <w:spacing w:after="146" w:line="267" w:lineRule="auto"/>
        <w:ind w:left="355" w:right="753"/>
      </w:pPr>
      <w:r>
        <w:rPr>
          <w:b/>
        </w:rPr>
        <w:t xml:space="preserve">Тип (подчеркнуть):  </w:t>
      </w:r>
    </w:p>
    <w:p w:rsidR="000A3B51" w:rsidRDefault="003D0A08">
      <w:pPr>
        <w:pStyle w:val="Heading4"/>
        <w:tabs>
          <w:tab w:val="center" w:pos="406"/>
          <w:tab w:val="center" w:pos="1621"/>
        </w:tabs>
        <w:ind w:left="0" w:firstLine="0"/>
      </w:pPr>
      <w:r>
        <w:rPr>
          <w:rFonts w:ascii="Calibri" w:eastAsia="Calibri" w:hAnsi="Calibri" w:cs="Calibri"/>
          <w:sz w:val="22"/>
          <w:u w:val="none"/>
        </w:rPr>
        <w:tab/>
      </w:r>
      <w:r>
        <w:rPr>
          <w:rFonts w:ascii="Segoe UI Symbol" w:eastAsia="Segoe UI Symbol" w:hAnsi="Segoe UI Symbol" w:cs="Segoe UI Symbol"/>
          <w:sz w:val="20"/>
          <w:u w:val="none"/>
        </w:rPr>
        <w:t></w:t>
      </w:r>
      <w:r>
        <w:rPr>
          <w:rFonts w:ascii="Arial" w:eastAsia="Arial" w:hAnsi="Arial" w:cs="Arial"/>
          <w:sz w:val="20"/>
          <w:u w:val="none"/>
        </w:rPr>
        <w:t xml:space="preserve"> </w:t>
      </w:r>
      <w:r>
        <w:rPr>
          <w:rFonts w:ascii="Arial" w:eastAsia="Arial" w:hAnsi="Arial" w:cs="Arial"/>
          <w:sz w:val="20"/>
          <w:u w:val="none"/>
        </w:rPr>
        <w:tab/>
      </w:r>
      <w:r>
        <w:t>вопросник</w:t>
      </w:r>
      <w:r>
        <w:rPr>
          <w:u w:val="none"/>
        </w:rPr>
        <w:t xml:space="preserve"> </w:t>
      </w:r>
    </w:p>
    <w:p w:rsidR="000A3B51" w:rsidRDefault="003D0A08">
      <w:pPr>
        <w:spacing w:line="390" w:lineRule="auto"/>
        <w:ind w:right="755"/>
      </w:pPr>
      <w:r>
        <w:rPr>
          <w:b/>
        </w:rPr>
        <w:t>Назначение:</w:t>
      </w:r>
      <w:r>
        <w:t xml:space="preserve"> оценка характера течения боли и диагностика невропатического компонента боли. </w:t>
      </w:r>
    </w:p>
    <w:p w:rsidR="000A3B51" w:rsidRDefault="003D0A08">
      <w:pPr>
        <w:spacing w:after="102" w:line="267" w:lineRule="auto"/>
        <w:ind w:left="355" w:right="753"/>
      </w:pPr>
      <w:r>
        <w:rPr>
          <w:b/>
        </w:rPr>
        <w:t>Содержание</w:t>
      </w:r>
      <w:r>
        <w:t xml:space="preserve"> (шаблон):</w:t>
      </w:r>
    </w:p>
    <w:p w:rsidR="000A3B51" w:rsidRDefault="003D0A08">
      <w:pPr>
        <w:spacing w:after="60" w:line="259" w:lineRule="auto"/>
        <w:ind w:left="0" w:right="696" w:firstLine="0"/>
        <w:jc w:val="right"/>
      </w:pPr>
      <w:r>
        <w:rPr>
          <w:noProof/>
        </w:rPr>
        <w:drawing>
          <wp:inline distT="0" distB="0" distL="0" distR="0">
            <wp:extent cx="5943600" cy="7802881"/>
            <wp:effectExtent l="0" t="0" r="0" b="0"/>
            <wp:docPr id="33818" name="Picture 338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18" name="Picture 33818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02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A3B51" w:rsidRDefault="003D0A08">
      <w:pPr>
        <w:spacing w:after="115" w:line="259" w:lineRule="auto"/>
        <w:ind w:left="360" w:right="0" w:firstLine="0"/>
        <w:jc w:val="left"/>
      </w:pPr>
      <w:r>
        <w:rPr>
          <w:b/>
        </w:rPr>
        <w:t xml:space="preserve"> </w:t>
      </w:r>
    </w:p>
    <w:p w:rsidR="000A3B51" w:rsidRDefault="003D0A08">
      <w:pPr>
        <w:spacing w:after="0" w:line="259" w:lineRule="auto"/>
        <w:ind w:left="360" w:right="0" w:firstLine="0"/>
        <w:jc w:val="left"/>
      </w:pPr>
      <w:r>
        <w:rPr>
          <w:b/>
        </w:rPr>
        <w:t xml:space="preserve"> </w:t>
      </w:r>
    </w:p>
    <w:p w:rsidR="000A3B51" w:rsidRDefault="003D0A08">
      <w:pPr>
        <w:spacing w:after="105" w:line="259" w:lineRule="auto"/>
        <w:ind w:left="0" w:right="708" w:firstLine="0"/>
        <w:jc w:val="right"/>
      </w:pPr>
      <w:r>
        <w:rPr>
          <w:noProof/>
        </w:rPr>
        <w:drawing>
          <wp:inline distT="0" distB="0" distL="0" distR="0">
            <wp:extent cx="5935981" cy="7147560"/>
            <wp:effectExtent l="0" t="0" r="0" b="0"/>
            <wp:docPr id="33876" name="Picture 338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76" name="Picture 33876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35981" cy="714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0A3B51" w:rsidRDefault="003D0A08">
      <w:pPr>
        <w:spacing w:after="0" w:line="397" w:lineRule="auto"/>
        <w:ind w:right="755"/>
      </w:pPr>
      <w:r>
        <w:rPr>
          <w:b/>
        </w:rPr>
        <w:t xml:space="preserve">Ключ </w:t>
      </w:r>
      <w:r>
        <w:t xml:space="preserve">(интерпретация): сумма 19 баллов и выше свидетельствует о наличии выраженного невропатического компонента </w:t>
      </w:r>
    </w:p>
    <w:p w:rsidR="000A3B51" w:rsidRDefault="003D0A08">
      <w:pPr>
        <w:spacing w:after="0" w:line="396" w:lineRule="auto"/>
        <w:ind w:right="755"/>
      </w:pPr>
      <w:r>
        <w:rPr>
          <w:b/>
        </w:rPr>
        <w:t xml:space="preserve">Пояснения: </w:t>
      </w:r>
      <w:r>
        <w:t>вопросник предназначен для заполнения врачом и объединяет в себе схему распределения болевых расстройс</w:t>
      </w:r>
      <w:r>
        <w:t>тв в виде картинки со шкалой ВАШ и опросником, направленным на выявление спонтанных и вызванных симптомов нейропатической боли. Также при помощи рисунка оценивается характер течения боли: постоянный, приступообразный, постоянный с приступами и т. д. Pain D</w:t>
      </w:r>
      <w:r>
        <w:t>ETECT включает в себя 9 пунктов: 7 пунктов оценивают интенсивность сенсорных ощущений в диапазоне от «совсем нет» до «очень сильно», 2 пункта при помощи рисунка оценивают иррадиацию болей и временные характеристики индивидуального болевого паттерна. Выраже</w:t>
      </w:r>
      <w:r>
        <w:t xml:space="preserve">нность каждого симптома оценивается в баллах, затем высчитывается общий балл. Вопросник наиболее полно отражает все возможные параметры боли и позволяет очень наглядно отслеживать картину болевого синдрома в динамике.  </w:t>
      </w:r>
    </w:p>
    <w:p w:rsidR="000A3B51" w:rsidRDefault="003D0A08">
      <w:pPr>
        <w:spacing w:after="115" w:line="259" w:lineRule="auto"/>
        <w:ind w:left="360" w:right="0" w:firstLine="0"/>
        <w:jc w:val="left"/>
      </w:pPr>
      <w:r>
        <w:t xml:space="preserve"> </w:t>
      </w:r>
    </w:p>
    <w:p w:rsidR="000A3B51" w:rsidRDefault="003D0A08">
      <w:pPr>
        <w:spacing w:after="11260" w:line="259" w:lineRule="auto"/>
        <w:ind w:left="360" w:right="0" w:firstLine="0"/>
        <w:jc w:val="left"/>
      </w:pPr>
      <w:r>
        <w:t xml:space="preserve"> </w:t>
      </w:r>
    </w:p>
    <w:p w:rsidR="000A3B51" w:rsidRDefault="003D0A08">
      <w:pPr>
        <w:spacing w:after="0" w:line="259" w:lineRule="auto"/>
        <w:ind w:left="725" w:right="0" w:firstLine="0"/>
        <w:jc w:val="center"/>
      </w:pPr>
      <w:r>
        <w:t xml:space="preserve"> </w:t>
      </w:r>
    </w:p>
    <w:sectPr w:rsidR="000A3B51">
      <w:footerReference w:type="even" r:id="rId57"/>
      <w:footerReference w:type="default" r:id="rId58"/>
      <w:footerReference w:type="first" r:id="rId59"/>
      <w:pgSz w:w="11906" w:h="16838"/>
      <w:pgMar w:top="1397" w:right="86" w:bottom="712" w:left="1342" w:header="720" w:footer="71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D0A08">
      <w:pPr>
        <w:spacing w:after="0" w:line="240" w:lineRule="auto"/>
      </w:pPr>
      <w:r>
        <w:separator/>
      </w:r>
    </w:p>
  </w:endnote>
  <w:endnote w:type="continuationSeparator" w:id="0">
    <w:p w:rsidR="00000000" w:rsidRDefault="003D0A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  <w:font w:name="Segoe UI">
    <w:panose1 w:val="020B0502040204020203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UI">
    <w:panose1 w:val="020B05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0A3B51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0A3B51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0A3B51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3D0A08">
    <w:pPr>
      <w:spacing w:after="0" w:line="259" w:lineRule="auto"/>
      <w:ind w:left="305" w:right="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3D0A08">
    <w:pPr>
      <w:spacing w:after="0" w:line="259" w:lineRule="auto"/>
      <w:ind w:left="305" w:right="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B51" w:rsidRDefault="003D0A08">
    <w:pPr>
      <w:spacing w:after="0" w:line="259" w:lineRule="auto"/>
      <w:ind w:left="305" w:right="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3D0A08">
      <w:pPr>
        <w:spacing w:after="0" w:line="240" w:lineRule="auto"/>
      </w:pPr>
      <w:r>
        <w:separator/>
      </w:r>
    </w:p>
  </w:footnote>
  <w:footnote w:type="continuationSeparator" w:id="0">
    <w:p w:rsidR="00000000" w:rsidRDefault="003D0A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90322"/>
    <w:multiLevelType w:val="hybridMultilevel"/>
    <w:tmpl w:val="B1C665E0"/>
    <w:lvl w:ilvl="0" w:tplc="D340F556">
      <w:start w:val="1"/>
      <w:numFmt w:val="bullet"/>
      <w:lvlText w:val="-"/>
      <w:lvlJc w:val="left"/>
      <w:pPr>
        <w:ind w:left="1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0567F9C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8BAA6E8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98635C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F34D4F4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F042EC6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7FCBF5C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C6B37A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30F54A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7123E3"/>
    <w:multiLevelType w:val="multilevel"/>
    <w:tmpl w:val="E76003C2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"/>
      <w:lvlJc w:val="left"/>
      <w:pPr>
        <w:ind w:left="1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40A2BFF"/>
    <w:multiLevelType w:val="multilevel"/>
    <w:tmpl w:val="1C9ABBFA"/>
    <w:lvl w:ilvl="0">
      <w:start w:val="1"/>
      <w:numFmt w:val="decimal"/>
      <w:lvlText w:val="%1."/>
      <w:lvlJc w:val="left"/>
      <w:pPr>
        <w:ind w:left="35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7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5152897"/>
    <w:multiLevelType w:val="hybridMultilevel"/>
    <w:tmpl w:val="A06E2FC4"/>
    <w:lvl w:ilvl="0" w:tplc="000AFCCC">
      <w:start w:val="1"/>
      <w:numFmt w:val="decimal"/>
      <w:lvlText w:val="%1)"/>
      <w:lvlJc w:val="left"/>
      <w:pPr>
        <w:ind w:left="1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79691F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66EBBA4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4A212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47C415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6F09C7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4856A4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2AAF27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0CFBF8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81362B8"/>
    <w:multiLevelType w:val="hybridMultilevel"/>
    <w:tmpl w:val="1202471A"/>
    <w:lvl w:ilvl="0" w:tplc="0FBE5AAA"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D81DD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06838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B2FAD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CAF4C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90448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70A04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D60917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B2182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95B2BE5"/>
    <w:multiLevelType w:val="hybridMultilevel"/>
    <w:tmpl w:val="331ABD8C"/>
    <w:lvl w:ilvl="0" w:tplc="1812C14E">
      <w:start w:val="1"/>
      <w:numFmt w:val="lowerLetter"/>
      <w:lvlText w:val="%1."/>
      <w:lvlJc w:val="left"/>
      <w:pPr>
        <w:ind w:left="17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714EAD2">
      <w:start w:val="1"/>
      <w:numFmt w:val="lowerLetter"/>
      <w:lvlText w:val="%2"/>
      <w:lvlJc w:val="left"/>
      <w:pPr>
        <w:ind w:left="1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9C2FA2">
      <w:start w:val="1"/>
      <w:numFmt w:val="lowerRoman"/>
      <w:lvlText w:val="%3"/>
      <w:lvlJc w:val="left"/>
      <w:pPr>
        <w:ind w:left="2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EA11B8">
      <w:start w:val="1"/>
      <w:numFmt w:val="decimal"/>
      <w:lvlText w:val="%4"/>
      <w:lvlJc w:val="left"/>
      <w:pPr>
        <w:ind w:left="3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AA22DA">
      <w:start w:val="1"/>
      <w:numFmt w:val="lowerLetter"/>
      <w:lvlText w:val="%5"/>
      <w:lvlJc w:val="left"/>
      <w:pPr>
        <w:ind w:left="3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28F748">
      <w:start w:val="1"/>
      <w:numFmt w:val="lowerRoman"/>
      <w:lvlText w:val="%6"/>
      <w:lvlJc w:val="left"/>
      <w:pPr>
        <w:ind w:left="4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6237BE">
      <w:start w:val="1"/>
      <w:numFmt w:val="decimal"/>
      <w:lvlText w:val="%7"/>
      <w:lvlJc w:val="left"/>
      <w:pPr>
        <w:ind w:left="5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B00F592">
      <w:start w:val="1"/>
      <w:numFmt w:val="lowerLetter"/>
      <w:lvlText w:val="%8"/>
      <w:lvlJc w:val="left"/>
      <w:pPr>
        <w:ind w:left="6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18DCBC">
      <w:start w:val="1"/>
      <w:numFmt w:val="lowerRoman"/>
      <w:lvlText w:val="%9"/>
      <w:lvlJc w:val="left"/>
      <w:pPr>
        <w:ind w:left="68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D5D50D7"/>
    <w:multiLevelType w:val="multilevel"/>
    <w:tmpl w:val="027E1880"/>
    <w:lvl w:ilvl="0">
      <w:start w:val="5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"/>
      <w:lvlJc w:val="left"/>
      <w:pPr>
        <w:ind w:left="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D6331AC"/>
    <w:multiLevelType w:val="hybridMultilevel"/>
    <w:tmpl w:val="A86237F2"/>
    <w:lvl w:ilvl="0" w:tplc="BFA4A3A0">
      <w:start w:val="1"/>
      <w:numFmt w:val="decimal"/>
      <w:lvlText w:val="%1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56850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6273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CF64A7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423C6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D4F8C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EADD7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13A023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7EAE9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DC90255"/>
    <w:multiLevelType w:val="hybridMultilevel"/>
    <w:tmpl w:val="6F8E2C76"/>
    <w:lvl w:ilvl="0" w:tplc="1ADE1D54">
      <w:start w:val="1"/>
      <w:numFmt w:val="bullet"/>
      <w:lvlText w:val="•"/>
      <w:lvlJc w:val="left"/>
      <w:pPr>
        <w:ind w:left="17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C18D414">
      <w:start w:val="1"/>
      <w:numFmt w:val="bullet"/>
      <w:lvlText w:val="o"/>
      <w:lvlJc w:val="left"/>
      <w:pPr>
        <w:ind w:left="18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E805F3C">
      <w:start w:val="1"/>
      <w:numFmt w:val="bullet"/>
      <w:lvlText w:val="▪"/>
      <w:lvlJc w:val="left"/>
      <w:pPr>
        <w:ind w:left="25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E2E0B18">
      <w:start w:val="1"/>
      <w:numFmt w:val="bullet"/>
      <w:lvlText w:val="•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527D58">
      <w:start w:val="1"/>
      <w:numFmt w:val="bullet"/>
      <w:lvlText w:val="o"/>
      <w:lvlJc w:val="left"/>
      <w:pPr>
        <w:ind w:left="39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82C15C">
      <w:start w:val="1"/>
      <w:numFmt w:val="bullet"/>
      <w:lvlText w:val="▪"/>
      <w:lvlJc w:val="left"/>
      <w:pPr>
        <w:ind w:left="46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440CA48">
      <w:start w:val="1"/>
      <w:numFmt w:val="bullet"/>
      <w:lvlText w:val="•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1D8797C">
      <w:start w:val="1"/>
      <w:numFmt w:val="bullet"/>
      <w:lvlText w:val="o"/>
      <w:lvlJc w:val="left"/>
      <w:pPr>
        <w:ind w:left="61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5E06E4">
      <w:start w:val="1"/>
      <w:numFmt w:val="bullet"/>
      <w:lvlText w:val="▪"/>
      <w:lvlJc w:val="left"/>
      <w:pPr>
        <w:ind w:left="68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16A3291"/>
    <w:multiLevelType w:val="hybridMultilevel"/>
    <w:tmpl w:val="3D6EFBE8"/>
    <w:lvl w:ilvl="0" w:tplc="AA1EBAB4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4890FC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99A8308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F41A02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93C7E90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80CD2FA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798A5BE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0ACFE8A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E16F362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89B38B5"/>
    <w:multiLevelType w:val="hybridMultilevel"/>
    <w:tmpl w:val="853CEBD2"/>
    <w:lvl w:ilvl="0" w:tplc="595452E4">
      <w:start w:val="1"/>
      <w:numFmt w:val="bullet"/>
      <w:lvlText w:val="•"/>
      <w:lvlJc w:val="left"/>
      <w:pPr>
        <w:ind w:left="17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E0E4DA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BA01964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C0AED78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C7C709A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B8A9F6C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5722A40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24CC42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8E093A8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93A7B76"/>
    <w:multiLevelType w:val="hybridMultilevel"/>
    <w:tmpl w:val="86B450C2"/>
    <w:lvl w:ilvl="0" w:tplc="9FE0D15C">
      <w:start w:val="1"/>
      <w:numFmt w:val="bullet"/>
      <w:lvlText w:val="-"/>
      <w:lvlJc w:val="left"/>
      <w:pPr>
        <w:ind w:left="1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860E1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DBE4124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6068CB2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8E43E46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366422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DCAF2E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1E04240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2D81FD2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C4C3CB1"/>
    <w:multiLevelType w:val="hybridMultilevel"/>
    <w:tmpl w:val="31F4C9E0"/>
    <w:lvl w:ilvl="0" w:tplc="3460BE7E">
      <w:start w:val="1"/>
      <w:numFmt w:val="decimal"/>
      <w:lvlText w:val="%1."/>
      <w:lvlJc w:val="left"/>
      <w:pPr>
        <w:ind w:left="1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7968E2C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401D28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5FA6C5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7A66C6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020D9A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A8A851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B6B60C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3C12E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DE756FE"/>
    <w:multiLevelType w:val="hybridMultilevel"/>
    <w:tmpl w:val="0E425D58"/>
    <w:lvl w:ilvl="0" w:tplc="7BCE04BE">
      <w:start w:val="1"/>
      <w:numFmt w:val="bullet"/>
      <w:lvlText w:val="-"/>
      <w:lvlJc w:val="left"/>
      <w:pPr>
        <w:ind w:left="484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A64016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3C445A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2003B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1EEA4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6051C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5ACB69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C3A275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CC0AE2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333333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3E408B2"/>
    <w:multiLevelType w:val="hybridMultilevel"/>
    <w:tmpl w:val="785C042A"/>
    <w:lvl w:ilvl="0" w:tplc="26AC1C1C">
      <w:start w:val="1"/>
      <w:numFmt w:val="bullet"/>
      <w:lvlText w:val="-"/>
      <w:lvlJc w:val="left"/>
      <w:pPr>
        <w:ind w:left="35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6E6096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8C9CD2">
      <w:start w:val="1"/>
      <w:numFmt w:val="bullet"/>
      <w:lvlText w:val="▪"/>
      <w:lvlJc w:val="left"/>
      <w:pPr>
        <w:ind w:left="18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A5A70">
      <w:start w:val="1"/>
      <w:numFmt w:val="bullet"/>
      <w:lvlText w:val="•"/>
      <w:lvlJc w:val="left"/>
      <w:pPr>
        <w:ind w:left="25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7684214">
      <w:start w:val="1"/>
      <w:numFmt w:val="bullet"/>
      <w:lvlText w:val="o"/>
      <w:lvlJc w:val="left"/>
      <w:pPr>
        <w:ind w:left="32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6940D66">
      <w:start w:val="1"/>
      <w:numFmt w:val="bullet"/>
      <w:lvlText w:val="▪"/>
      <w:lvlJc w:val="left"/>
      <w:pPr>
        <w:ind w:left="39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5CF4CA">
      <w:start w:val="1"/>
      <w:numFmt w:val="bullet"/>
      <w:lvlText w:val="•"/>
      <w:lvlJc w:val="left"/>
      <w:pPr>
        <w:ind w:left="47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AFA1C3A">
      <w:start w:val="1"/>
      <w:numFmt w:val="bullet"/>
      <w:lvlText w:val="o"/>
      <w:lvlJc w:val="left"/>
      <w:pPr>
        <w:ind w:left="54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34865E">
      <w:start w:val="1"/>
      <w:numFmt w:val="bullet"/>
      <w:lvlText w:val="▪"/>
      <w:lvlJc w:val="left"/>
      <w:pPr>
        <w:ind w:left="61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2D431081"/>
    <w:multiLevelType w:val="hybridMultilevel"/>
    <w:tmpl w:val="A492DDA6"/>
    <w:lvl w:ilvl="0" w:tplc="EA1CDD00">
      <w:start w:val="8"/>
      <w:numFmt w:val="decimal"/>
      <w:lvlText w:val="%1."/>
      <w:lvlJc w:val="left"/>
      <w:pPr>
        <w:ind w:left="5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26CFBD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5E5A1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90C8F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AACA9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A619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2A0417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35A42D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CCD1B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2F92602"/>
    <w:multiLevelType w:val="hybridMultilevel"/>
    <w:tmpl w:val="87647788"/>
    <w:lvl w:ilvl="0" w:tplc="25B4D184">
      <w:start w:val="1"/>
      <w:numFmt w:val="decimal"/>
      <w:lvlText w:val="%1."/>
      <w:lvlJc w:val="left"/>
      <w:pPr>
        <w:ind w:left="1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88C491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FE0E7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46E0E4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74256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DCDAC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A244BAE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C69848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2D49B7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52E6DD1"/>
    <w:multiLevelType w:val="hybridMultilevel"/>
    <w:tmpl w:val="85B05016"/>
    <w:lvl w:ilvl="0" w:tplc="E1F2C3AA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43A02C8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F824276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783890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A56288E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DC680C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B441EC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E16B55C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30AE392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C902697"/>
    <w:multiLevelType w:val="hybridMultilevel"/>
    <w:tmpl w:val="30A0D1BA"/>
    <w:lvl w:ilvl="0" w:tplc="5194FB8C">
      <w:start w:val="1"/>
      <w:numFmt w:val="decimal"/>
      <w:lvlText w:val="%1."/>
      <w:lvlJc w:val="left"/>
      <w:pPr>
        <w:ind w:left="1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E06196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43E0D2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2406EC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3ACCE8A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668A9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002DFC4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9BED21C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D227D6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F4167C6"/>
    <w:multiLevelType w:val="hybridMultilevel"/>
    <w:tmpl w:val="C64841A4"/>
    <w:lvl w:ilvl="0" w:tplc="A6D0FC26">
      <w:start w:val="1"/>
      <w:numFmt w:val="bullet"/>
      <w:lvlText w:val="–"/>
      <w:lvlJc w:val="left"/>
      <w:pPr>
        <w:ind w:left="77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6105EDA">
      <w:start w:val="1"/>
      <w:numFmt w:val="bullet"/>
      <w:lvlText w:val="o"/>
      <w:lvlJc w:val="left"/>
      <w:pPr>
        <w:ind w:left="148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76CABA">
      <w:start w:val="1"/>
      <w:numFmt w:val="bullet"/>
      <w:lvlText w:val="▪"/>
      <w:lvlJc w:val="left"/>
      <w:pPr>
        <w:ind w:left="220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12FA98">
      <w:start w:val="1"/>
      <w:numFmt w:val="bullet"/>
      <w:lvlText w:val="•"/>
      <w:lvlJc w:val="left"/>
      <w:pPr>
        <w:ind w:left="292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2F8B25E">
      <w:start w:val="1"/>
      <w:numFmt w:val="bullet"/>
      <w:lvlText w:val="o"/>
      <w:lvlJc w:val="left"/>
      <w:pPr>
        <w:ind w:left="364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DA4EF18">
      <w:start w:val="1"/>
      <w:numFmt w:val="bullet"/>
      <w:lvlText w:val="▪"/>
      <w:lvlJc w:val="left"/>
      <w:pPr>
        <w:ind w:left="436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21A1BA2">
      <w:start w:val="1"/>
      <w:numFmt w:val="bullet"/>
      <w:lvlText w:val="•"/>
      <w:lvlJc w:val="left"/>
      <w:pPr>
        <w:ind w:left="508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BE1170">
      <w:start w:val="1"/>
      <w:numFmt w:val="bullet"/>
      <w:lvlText w:val="o"/>
      <w:lvlJc w:val="left"/>
      <w:pPr>
        <w:ind w:left="580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B08E482">
      <w:start w:val="1"/>
      <w:numFmt w:val="bullet"/>
      <w:lvlText w:val="▪"/>
      <w:lvlJc w:val="left"/>
      <w:pPr>
        <w:ind w:left="652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7F70C27"/>
    <w:multiLevelType w:val="multilevel"/>
    <w:tmpl w:val="A8846B2E"/>
    <w:lvl w:ilvl="0">
      <w:start w:val="3"/>
      <w:numFmt w:val="decimal"/>
      <w:lvlText w:val="%1."/>
      <w:lvlJc w:val="left"/>
      <w:pPr>
        <w:ind w:left="5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"/>
      <w:lvlJc w:val="left"/>
      <w:pPr>
        <w:ind w:left="2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D557B5A"/>
    <w:multiLevelType w:val="hybridMultilevel"/>
    <w:tmpl w:val="180CD260"/>
    <w:lvl w:ilvl="0" w:tplc="6CEC1BA2">
      <w:start w:val="1"/>
      <w:numFmt w:val="bullet"/>
      <w:lvlText w:val="•"/>
      <w:lvlJc w:val="left"/>
      <w:pPr>
        <w:ind w:left="93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95EB20A">
      <w:start w:val="1"/>
      <w:numFmt w:val="bullet"/>
      <w:lvlText w:val="o"/>
      <w:lvlJc w:val="left"/>
      <w:pPr>
        <w:ind w:left="157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6252BE">
      <w:start w:val="1"/>
      <w:numFmt w:val="bullet"/>
      <w:lvlText w:val="▪"/>
      <w:lvlJc w:val="left"/>
      <w:pPr>
        <w:ind w:left="229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B965C6A">
      <w:start w:val="1"/>
      <w:numFmt w:val="bullet"/>
      <w:lvlText w:val="•"/>
      <w:lvlJc w:val="left"/>
      <w:pPr>
        <w:ind w:left="30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0C85EAC">
      <w:start w:val="1"/>
      <w:numFmt w:val="bullet"/>
      <w:lvlText w:val="o"/>
      <w:lvlJc w:val="left"/>
      <w:pPr>
        <w:ind w:left="373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4208FB0">
      <w:start w:val="1"/>
      <w:numFmt w:val="bullet"/>
      <w:lvlText w:val="▪"/>
      <w:lvlJc w:val="left"/>
      <w:pPr>
        <w:ind w:left="445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4C0EE2">
      <w:start w:val="1"/>
      <w:numFmt w:val="bullet"/>
      <w:lvlText w:val="•"/>
      <w:lvlJc w:val="left"/>
      <w:pPr>
        <w:ind w:left="51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F349D1C">
      <w:start w:val="1"/>
      <w:numFmt w:val="bullet"/>
      <w:lvlText w:val="o"/>
      <w:lvlJc w:val="left"/>
      <w:pPr>
        <w:ind w:left="589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29ADEA6">
      <w:start w:val="1"/>
      <w:numFmt w:val="bullet"/>
      <w:lvlText w:val="▪"/>
      <w:lvlJc w:val="left"/>
      <w:pPr>
        <w:ind w:left="661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E74705A"/>
    <w:multiLevelType w:val="hybridMultilevel"/>
    <w:tmpl w:val="FD46165E"/>
    <w:lvl w:ilvl="0" w:tplc="88800B30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8AEAD9F4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5BA00E2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DF412EA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0F36C5AC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DA21AF4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5EE0C2C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96A6AAE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9009498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5A111391"/>
    <w:multiLevelType w:val="hybridMultilevel"/>
    <w:tmpl w:val="9056DB1C"/>
    <w:lvl w:ilvl="0" w:tplc="39806A7A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932CE5A">
      <w:start w:val="1"/>
      <w:numFmt w:val="bullet"/>
      <w:lvlText w:val="o"/>
      <w:lvlJc w:val="left"/>
      <w:pPr>
        <w:ind w:left="19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18EDB4E">
      <w:start w:val="1"/>
      <w:numFmt w:val="bullet"/>
      <w:lvlText w:val="▪"/>
      <w:lvlJc w:val="left"/>
      <w:pPr>
        <w:ind w:left="26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CC817EE">
      <w:start w:val="1"/>
      <w:numFmt w:val="bullet"/>
      <w:lvlText w:val="•"/>
      <w:lvlJc w:val="left"/>
      <w:pPr>
        <w:ind w:left="33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A835D8">
      <w:start w:val="1"/>
      <w:numFmt w:val="bullet"/>
      <w:lvlText w:val="o"/>
      <w:lvlJc w:val="left"/>
      <w:pPr>
        <w:ind w:left="40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4EAC668">
      <w:start w:val="1"/>
      <w:numFmt w:val="bullet"/>
      <w:lvlText w:val="▪"/>
      <w:lvlJc w:val="left"/>
      <w:pPr>
        <w:ind w:left="47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9248F22">
      <w:start w:val="1"/>
      <w:numFmt w:val="bullet"/>
      <w:lvlText w:val="•"/>
      <w:lvlJc w:val="left"/>
      <w:pPr>
        <w:ind w:left="55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B049C3E">
      <w:start w:val="1"/>
      <w:numFmt w:val="bullet"/>
      <w:lvlText w:val="o"/>
      <w:lvlJc w:val="left"/>
      <w:pPr>
        <w:ind w:left="62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541E04">
      <w:start w:val="1"/>
      <w:numFmt w:val="bullet"/>
      <w:lvlText w:val="▪"/>
      <w:lvlJc w:val="left"/>
      <w:pPr>
        <w:ind w:left="69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5D1375E8"/>
    <w:multiLevelType w:val="hybridMultilevel"/>
    <w:tmpl w:val="3830FBF0"/>
    <w:lvl w:ilvl="0" w:tplc="BC56C7B8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52A506">
      <w:start w:val="1"/>
      <w:numFmt w:val="bullet"/>
      <w:lvlText w:val="o"/>
      <w:lvlJc w:val="left"/>
      <w:pPr>
        <w:ind w:left="1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3DA30F0">
      <w:start w:val="1"/>
      <w:numFmt w:val="bullet"/>
      <w:lvlText w:val="▪"/>
      <w:lvlJc w:val="left"/>
      <w:pPr>
        <w:ind w:left="1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AC06FC">
      <w:start w:val="1"/>
      <w:numFmt w:val="bullet"/>
      <w:lvlText w:val="•"/>
      <w:lvlJc w:val="left"/>
      <w:pPr>
        <w:ind w:left="2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DC7B16">
      <w:start w:val="1"/>
      <w:numFmt w:val="bullet"/>
      <w:lvlText w:val="o"/>
      <w:lvlJc w:val="left"/>
      <w:pPr>
        <w:ind w:left="3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5461182">
      <w:start w:val="1"/>
      <w:numFmt w:val="bullet"/>
      <w:lvlText w:val="▪"/>
      <w:lvlJc w:val="left"/>
      <w:pPr>
        <w:ind w:left="4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2CCF7A">
      <w:start w:val="1"/>
      <w:numFmt w:val="bullet"/>
      <w:lvlText w:val="•"/>
      <w:lvlJc w:val="left"/>
      <w:pPr>
        <w:ind w:left="4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9FCDA0A">
      <w:start w:val="1"/>
      <w:numFmt w:val="bullet"/>
      <w:lvlText w:val="o"/>
      <w:lvlJc w:val="left"/>
      <w:pPr>
        <w:ind w:left="5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6C0B09C">
      <w:start w:val="1"/>
      <w:numFmt w:val="bullet"/>
      <w:lvlText w:val="▪"/>
      <w:lvlJc w:val="left"/>
      <w:pPr>
        <w:ind w:left="6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5F923557"/>
    <w:multiLevelType w:val="hybridMultilevel"/>
    <w:tmpl w:val="2C0E6CD6"/>
    <w:lvl w:ilvl="0" w:tplc="B2527CC6">
      <w:start w:val="1"/>
      <w:numFmt w:val="decimal"/>
      <w:lvlText w:val="%1."/>
      <w:lvlJc w:val="left"/>
      <w:pPr>
        <w:ind w:left="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1EE6CBA">
      <w:start w:val="1"/>
      <w:numFmt w:val="bullet"/>
      <w:lvlText w:val="•"/>
      <w:lvlJc w:val="left"/>
      <w:pPr>
        <w:ind w:left="19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39E97E8">
      <w:start w:val="1"/>
      <w:numFmt w:val="bullet"/>
      <w:lvlText w:val="▪"/>
      <w:lvlJc w:val="left"/>
      <w:pPr>
        <w:ind w:left="20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E8A36E0">
      <w:start w:val="1"/>
      <w:numFmt w:val="bullet"/>
      <w:lvlText w:val="•"/>
      <w:lvlJc w:val="left"/>
      <w:pPr>
        <w:ind w:left="27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4CE1248">
      <w:start w:val="1"/>
      <w:numFmt w:val="bullet"/>
      <w:lvlText w:val="o"/>
      <w:lvlJc w:val="left"/>
      <w:pPr>
        <w:ind w:left="35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344BC5C">
      <w:start w:val="1"/>
      <w:numFmt w:val="bullet"/>
      <w:lvlText w:val="▪"/>
      <w:lvlJc w:val="left"/>
      <w:pPr>
        <w:ind w:left="42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9129A54">
      <w:start w:val="1"/>
      <w:numFmt w:val="bullet"/>
      <w:lvlText w:val="•"/>
      <w:lvlJc w:val="left"/>
      <w:pPr>
        <w:ind w:left="49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3C882E0">
      <w:start w:val="1"/>
      <w:numFmt w:val="bullet"/>
      <w:lvlText w:val="o"/>
      <w:lvlJc w:val="left"/>
      <w:pPr>
        <w:ind w:left="56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B1E8258">
      <w:start w:val="1"/>
      <w:numFmt w:val="bullet"/>
      <w:lvlText w:val="▪"/>
      <w:lvlJc w:val="left"/>
      <w:pPr>
        <w:ind w:left="63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64FC6F73"/>
    <w:multiLevelType w:val="hybridMultilevel"/>
    <w:tmpl w:val="D4B23F5E"/>
    <w:lvl w:ilvl="0" w:tplc="7A7A160E">
      <w:start w:val="1"/>
      <w:numFmt w:val="bullet"/>
      <w:lvlText w:val="•"/>
      <w:lvlJc w:val="left"/>
      <w:pPr>
        <w:ind w:left="5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856056A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0883424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EA6E8C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B18FCAE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9D8989E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35E3BF8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FF0A2D6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B6F282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667D25E4"/>
    <w:multiLevelType w:val="hybridMultilevel"/>
    <w:tmpl w:val="A7922CD4"/>
    <w:lvl w:ilvl="0" w:tplc="41B8B216">
      <w:start w:val="1"/>
      <w:numFmt w:val="bullet"/>
      <w:lvlText w:val="•"/>
      <w:lvlJc w:val="left"/>
      <w:pPr>
        <w:ind w:left="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BA82828">
      <w:start w:val="1"/>
      <w:numFmt w:val="bullet"/>
      <w:lvlText w:val="•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B64E02">
      <w:start w:val="1"/>
      <w:numFmt w:val="bullet"/>
      <w:lvlText w:val="▪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4A7D58">
      <w:start w:val="1"/>
      <w:numFmt w:val="bullet"/>
      <w:lvlText w:val="•"/>
      <w:lvlJc w:val="left"/>
      <w:pPr>
        <w:ind w:left="2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FFC3050">
      <w:start w:val="1"/>
      <w:numFmt w:val="bullet"/>
      <w:lvlText w:val="o"/>
      <w:lvlJc w:val="left"/>
      <w:pPr>
        <w:ind w:left="32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9E82C6A">
      <w:start w:val="1"/>
      <w:numFmt w:val="bullet"/>
      <w:lvlText w:val="▪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8AC29D6">
      <w:start w:val="1"/>
      <w:numFmt w:val="bullet"/>
      <w:lvlText w:val="•"/>
      <w:lvlJc w:val="left"/>
      <w:pPr>
        <w:ind w:left="4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02857E">
      <w:start w:val="1"/>
      <w:numFmt w:val="bullet"/>
      <w:lvlText w:val="o"/>
      <w:lvlJc w:val="left"/>
      <w:pPr>
        <w:ind w:left="53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16219A">
      <w:start w:val="1"/>
      <w:numFmt w:val="bullet"/>
      <w:lvlText w:val="▪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67881E50"/>
    <w:multiLevelType w:val="hybridMultilevel"/>
    <w:tmpl w:val="48FA206A"/>
    <w:lvl w:ilvl="0" w:tplc="E78696CC">
      <w:start w:val="1"/>
      <w:numFmt w:val="bullet"/>
      <w:lvlText w:val="-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B6AC12">
      <w:start w:val="1"/>
      <w:numFmt w:val="bullet"/>
      <w:lvlText w:val="o"/>
      <w:lvlJc w:val="left"/>
      <w:pPr>
        <w:ind w:left="1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E96673A">
      <w:start w:val="1"/>
      <w:numFmt w:val="bullet"/>
      <w:lvlText w:val="▪"/>
      <w:lvlJc w:val="left"/>
      <w:pPr>
        <w:ind w:left="2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C3265F4">
      <w:start w:val="1"/>
      <w:numFmt w:val="bullet"/>
      <w:lvlText w:val="•"/>
      <w:lvlJc w:val="left"/>
      <w:pPr>
        <w:ind w:left="3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EF231CE">
      <w:start w:val="1"/>
      <w:numFmt w:val="bullet"/>
      <w:lvlText w:val="o"/>
      <w:lvlJc w:val="left"/>
      <w:pPr>
        <w:ind w:left="3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37470E8">
      <w:start w:val="1"/>
      <w:numFmt w:val="bullet"/>
      <w:lvlText w:val="▪"/>
      <w:lvlJc w:val="left"/>
      <w:pPr>
        <w:ind w:left="4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C4EE1E">
      <w:start w:val="1"/>
      <w:numFmt w:val="bullet"/>
      <w:lvlText w:val="•"/>
      <w:lvlJc w:val="left"/>
      <w:pPr>
        <w:ind w:left="5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A69658">
      <w:start w:val="1"/>
      <w:numFmt w:val="bullet"/>
      <w:lvlText w:val="o"/>
      <w:lvlJc w:val="left"/>
      <w:pPr>
        <w:ind w:left="5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B8C9240">
      <w:start w:val="1"/>
      <w:numFmt w:val="bullet"/>
      <w:lvlText w:val="▪"/>
      <w:lvlJc w:val="left"/>
      <w:pPr>
        <w:ind w:left="6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6A62753B"/>
    <w:multiLevelType w:val="hybridMultilevel"/>
    <w:tmpl w:val="4C84F546"/>
    <w:lvl w:ilvl="0" w:tplc="1088A68E">
      <w:start w:val="1"/>
      <w:numFmt w:val="upperRoman"/>
      <w:lvlText w:val="%1"/>
      <w:lvlJc w:val="left"/>
      <w:pPr>
        <w:ind w:left="51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EB4EE8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0E9F7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960BB8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6D2F90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2C6C7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26CEF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752C2F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3EE2F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D825A47"/>
    <w:multiLevelType w:val="hybridMultilevel"/>
    <w:tmpl w:val="43EE85EA"/>
    <w:lvl w:ilvl="0" w:tplc="E1B0A58C">
      <w:start w:val="1"/>
      <w:numFmt w:val="bullet"/>
      <w:lvlText w:val="•"/>
      <w:lvlJc w:val="left"/>
      <w:pPr>
        <w:ind w:left="1428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B62A94A">
      <w:start w:val="1"/>
      <w:numFmt w:val="bullet"/>
      <w:lvlText w:val="o"/>
      <w:lvlJc w:val="left"/>
      <w:pPr>
        <w:ind w:left="179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A80CCDA">
      <w:start w:val="1"/>
      <w:numFmt w:val="bullet"/>
      <w:lvlText w:val="▪"/>
      <w:lvlJc w:val="left"/>
      <w:pPr>
        <w:ind w:left="251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EA88D4">
      <w:start w:val="1"/>
      <w:numFmt w:val="bullet"/>
      <w:lvlText w:val="•"/>
      <w:lvlJc w:val="left"/>
      <w:pPr>
        <w:ind w:left="3236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862C40">
      <w:start w:val="1"/>
      <w:numFmt w:val="bullet"/>
      <w:lvlText w:val="o"/>
      <w:lvlJc w:val="left"/>
      <w:pPr>
        <w:ind w:left="395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9A08FA4">
      <w:start w:val="1"/>
      <w:numFmt w:val="bullet"/>
      <w:lvlText w:val="▪"/>
      <w:lvlJc w:val="left"/>
      <w:pPr>
        <w:ind w:left="467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33E76EE">
      <w:start w:val="1"/>
      <w:numFmt w:val="bullet"/>
      <w:lvlText w:val="•"/>
      <w:lvlJc w:val="left"/>
      <w:pPr>
        <w:ind w:left="5396"/>
      </w:pPr>
      <w:rPr>
        <w:rFonts w:ascii="Arial" w:eastAsia="Arial" w:hAnsi="Arial" w:cs="Aria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D29CDE">
      <w:start w:val="1"/>
      <w:numFmt w:val="bullet"/>
      <w:lvlText w:val="o"/>
      <w:lvlJc w:val="left"/>
      <w:pPr>
        <w:ind w:left="611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3E088A2">
      <w:start w:val="1"/>
      <w:numFmt w:val="bullet"/>
      <w:lvlText w:val="▪"/>
      <w:lvlJc w:val="left"/>
      <w:pPr>
        <w:ind w:left="683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6FB11617"/>
    <w:multiLevelType w:val="hybridMultilevel"/>
    <w:tmpl w:val="68F638EE"/>
    <w:lvl w:ilvl="0" w:tplc="6BEE0C4E">
      <w:start w:val="1"/>
      <w:numFmt w:val="bullet"/>
      <w:lvlText w:val="-"/>
      <w:lvlJc w:val="left"/>
      <w:pPr>
        <w:ind w:left="12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1A9B9A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0D63842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466BAEA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7E2B52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42DBB0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8CE7C66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DE66EB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8E1B34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74B35467"/>
    <w:multiLevelType w:val="hybridMultilevel"/>
    <w:tmpl w:val="69624B78"/>
    <w:lvl w:ilvl="0" w:tplc="AD6ECDD4">
      <w:start w:val="1"/>
      <w:numFmt w:val="decimal"/>
      <w:lvlText w:val="%1."/>
      <w:lvlJc w:val="left"/>
      <w:pPr>
        <w:ind w:left="1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522F962">
      <w:start w:val="1"/>
      <w:numFmt w:val="lowerLetter"/>
      <w:lvlText w:val="%2"/>
      <w:lvlJc w:val="left"/>
      <w:pPr>
        <w:ind w:left="12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71AC304">
      <w:start w:val="1"/>
      <w:numFmt w:val="lowerRoman"/>
      <w:lvlText w:val="%3"/>
      <w:lvlJc w:val="left"/>
      <w:pPr>
        <w:ind w:left="19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DE05C36">
      <w:start w:val="1"/>
      <w:numFmt w:val="decimal"/>
      <w:lvlText w:val="%4"/>
      <w:lvlJc w:val="left"/>
      <w:pPr>
        <w:ind w:left="26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0CE9FDE">
      <w:start w:val="1"/>
      <w:numFmt w:val="lowerLetter"/>
      <w:lvlText w:val="%5"/>
      <w:lvlJc w:val="left"/>
      <w:pPr>
        <w:ind w:left="33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849B92">
      <w:start w:val="1"/>
      <w:numFmt w:val="lowerRoman"/>
      <w:lvlText w:val="%6"/>
      <w:lvlJc w:val="left"/>
      <w:pPr>
        <w:ind w:left="41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42EE06A">
      <w:start w:val="1"/>
      <w:numFmt w:val="decimal"/>
      <w:lvlText w:val="%7"/>
      <w:lvlJc w:val="left"/>
      <w:pPr>
        <w:ind w:left="48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4BEBAC6">
      <w:start w:val="1"/>
      <w:numFmt w:val="lowerLetter"/>
      <w:lvlText w:val="%8"/>
      <w:lvlJc w:val="left"/>
      <w:pPr>
        <w:ind w:left="55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C48CF46">
      <w:start w:val="1"/>
      <w:numFmt w:val="lowerRoman"/>
      <w:lvlText w:val="%9"/>
      <w:lvlJc w:val="left"/>
      <w:pPr>
        <w:ind w:left="62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7A0E45B5"/>
    <w:multiLevelType w:val="hybridMultilevel"/>
    <w:tmpl w:val="D58631D2"/>
    <w:lvl w:ilvl="0" w:tplc="A83EC814">
      <w:start w:val="1"/>
      <w:numFmt w:val="bullet"/>
      <w:lvlText w:val="-"/>
      <w:lvlJc w:val="left"/>
      <w:pPr>
        <w:ind w:left="35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28612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EF038D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1E458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80B2D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79483E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B4ADAB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44C53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1CE19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D7422B5"/>
    <w:multiLevelType w:val="hybridMultilevel"/>
    <w:tmpl w:val="59AA37B2"/>
    <w:lvl w:ilvl="0" w:tplc="0D7CC656">
      <w:start w:val="1"/>
      <w:numFmt w:val="bullet"/>
      <w:lvlText w:val="•"/>
      <w:lvlJc w:val="left"/>
      <w:pPr>
        <w:ind w:left="1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D0B924">
      <w:start w:val="1"/>
      <w:numFmt w:val="bullet"/>
      <w:lvlText w:val="o"/>
      <w:lvlJc w:val="left"/>
      <w:pPr>
        <w:ind w:left="14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DE2892">
      <w:start w:val="1"/>
      <w:numFmt w:val="bullet"/>
      <w:lvlText w:val="▪"/>
      <w:lvlJc w:val="left"/>
      <w:pPr>
        <w:ind w:left="21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0D4AFD6">
      <w:start w:val="1"/>
      <w:numFmt w:val="bullet"/>
      <w:lvlText w:val="•"/>
      <w:lvlJc w:val="left"/>
      <w:pPr>
        <w:ind w:left="2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AEC47C">
      <w:start w:val="1"/>
      <w:numFmt w:val="bullet"/>
      <w:lvlText w:val="o"/>
      <w:lvlJc w:val="left"/>
      <w:pPr>
        <w:ind w:left="3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160B28C">
      <w:start w:val="1"/>
      <w:numFmt w:val="bullet"/>
      <w:lvlText w:val="▪"/>
      <w:lvlJc w:val="left"/>
      <w:pPr>
        <w:ind w:left="43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ECE137C">
      <w:start w:val="1"/>
      <w:numFmt w:val="bullet"/>
      <w:lvlText w:val="•"/>
      <w:lvlJc w:val="left"/>
      <w:pPr>
        <w:ind w:left="50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D43162">
      <w:start w:val="1"/>
      <w:numFmt w:val="bullet"/>
      <w:lvlText w:val="o"/>
      <w:lvlJc w:val="left"/>
      <w:pPr>
        <w:ind w:left="57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37CA30C">
      <w:start w:val="1"/>
      <w:numFmt w:val="bullet"/>
      <w:lvlText w:val="▪"/>
      <w:lvlJc w:val="left"/>
      <w:pPr>
        <w:ind w:left="64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7DFD15F2"/>
    <w:multiLevelType w:val="hybridMultilevel"/>
    <w:tmpl w:val="59C8E7C6"/>
    <w:lvl w:ilvl="0" w:tplc="2862935A">
      <w:start w:val="1"/>
      <w:numFmt w:val="bullet"/>
      <w:lvlText w:val="-"/>
      <w:lvlJc w:val="left"/>
      <w:pPr>
        <w:ind w:left="345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2E69FA4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72EDDE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BC6714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1FAE0E8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E0720C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90A521E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3E4892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EE02CA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7F0701C2"/>
    <w:multiLevelType w:val="hybridMultilevel"/>
    <w:tmpl w:val="37A62AA6"/>
    <w:lvl w:ilvl="0" w:tplc="98AC699A">
      <w:start w:val="1"/>
      <w:numFmt w:val="decimal"/>
      <w:lvlText w:val="%1."/>
      <w:lvlJc w:val="left"/>
      <w:pPr>
        <w:ind w:left="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F880ACE">
      <w:start w:val="1"/>
      <w:numFmt w:val="lowerLetter"/>
      <w:lvlText w:val="%2"/>
      <w:lvlJc w:val="left"/>
      <w:pPr>
        <w:ind w:left="1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06A9F2C">
      <w:start w:val="1"/>
      <w:numFmt w:val="lowerRoman"/>
      <w:lvlText w:val="%3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596880A">
      <w:start w:val="1"/>
      <w:numFmt w:val="decimal"/>
      <w:lvlText w:val="%4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C64E7C">
      <w:start w:val="1"/>
      <w:numFmt w:val="lowerLetter"/>
      <w:lvlText w:val="%5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7CFD44">
      <w:start w:val="1"/>
      <w:numFmt w:val="lowerRoman"/>
      <w:lvlText w:val="%6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5E0FC80">
      <w:start w:val="1"/>
      <w:numFmt w:val="decimal"/>
      <w:lvlText w:val="%7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062BBC4">
      <w:start w:val="1"/>
      <w:numFmt w:val="lowerLetter"/>
      <w:lvlText w:val="%8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DDC7BD2">
      <w:start w:val="1"/>
      <w:numFmt w:val="lowerRoman"/>
      <w:lvlText w:val="%9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"/>
  </w:num>
  <w:num w:numId="3">
    <w:abstractNumId w:val="20"/>
  </w:num>
  <w:num w:numId="4">
    <w:abstractNumId w:val="6"/>
  </w:num>
  <w:num w:numId="5">
    <w:abstractNumId w:val="15"/>
  </w:num>
  <w:num w:numId="6">
    <w:abstractNumId w:val="25"/>
  </w:num>
  <w:num w:numId="7">
    <w:abstractNumId w:val="29"/>
  </w:num>
  <w:num w:numId="8">
    <w:abstractNumId w:val="10"/>
  </w:num>
  <w:num w:numId="9">
    <w:abstractNumId w:val="34"/>
  </w:num>
  <w:num w:numId="10">
    <w:abstractNumId w:val="19"/>
  </w:num>
  <w:num w:numId="11">
    <w:abstractNumId w:val="27"/>
  </w:num>
  <w:num w:numId="12">
    <w:abstractNumId w:val="17"/>
  </w:num>
  <w:num w:numId="13">
    <w:abstractNumId w:val="35"/>
  </w:num>
  <w:num w:numId="14">
    <w:abstractNumId w:val="18"/>
  </w:num>
  <w:num w:numId="15">
    <w:abstractNumId w:val="21"/>
  </w:num>
  <w:num w:numId="16">
    <w:abstractNumId w:val="14"/>
  </w:num>
  <w:num w:numId="17">
    <w:abstractNumId w:val="9"/>
  </w:num>
  <w:num w:numId="18">
    <w:abstractNumId w:val="22"/>
  </w:num>
  <w:num w:numId="19">
    <w:abstractNumId w:val="33"/>
  </w:num>
  <w:num w:numId="20">
    <w:abstractNumId w:val="8"/>
  </w:num>
  <w:num w:numId="21">
    <w:abstractNumId w:val="23"/>
  </w:num>
  <w:num w:numId="22">
    <w:abstractNumId w:val="30"/>
  </w:num>
  <w:num w:numId="23">
    <w:abstractNumId w:val="13"/>
  </w:num>
  <w:num w:numId="24">
    <w:abstractNumId w:val="31"/>
  </w:num>
  <w:num w:numId="25">
    <w:abstractNumId w:val="3"/>
  </w:num>
  <w:num w:numId="26">
    <w:abstractNumId w:val="5"/>
  </w:num>
  <w:num w:numId="27">
    <w:abstractNumId w:val="26"/>
  </w:num>
  <w:num w:numId="28">
    <w:abstractNumId w:val="7"/>
  </w:num>
  <w:num w:numId="29">
    <w:abstractNumId w:val="32"/>
  </w:num>
  <w:num w:numId="30">
    <w:abstractNumId w:val="16"/>
  </w:num>
  <w:num w:numId="31">
    <w:abstractNumId w:val="12"/>
  </w:num>
  <w:num w:numId="32">
    <w:abstractNumId w:val="11"/>
  </w:num>
  <w:num w:numId="33">
    <w:abstractNumId w:val="0"/>
  </w:num>
  <w:num w:numId="34">
    <w:abstractNumId w:val="28"/>
  </w:num>
  <w:num w:numId="35">
    <w:abstractNumId w:val="4"/>
  </w:num>
  <w:num w:numId="36">
    <w:abstractNumId w:val="36"/>
  </w:num>
  <w:num w:numId="3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3B51"/>
    <w:rsid w:val="000A3B51"/>
    <w:rsid w:val="003D0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7948DF98-02C7-4539-8629-526EC82B3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14" w:line="265" w:lineRule="auto"/>
      <w:ind w:left="370" w:right="541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37"/>
      <w:ind w:left="10" w:right="401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2" w:line="249" w:lineRule="auto"/>
      <w:ind w:left="10" w:right="401" w:hanging="10"/>
      <w:jc w:val="both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2" w:line="249" w:lineRule="auto"/>
      <w:ind w:left="10" w:right="401" w:hanging="10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161"/>
      <w:ind w:left="370" w:hanging="10"/>
      <w:outlineLvl w:val="3"/>
    </w:pPr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yandex.ru/clck/jsredir?from=yandex.ru%3Bsearch%2F%3Bweb%3B%3B&amp;text=&amp;etext=1195.BhIMis9rHcTIRg5rk_1CeAsDHDdo2Rr7NlHlmO_idlQVP_SHOKWBqkKZmobNngBC0a0vq-3_tPp8Q88PLCqeyA.70f616a6e8edd5e1e47e670ae1b02410bc0b2291&amp;uuid=&amp;state=PEtFfuTeVD5kpHnK9lio9bb4iM1VPfe4W5x0C0-qwflIRTTifi6VAA&amp;data=UlNrNmk5WktYejR0eWJFYk1LdmtxZ2txOEJjTWxSVVZNTThZYTl4LTQtWG9MWDhqZS1hX0U2MkpTUnRUS0stWm8yWk9acWlWd2pCLXc5YmNPQmFsZFJRdTF1WG5MTFBJdDBEb3N2a2V5N1k&amp;b64e=2&amp;sign=1025b9f0833a77da982dce66ca8acf8d&amp;keyno=0&amp;cst=AiuY0DBWFJ5fN_r-AEszkyS_ciZXiHrPy6muvn9Ur3yvJJw8XFohWzcJvl3m3hC86e53e3mVT4XZAkqseQcoriU9HOWsA2PKyhcun-SyektAfG6jcAtXf6kR5P323ZCqOVNFBnkYdqoI24y5WLfXPIn6CkGuooKjsaYXfr9PSXBxRa0VxMt7jvBwErOY-EdyJXCsLUcMfSbhMcTCx4wE4UoeNBDkIFOnWqC1wfkEKkwFcwAChmNLoFdqMsUfexx0FaoxkI6sm99_0b6Q-75tcZsIyNrHa2cCE9EzXc8Gb0DQXm-Fke61i0QGGyyg3eO17hB1V4exyYhmT5_AliOD3tGWdR9qH5Tq&amp;ref=orjY4mGPRjk5boDnW0uvlrrd71vZw9kp5fHOIQIKvOUE0iPx1D7RBlba1ew9ECCgQZ1LYAjfYqNg-Fcq32xOFSnbKE5Mxy9G7sy-0Lyd7icXV9hYO6KXiein3adl9g8Z0_7wqS7jDb1oxtWx0wlX51Qc-n7phLXhIax3BuP3vJ60_ipRh_6HZdLJiZCu26NdKy-KX61k36Eg4S-RM1uDUBa3tRKgUPqX&amp;l10n=ru&amp;cts=1475341455205&amp;mc=3.9153115322251013" TargetMode="External"/><Relationship Id="rId18" Type="http://schemas.openxmlformats.org/officeDocument/2006/relationships/hyperlink" Target="https://legalacts.ru/doc/klinicheskie-rekomendatsii-gonartroz-utv-minzdravom-rossii/" TargetMode="External"/><Relationship Id="rId26" Type="http://schemas.openxmlformats.org/officeDocument/2006/relationships/image" Target="media/image2.png"/><Relationship Id="rId39" Type="http://schemas.openxmlformats.org/officeDocument/2006/relationships/hyperlink" Target="https://static/" TargetMode="External"/><Relationship Id="rId21" Type="http://schemas.openxmlformats.org/officeDocument/2006/relationships/hyperlink" Target="https://legalacts.ru/doc/klinicheskie-rekomendatsii-gonartroz-utv-minzdravom-rossii/" TargetMode="External"/><Relationship Id="rId34" Type="http://schemas.openxmlformats.org/officeDocument/2006/relationships/hyperlink" Target="https://legalacts.ru/doc/klinicheskie-rekomendatsii-gonartroz-utv-minzdravom-rossii/" TargetMode="External"/><Relationship Id="rId42" Type="http://schemas.openxmlformats.org/officeDocument/2006/relationships/image" Target="media/image4.jpg"/><Relationship Id="rId47" Type="http://schemas.openxmlformats.org/officeDocument/2006/relationships/hyperlink" Target="https://orthotoolkit.com/koos/%5b497%5b493,4" TargetMode="External"/><Relationship Id="rId50" Type="http://schemas.openxmlformats.org/officeDocument/2006/relationships/hyperlink" Target="https://orthotoolkit.com/koos/%5b497%5b493,4" TargetMode="External"/><Relationship Id="rId55" Type="http://schemas.openxmlformats.org/officeDocument/2006/relationships/image" Target="media/image7.jp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hyperlink" Target="https://legalacts.ru/doc/klinicheskie-rekomendatsii-gonartroz-utv-minzdravom-rossii/" TargetMode="External"/><Relationship Id="rId29" Type="http://schemas.openxmlformats.org/officeDocument/2006/relationships/hyperlink" Target="https://legalacts.ru/doc/klinicheskie-rekomendatsii-gonartroz-utv-minzdravom-rossii/" TargetMode="External"/><Relationship Id="rId11" Type="http://schemas.openxmlformats.org/officeDocument/2006/relationships/hyperlink" Target="http://yandex.ru/clck/jsredir?from=yandex.ru%3Bsearch%2F%3Bweb%3B%3B&amp;text=&amp;etext=1195.BhIMis9rHcTIRg5rk_1CeAsDHDdo2Rr7NlHlmO_idlQVP_SHOKWBqkKZmobNngBC0a0vq-3_tPp8Q88PLCqeyA.70f616a6e8edd5e1e47e670ae1b02410bc0b2291&amp;uuid=&amp;state=PEtFfuTeVD5kpHnK9lio9bb4iM1VPfe4W5x0C0-qwflIRTTifi6VAA&amp;data=UlNrNmk5WktYejR0eWJFYk1LdmtxZ2txOEJjTWxSVVZNTThZYTl4LTQtWG9MWDhqZS1hX0U2MkpTUnRUS0stWm8yWk9acWlWd2pCLXc5YmNPQmFsZFJRdTF1WG5MTFBJdDBEb3N2a2V5N1k&amp;b64e=2&amp;sign=1025b9f0833a77da982dce66ca8acf8d&amp;keyno=0&amp;cst=AiuY0DBWFJ5fN_r-AEszkyS_ciZXiHrPy6muvn9Ur3yvJJw8XFohWzcJvl3m3hC86e53e3mVT4XZAkqseQcoriU9HOWsA2PKyhcun-SyektAfG6jcAtXf6kR5P323ZCqOVNFBnkYdqoI24y5WLfXPIn6CkGuooKjsaYXfr9PSXBxRa0VxMt7jvBwErOY-EdyJXCsLUcMfSbhMcTCx4wE4UoeNBDkIFOnWqC1wfkEKkwFcwAChmNLoFdqMsUfexx0FaoxkI6sm99_0b6Q-75tcZsIyNrHa2cCE9EzXc8Gb0DQXm-Fke61i0QGGyyg3eO17hB1V4exyYhmT5_AliOD3tGWdR9qH5Tq&amp;ref=orjY4mGPRjk5boDnW0uvlrrd71vZw9kp5fHOIQIKvOUE0iPx1D7RBlba1ew9ECCgQZ1LYAjfYqNg-Fcq32xOFSnbKE5Mxy9G7sy-0Lyd7icXV9hYO6KXiein3adl9g8Z0_7wqS7jDb1oxtWx0wlX51Qc-n7phLXhIax3BuP3vJ60_ipRh_6HZdLJiZCu26NdKy-KX61k36Eg4S-RM1uDUBa3tRKgUPqX&amp;l10n=ru&amp;cts=1475341455205&amp;mc=3.9153115322251013" TargetMode="External"/><Relationship Id="rId24" Type="http://schemas.openxmlformats.org/officeDocument/2006/relationships/hyperlink" Target="https://ru.wikipedia.org/wiki/%D0%9B%D0%B5%D0%BA%D0%B0%D1%80%D1%81%D1%82%D0%B2%D0%B5%D0%BD%D0%BD%D1%8B%D0%B5_%D1%81%D1%80%D0%B5%D0%B4%D1%81%D1%82%D0%B2%D0%B0" TargetMode="External"/><Relationship Id="rId32" Type="http://schemas.openxmlformats.org/officeDocument/2006/relationships/hyperlink" Target="https://legalacts.ru/doc/klinicheskie-rekomendatsii-gonartroz-utv-minzdravom-rossii/" TargetMode="External"/><Relationship Id="rId37" Type="http://schemas.openxmlformats.org/officeDocument/2006/relationships/hyperlink" Target="http://www.fda.gov/medwatch" TargetMode="External"/><Relationship Id="rId40" Type="http://schemas.openxmlformats.org/officeDocument/2006/relationships/hyperlink" Target="https://static/" TargetMode="External"/><Relationship Id="rId45" Type="http://schemas.openxmlformats.org/officeDocument/2006/relationships/hyperlink" Target="https://orthotoolkit.com/koos/%5b497%5b493,4" TargetMode="External"/><Relationship Id="rId53" Type="http://schemas.openxmlformats.org/officeDocument/2006/relationships/hyperlink" Target="https://orthotoolkit.com/koos/%5b497%5b493,4" TargetMode="External"/><Relationship Id="rId58" Type="http://schemas.openxmlformats.org/officeDocument/2006/relationships/footer" Target="footer5.xml"/><Relationship Id="rId5" Type="http://schemas.openxmlformats.org/officeDocument/2006/relationships/footnotes" Target="footnotes.xml"/><Relationship Id="rId61" Type="http://schemas.openxmlformats.org/officeDocument/2006/relationships/theme" Target="theme/theme1.xml"/><Relationship Id="rId19" Type="http://schemas.openxmlformats.org/officeDocument/2006/relationships/hyperlink" Target="https://legalacts.ru/doc/klinicheskie-rekomendatsii-gonartroz-utv-minzdravom-rossii/" TargetMode="External"/><Relationship Id="rId14" Type="http://schemas.openxmlformats.org/officeDocument/2006/relationships/hyperlink" Target="http://yandex.ru/clck/jsredir?from=yandex.ru%3Bsearch%2F%3Bweb%3B%3B&amp;text=&amp;etext=1195.BhIMis9rHcTIRg5rk_1CeAsDHDdo2Rr7NlHlmO_idlQVP_SHOKWBqkKZmobNngBC0a0vq-3_tPp8Q88PLCqeyA.70f616a6e8edd5e1e47e670ae1b02410bc0b2291&amp;uuid=&amp;state=PEtFfuTeVD5kpHnK9lio9bb4iM1VPfe4W5x0C0-qwflIRTTifi6VAA&amp;data=UlNrNmk5WktYejR0eWJFYk1LdmtxZ2txOEJjTWxSVVZNTThZYTl4LTQtWG9MWDhqZS1hX0U2MkpTUnRUS0stWm8yWk9acWlWd2pCLXc5YmNPQmFsZFJRdTF1WG5MTFBJdDBEb3N2a2V5N1k&amp;b64e=2&amp;sign=1025b9f0833a77da982dce66ca8acf8d&amp;keyno=0&amp;cst=AiuY0DBWFJ5fN_r-AEszkyS_ciZXiHrPy6muvn9Ur3yvJJw8XFohWzcJvl3m3hC86e53e3mVT4XZAkqseQcoriU9HOWsA2PKyhcun-SyektAfG6jcAtXf6kR5P323ZCqOVNFBnkYdqoI24y5WLfXPIn6CkGuooKjsaYXfr9PSXBxRa0VxMt7jvBwErOY-EdyJXCsLUcMfSbhMcTCx4wE4UoeNBDkIFOnWqC1wfkEKkwFcwAChmNLoFdqMsUfexx0FaoxkI6sm99_0b6Q-75tcZsIyNrHa2cCE9EzXc8Gb0DQXm-Fke61i0QGGyyg3eO17hB1V4exyYhmT5_AliOD3tGWdR9qH5Tq&amp;ref=orjY4mGPRjk5boDnW0uvlrrd71vZw9kp5fHOIQIKvOUE0iPx1D7RBlba1ew9ECCgQZ1LYAjfYqNg-Fcq32xOFSnbKE5Mxy9G7sy-0Lyd7icXV9hYO6KXiein3adl9g8Z0_7wqS7jDb1oxtWx0wlX51Qc-n7phLXhIax3BuP3vJ60_ipRh_6HZdLJiZCu26NdKy-KX61k36Eg4S-RM1uDUBa3tRKgUPqX&amp;l10n=ru&amp;cts=1475341455205&amp;mc=3.9153115322251013" TargetMode="External"/><Relationship Id="rId22" Type="http://schemas.openxmlformats.org/officeDocument/2006/relationships/hyperlink" Target="https://legalacts.ru/doc/klinicheskie-rekomendatsii-gonartroz-utv-minzdravom-rossii/" TargetMode="External"/><Relationship Id="rId27" Type="http://schemas.openxmlformats.org/officeDocument/2006/relationships/hyperlink" Target="https://legalacts.ru/doc/klinicheskie-rekomendatsii-gonartroz-utv-minzdravom-rossii/" TargetMode="External"/><Relationship Id="rId30" Type="http://schemas.openxmlformats.org/officeDocument/2006/relationships/hyperlink" Target="https://legalacts.ru/doc/klinicheskie-rekomendatsii-gonartroz-utv-minzdravom-rossii/" TargetMode="External"/><Relationship Id="rId35" Type="http://schemas.openxmlformats.org/officeDocument/2006/relationships/hyperlink" Target="https://legalacts.ru/doc/klinicheskie-rekomendatsii-gonartroz-utv-minzdravom-rossii/" TargetMode="External"/><Relationship Id="rId43" Type="http://schemas.openxmlformats.org/officeDocument/2006/relationships/image" Target="media/image5.jpg"/><Relationship Id="rId48" Type="http://schemas.openxmlformats.org/officeDocument/2006/relationships/hyperlink" Target="https://orthotoolkit.com/koos/%5b497%5b493,4" TargetMode="External"/><Relationship Id="rId56" Type="http://schemas.openxmlformats.org/officeDocument/2006/relationships/image" Target="media/image8.jpg"/><Relationship Id="rId8" Type="http://schemas.openxmlformats.org/officeDocument/2006/relationships/footer" Target="footer1.xml"/><Relationship Id="rId51" Type="http://schemas.openxmlformats.org/officeDocument/2006/relationships/hyperlink" Target="https://orthotoolkit.com/koos/%5b497%5b493,4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yandex.ru/clck/jsredir?from=yandex.ru%3Bsearch%2F%3Bweb%3B%3B&amp;text=&amp;etext=1195.BhIMis9rHcTIRg5rk_1CeAsDHDdo2Rr7NlHlmO_idlQVP_SHOKWBqkKZmobNngBC0a0vq-3_tPp8Q88PLCqeyA.70f616a6e8edd5e1e47e670ae1b02410bc0b2291&amp;uuid=&amp;state=PEtFfuTeVD5kpHnK9lio9bb4iM1VPfe4W5x0C0-qwflIRTTifi6VAA&amp;data=UlNrNmk5WktYejR0eWJFYk1LdmtxZ2txOEJjTWxSVVZNTThZYTl4LTQtWG9MWDhqZS1hX0U2MkpTUnRUS0stWm8yWk9acWlWd2pCLXc5YmNPQmFsZFJRdTF1WG5MTFBJdDBEb3N2a2V5N1k&amp;b64e=2&amp;sign=1025b9f0833a77da982dce66ca8acf8d&amp;keyno=0&amp;cst=AiuY0DBWFJ5fN_r-AEszkyS_ciZXiHrPy6muvn9Ur3yvJJw8XFohWzcJvl3m3hC86e53e3mVT4XZAkqseQcoriU9HOWsA2PKyhcun-SyektAfG6jcAtXf6kR5P323ZCqOVNFBnkYdqoI24y5WLfXPIn6CkGuooKjsaYXfr9PSXBxRa0VxMt7jvBwErOY-EdyJXCsLUcMfSbhMcTCx4wE4UoeNBDkIFOnWqC1wfkEKkwFcwAChmNLoFdqMsUfexx0FaoxkI6sm99_0b6Q-75tcZsIyNrHa2cCE9EzXc8Gb0DQXm-Fke61i0QGGyyg3eO17hB1V4exyYhmT5_AliOD3tGWdR9qH5Tq&amp;ref=orjY4mGPRjk5boDnW0uvlrrd71vZw9kp5fHOIQIKvOUE0iPx1D7RBlba1ew9ECCgQZ1LYAjfYqNg-Fcq32xOFSnbKE5Mxy9G7sy-0Lyd7icXV9hYO6KXiein3adl9g8Z0_7wqS7jDb1oxtWx0wlX51Qc-n7phLXhIax3BuP3vJ60_ipRh_6HZdLJiZCu26NdKy-KX61k36Eg4S-RM1uDUBa3tRKgUPqX&amp;l10n=ru&amp;cts=1475341455205&amp;mc=3.9153115322251013" TargetMode="External"/><Relationship Id="rId17" Type="http://schemas.openxmlformats.org/officeDocument/2006/relationships/hyperlink" Target="https://legalacts.ru/doc/klinicheskie-rekomendatsii-gonartroz-utv-minzdravom-rossii/" TargetMode="External"/><Relationship Id="rId25" Type="http://schemas.openxmlformats.org/officeDocument/2006/relationships/hyperlink" Target="https://ru.wikipedia.org/wiki/%D0%9B%D0%B5%D0%BA%D0%B0%D1%80%D1%81%D1%82%D0%B2%D0%B5%D0%BD%D0%BD%D1%8B%D0%B5_%D1%81%D1%80%D0%B5%D0%B4%D1%81%D1%82%D0%B2%D0%B0" TargetMode="External"/><Relationship Id="rId33" Type="http://schemas.openxmlformats.org/officeDocument/2006/relationships/hyperlink" Target="https://legalacts.ru/doc/klinicheskie-rekomendatsii-gonartroz-utv-minzdravom-rossii/" TargetMode="External"/><Relationship Id="rId38" Type="http://schemas.openxmlformats.org/officeDocument/2006/relationships/hyperlink" Target="http://www.fda.gov/medwatch" TargetMode="External"/><Relationship Id="rId46" Type="http://schemas.openxmlformats.org/officeDocument/2006/relationships/hyperlink" Target="https://orthotoolkit.com/koos/%5b497%5b493,4" TargetMode="External"/><Relationship Id="rId59" Type="http://schemas.openxmlformats.org/officeDocument/2006/relationships/footer" Target="footer6.xml"/><Relationship Id="rId20" Type="http://schemas.openxmlformats.org/officeDocument/2006/relationships/hyperlink" Target="https://legalacts.ru/doc/klinicheskie-rekomendatsii-gonartroz-utv-minzdravom-rossii/" TargetMode="External"/><Relationship Id="rId41" Type="http://schemas.openxmlformats.org/officeDocument/2006/relationships/image" Target="media/image3.jpg"/><Relationship Id="rId54" Type="http://schemas.openxmlformats.org/officeDocument/2006/relationships/hyperlink" Target="https://orthotoolkit.com/koos/%5b497%5b493,4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yandex.ru/clck/jsredir?from=yandex.ru%3Bsearch%2F%3Bweb%3B%3B&amp;text=&amp;etext=1195.BhIMis9rHcTIRg5rk_1CeAsDHDdo2Rr7NlHlmO_idlQVP_SHOKWBqkKZmobNngBC0a0vq-3_tPp8Q88PLCqeyA.70f616a6e8edd5e1e47e670ae1b02410bc0b2291&amp;uuid=&amp;state=PEtFfuTeVD5kpHnK9lio9bb4iM1VPfe4W5x0C0-qwflIRTTifi6VAA&amp;data=UlNrNmk5WktYejR0eWJFYk1LdmtxZ2txOEJjTWxSVVZNTThZYTl4LTQtWG9MWDhqZS1hX0U2MkpTUnRUS0stWm8yWk9acWlWd2pCLXc5YmNPQmFsZFJRdTF1WG5MTFBJdDBEb3N2a2V5N1k&amp;b64e=2&amp;sign=1025b9f0833a77da982dce66ca8acf8d&amp;keyno=0&amp;cst=AiuY0DBWFJ5fN_r-AEszkyS_ciZXiHrPy6muvn9Ur3yvJJw8XFohWzcJvl3m3hC86e53e3mVT4XZAkqseQcoriU9HOWsA2PKyhcun-SyektAfG6jcAtXf6kR5P323ZCqOVNFBnkYdqoI24y5WLfXPIn6CkGuooKjsaYXfr9PSXBxRa0VxMt7jvBwErOY-EdyJXCsLUcMfSbhMcTCx4wE4UoeNBDkIFOnWqC1wfkEKkwFcwAChmNLoFdqMsUfexx0FaoxkI6sm99_0b6Q-75tcZsIyNrHa2cCE9EzXc8Gb0DQXm-Fke61i0QGGyyg3eO17hB1V4exyYhmT5_AliOD3tGWdR9qH5Tq&amp;ref=orjY4mGPRjk5boDnW0uvlrrd71vZw9kp5fHOIQIKvOUE0iPx1D7RBlba1ew9ECCgQZ1LYAjfYqNg-Fcq32xOFSnbKE5Mxy9G7sy-0Lyd7icXV9hYO6KXiein3adl9g8Z0_7wqS7jDb1oxtWx0wlX51Qc-n7phLXhIax3BuP3vJ60_ipRh_6HZdLJiZCu26NdKy-KX61k36Eg4S-RM1uDUBa3tRKgUPqX&amp;l10n=ru&amp;cts=1475341455205&amp;mc=3.9153115322251013" TargetMode="External"/><Relationship Id="rId23" Type="http://schemas.openxmlformats.org/officeDocument/2006/relationships/hyperlink" Target="https://legalacts.ru/doc/klinicheskie-rekomendatsii-gonartroz-utv-minzdravom-rossii/" TargetMode="External"/><Relationship Id="rId28" Type="http://schemas.openxmlformats.org/officeDocument/2006/relationships/hyperlink" Target="https://legalacts.ru/doc/klinicheskie-rekomendatsii-gonartroz-utv-minzdravom-rossii/" TargetMode="External"/><Relationship Id="rId36" Type="http://schemas.openxmlformats.org/officeDocument/2006/relationships/hyperlink" Target="https://legalacts.ru/doc/klinicheskie-rekomendatsii-gonartroz-utv-minzdravom-rossii/" TargetMode="External"/><Relationship Id="rId49" Type="http://schemas.openxmlformats.org/officeDocument/2006/relationships/hyperlink" Target="https://orthotoolkit.com/koos/%5b497%5b493,4" TargetMode="External"/><Relationship Id="rId57" Type="http://schemas.openxmlformats.org/officeDocument/2006/relationships/footer" Target="footer4.xml"/><Relationship Id="rId10" Type="http://schemas.openxmlformats.org/officeDocument/2006/relationships/footer" Target="footer3.xml"/><Relationship Id="rId31" Type="http://schemas.openxmlformats.org/officeDocument/2006/relationships/hyperlink" Target="https://legalacts.ru/doc/klinicheskie-rekomendatsii-gonartroz-utv-minzdravom-rossii/" TargetMode="External"/><Relationship Id="rId44" Type="http://schemas.openxmlformats.org/officeDocument/2006/relationships/image" Target="media/image6.jpg"/><Relationship Id="rId52" Type="http://schemas.openxmlformats.org/officeDocument/2006/relationships/hyperlink" Target="https://orthotoolkit.com/koos/%5b497%5b493,4" TargetMode="External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45279</Words>
  <Characters>258096</Characters>
  <Application>Microsoft Office Word</Application>
  <DocSecurity>4</DocSecurity>
  <Lines>2150</Lines>
  <Paragraphs>605</Paragraphs>
  <ScaleCrop>false</ScaleCrop>
  <Company/>
  <LinksUpToDate>false</LinksUpToDate>
  <CharactersWithSpaces>302770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ФГБУ "ЦЭККМП" Минздрава России</dc:creator>
  <cp:keywords/>
  <cp:lastModifiedBy>word</cp:lastModifiedBy>
  <cp:revision>2</cp:revision>
  <dcterms:created xsi:type="dcterms:W3CDTF">2025-12-11T15:22:00Z</dcterms:created>
  <dcterms:modified xsi:type="dcterms:W3CDTF">2025-12-11T15:22:00Z</dcterms:modified>
</cp:coreProperties>
</file>