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3"/>
        <w:ind w:left="1880"/>
      </w:pPr>
      <w:bookmarkStart w:name="ПРАВИТЕЛЬСТВО РОССИЙСКОЙ ФЕДЕРАЦИИ" w:id="1"/>
      <w:bookmarkEnd w:id="1"/>
      <w:r>
        <w:rPr>
          <w:b w:val="0"/>
        </w:rPr>
      </w:r>
      <w:r>
        <w:rPr/>
        <w:t>ПРАВИТЕЛЬСТВО РОССИЙСКОЙ ФЕДЕРАЦИИ</w:t>
      </w:r>
    </w:p>
    <w:p>
      <w:pPr>
        <w:pStyle w:val="BodyText"/>
        <w:rPr>
          <w:b/>
        </w:rPr>
      </w:pPr>
    </w:p>
    <w:p>
      <w:pPr>
        <w:spacing w:before="0"/>
        <w:ind w:left="1883" w:right="1869" w:firstLine="0"/>
        <w:jc w:val="center"/>
        <w:rPr>
          <w:b/>
          <w:sz w:val="22"/>
        </w:rPr>
      </w:pPr>
      <w:r>
        <w:rPr>
          <w:b/>
          <w:sz w:val="22"/>
        </w:rPr>
        <w:t>ПОСТАНОВЛЕНИЕ</w:t>
      </w:r>
    </w:p>
    <w:p>
      <w:pPr>
        <w:spacing w:before="1"/>
        <w:ind w:left="1882" w:right="1870" w:firstLine="0"/>
        <w:jc w:val="center"/>
        <w:rPr>
          <w:b/>
          <w:sz w:val="22"/>
        </w:rPr>
      </w:pPr>
      <w:r>
        <w:rPr>
          <w:b/>
          <w:sz w:val="22"/>
        </w:rPr>
        <w:t>от 17 августа 2007 г. N 522</w:t>
      </w:r>
    </w:p>
    <w:p>
      <w:pPr>
        <w:pStyle w:val="BodyText"/>
        <w:spacing w:before="1"/>
        <w:rPr>
          <w:b/>
        </w:rPr>
      </w:pPr>
    </w:p>
    <w:p>
      <w:pPr>
        <w:spacing w:before="0"/>
        <w:ind w:left="2342" w:right="2317" w:firstLine="907"/>
        <w:jc w:val="left"/>
        <w:rPr>
          <w:b/>
          <w:sz w:val="22"/>
        </w:rPr>
      </w:pPr>
      <w:r>
        <w:rPr>
          <w:b/>
          <w:sz w:val="22"/>
        </w:rPr>
        <w:t>ОБ УТВЕРЖДЕНИИ ПРАВИЛ ОПРЕДЕЛЕНИЯ СТЕПЕНИ ТЯЖЕСТИ ВРЕДА,</w:t>
      </w:r>
    </w:p>
    <w:p>
      <w:pPr>
        <w:spacing w:line="251" w:lineRule="exact" w:before="0"/>
        <w:ind w:left="2517" w:right="0" w:firstLine="0"/>
        <w:jc w:val="left"/>
        <w:rPr>
          <w:b/>
          <w:sz w:val="22"/>
        </w:rPr>
      </w:pPr>
      <w:r>
        <w:rPr>
          <w:b/>
          <w:sz w:val="22"/>
        </w:rPr>
        <w:t>ПРИЧИНЕННОГО ЗДОРОВЬЮ ЧЕЛОВЕКА</w:t>
      </w:r>
    </w:p>
    <w:p>
      <w:pPr>
        <w:pStyle w:val="BodyText"/>
        <w:spacing w:before="9"/>
        <w:rPr>
          <w:b/>
          <w:sz w:val="34"/>
        </w:rPr>
      </w:pPr>
    </w:p>
    <w:p>
      <w:pPr>
        <w:pStyle w:val="BodyText"/>
        <w:ind w:left="1878" w:right="1870"/>
        <w:jc w:val="center"/>
      </w:pPr>
      <w:r>
        <w:rPr/>
        <w:pict>
          <v:shape style="position:absolute;margin-left:83.520004pt;margin-top:-5.330496pt;width:3pt;height:74.650pt;mso-position-horizontal-relative:page;mso-position-vertical-relative:paragraph;z-index:15728640" coordorigin="1670,-107" coordsize="60,1493" path="m1730,-107l1670,-107,1670,6,1670,1386,1730,1386,1730,6,1730,-107xe" filled="true" fillcolor="#ced3f1" stroked="false">
            <v:path arrowok="t"/>
            <v:fill type="solid"/>
            <w10:wrap type="none"/>
          </v:shape>
        </w:pict>
      </w:r>
      <w:r>
        <w:rPr/>
        <w:pict>
          <v:shape style="position:absolute;margin-left:551.280029pt;margin-top:-5.330496pt;width:3pt;height:74.650pt;mso-position-horizontal-relative:page;mso-position-vertical-relative:paragraph;z-index:15729152" coordorigin="11026,-107" coordsize="60,1493" path="m11086,-107l11026,-107,11026,6,11026,1386,11086,1386,11086,6,11086,-107xe" filled="true" fillcolor="#f4f3f8" stroked="false">
            <v:path arrowok="t"/>
            <v:fill type="solid"/>
            <w10:wrap type="none"/>
          </v:shape>
        </w:pict>
      </w:r>
      <w:r>
        <w:rPr/>
        <w:t>Список изменяющих документов</w:t>
      </w:r>
    </w:p>
    <w:p>
      <w:pPr>
        <w:pStyle w:val="BodyText"/>
        <w:spacing w:before="1"/>
        <w:ind w:left="1883" w:right="1870"/>
        <w:jc w:val="center"/>
      </w:pPr>
      <w:r>
        <w:rPr/>
        <w:t>(в ред. Постановлений Правительства РФ от 24.03.2011 </w:t>
      </w:r>
      <w:hyperlink r:id="rId5">
        <w:r>
          <w:rPr/>
          <w:t>N 206,</w:t>
        </w:r>
      </w:hyperlink>
      <w:r>
        <w:rPr/>
        <w:t> от 17.11.2011 </w:t>
      </w:r>
      <w:hyperlink r:id="rId6">
        <w:r>
          <w:rPr/>
          <w:t>N 938,</w:t>
        </w:r>
      </w:hyperlink>
    </w:p>
    <w:p>
      <w:pPr>
        <w:pStyle w:val="BodyText"/>
        <w:spacing w:before="1"/>
        <w:ind w:left="2176" w:right="2166"/>
        <w:jc w:val="center"/>
      </w:pPr>
      <w:r>
        <w:rPr/>
        <w:t>с изм., внесенными </w:t>
      </w:r>
      <w:hyperlink r:id="rId7">
        <w:r>
          <w:rPr/>
          <w:t>Определением </w:t>
        </w:r>
      </w:hyperlink>
      <w:r>
        <w:rPr/>
        <w:t>Верховного Суда РФ от 09.12.2010 N КАС10-611)</w:t>
      </w:r>
    </w:p>
    <w:p>
      <w:pPr>
        <w:pStyle w:val="BodyText"/>
        <w:spacing w:before="9"/>
        <w:rPr>
          <w:sz w:val="23"/>
        </w:rPr>
      </w:pPr>
    </w:p>
    <w:p>
      <w:pPr>
        <w:pStyle w:val="BodyText"/>
        <w:spacing w:before="92"/>
        <w:ind w:left="141" w:right="123" w:firstLine="540"/>
        <w:jc w:val="both"/>
      </w:pPr>
      <w:r>
        <w:rPr/>
        <w:t>В соответствии со </w:t>
      </w:r>
      <w:hyperlink r:id="rId8">
        <w:r>
          <w:rPr/>
          <w:t>статьей 52</w:t>
        </w:r>
      </w:hyperlink>
      <w:r>
        <w:rPr/>
        <w:t> Основ законодательства Российской Федерации об охране здоровья граждан (Ведомости Съезда народных депутатов Российской Федерации и Верховного Совета Российской Федерации, 1993, N 33, ст. 1318; Собрание законодательства Российской Федерации, 2004, N 35, ст. 3607; 2006, N 6, ст. 640) Правительство Российской Федерации постановляет:</w:t>
      </w:r>
    </w:p>
    <w:p>
      <w:pPr>
        <w:pStyle w:val="BodyText"/>
        <w:spacing w:before="1"/>
        <w:rPr>
          <w:sz w:val="19"/>
        </w:rPr>
      </w:pPr>
    </w:p>
    <w:p>
      <w:pPr>
        <w:pStyle w:val="ListParagraph"/>
        <w:numPr>
          <w:ilvl w:val="0"/>
          <w:numId w:val="1"/>
        </w:numPr>
        <w:tabs>
          <w:tab w:pos="977" w:val="left" w:leader="none"/>
        </w:tabs>
        <w:spacing w:line="240" w:lineRule="auto" w:before="1" w:after="0"/>
        <w:ind w:left="141" w:right="125" w:firstLine="540"/>
        <w:jc w:val="left"/>
        <w:rPr>
          <w:sz w:val="22"/>
        </w:rPr>
      </w:pPr>
      <w:r>
        <w:rPr>
          <w:sz w:val="22"/>
        </w:rPr>
        <w:t>Утвердить прилагаемые </w:t>
      </w:r>
      <w:hyperlink w:history="true" w:anchor="_bookmark0">
        <w:r>
          <w:rPr>
            <w:sz w:val="22"/>
          </w:rPr>
          <w:t>Правила</w:t>
        </w:r>
      </w:hyperlink>
      <w:r>
        <w:rPr>
          <w:sz w:val="22"/>
        </w:rPr>
        <w:t> определения степени тяжести вреда, причиненного здоровью</w:t>
      </w:r>
      <w:r>
        <w:rPr>
          <w:spacing w:val="-1"/>
          <w:sz w:val="22"/>
        </w:rPr>
        <w:t> </w:t>
      </w:r>
      <w:r>
        <w:rPr>
          <w:sz w:val="22"/>
        </w:rPr>
        <w:t>человека.</w:t>
      </w:r>
    </w:p>
    <w:p>
      <w:pPr>
        <w:pStyle w:val="ListParagraph"/>
        <w:numPr>
          <w:ilvl w:val="0"/>
          <w:numId w:val="1"/>
        </w:numPr>
        <w:tabs>
          <w:tab w:pos="903" w:val="left" w:leader="none"/>
        </w:tabs>
        <w:spacing w:line="470" w:lineRule="atLeast" w:before="4" w:after="0"/>
        <w:ind w:left="681" w:right="125" w:firstLine="0"/>
        <w:jc w:val="left"/>
        <w:rPr>
          <w:sz w:val="22"/>
        </w:rPr>
      </w:pPr>
      <w:r>
        <w:rPr>
          <w:sz w:val="22"/>
        </w:rPr>
        <w:t>Министерству здравоохранения и социального развития Российской Федерации: утвердить </w:t>
      </w:r>
      <w:hyperlink r:id="rId9">
        <w:r>
          <w:rPr>
            <w:sz w:val="22"/>
          </w:rPr>
          <w:t>медицинские критерии</w:t>
        </w:r>
      </w:hyperlink>
      <w:r>
        <w:rPr>
          <w:sz w:val="22"/>
        </w:rPr>
        <w:t> определения степени тяжести вреда,</w:t>
      </w:r>
      <w:r>
        <w:rPr>
          <w:spacing w:val="31"/>
          <w:sz w:val="22"/>
        </w:rPr>
        <w:t> </w:t>
      </w:r>
      <w:r>
        <w:rPr>
          <w:sz w:val="22"/>
        </w:rPr>
        <w:t>причиненного</w:t>
      </w:r>
    </w:p>
    <w:p>
      <w:pPr>
        <w:pStyle w:val="BodyText"/>
        <w:spacing w:before="1"/>
        <w:ind w:left="141"/>
      </w:pPr>
      <w:r>
        <w:rPr/>
        <w:t>здоровью человека;</w:t>
      </w:r>
    </w:p>
    <w:p>
      <w:pPr>
        <w:pStyle w:val="BodyText"/>
        <w:spacing w:before="1"/>
        <w:rPr>
          <w:sz w:val="19"/>
        </w:rPr>
      </w:pPr>
    </w:p>
    <w:p>
      <w:pPr>
        <w:pStyle w:val="BodyText"/>
        <w:spacing w:before="1"/>
        <w:ind w:left="141" w:right="123" w:firstLine="539"/>
        <w:jc w:val="both"/>
      </w:pPr>
      <w:r>
        <w:rPr/>
        <w:t>давать необходимые разъяснения по применению </w:t>
      </w:r>
      <w:hyperlink w:history="true" w:anchor="_bookmark0">
        <w:r>
          <w:rPr/>
          <w:t>Правил,</w:t>
        </w:r>
      </w:hyperlink>
      <w:r>
        <w:rPr/>
        <w:t> утвержденных настоящим Постановлением.</w:t>
      </w:r>
    </w:p>
    <w:p>
      <w:pPr>
        <w:pStyle w:val="BodyText"/>
        <w:spacing w:before="10"/>
        <w:rPr>
          <w:sz w:val="21"/>
        </w:rPr>
      </w:pPr>
    </w:p>
    <w:p>
      <w:pPr>
        <w:pStyle w:val="BodyText"/>
        <w:ind w:left="7303" w:right="126" w:hanging="536"/>
        <w:jc w:val="right"/>
      </w:pPr>
      <w:r>
        <w:rPr/>
        <w:t>Председатель</w:t>
      </w:r>
      <w:r>
        <w:rPr>
          <w:spacing w:val="-12"/>
        </w:rPr>
        <w:t> </w:t>
      </w:r>
      <w:r>
        <w:rPr/>
        <w:t>Правительства</w:t>
      </w:r>
      <w:r>
        <w:rPr>
          <w:w w:val="100"/>
        </w:rPr>
        <w:t> </w:t>
      </w:r>
      <w:r>
        <w:rPr/>
        <w:t>Российской</w:t>
      </w:r>
      <w:r>
        <w:rPr>
          <w:spacing w:val="-6"/>
        </w:rPr>
        <w:t> </w:t>
      </w:r>
      <w:r>
        <w:rPr/>
        <w:t>Федерации</w:t>
      </w:r>
    </w:p>
    <w:p>
      <w:pPr>
        <w:pStyle w:val="BodyText"/>
        <w:spacing w:before="1"/>
        <w:ind w:right="125"/>
        <w:jc w:val="right"/>
      </w:pPr>
      <w:r>
        <w:rPr>
          <w:spacing w:val="-1"/>
        </w:rPr>
        <w:t>М.ФРАДКОВ</w:t>
      </w:r>
    </w:p>
    <w:p>
      <w:pPr>
        <w:spacing w:after="0"/>
        <w:jc w:val="right"/>
        <w:sectPr>
          <w:type w:val="continuous"/>
          <w:pgSz w:w="11910" w:h="16840"/>
          <w:pgMar w:top="1040" w:bottom="280" w:left="1560" w:right="720"/>
        </w:sectPr>
      </w:pPr>
    </w:p>
    <w:p>
      <w:pPr>
        <w:pStyle w:val="BodyText"/>
        <w:spacing w:before="68"/>
        <w:ind w:left="6482" w:right="124" w:firstLine="1824"/>
        <w:jc w:val="right"/>
      </w:pPr>
      <w:bookmarkStart w:name="Утверждены" w:id="2"/>
      <w:bookmarkEnd w:id="2"/>
      <w:r>
        <w:rPr/>
      </w:r>
      <w:r>
        <w:rPr>
          <w:spacing w:val="-1"/>
        </w:rPr>
        <w:t>Утверждены </w:t>
      </w:r>
      <w:r>
        <w:rPr/>
        <w:t>Постановлением</w:t>
      </w:r>
      <w:r>
        <w:rPr>
          <w:spacing w:val="-9"/>
        </w:rPr>
        <w:t> </w:t>
      </w:r>
      <w:r>
        <w:rPr/>
        <w:t>Правительства</w:t>
      </w:r>
      <w:r>
        <w:rPr>
          <w:w w:val="100"/>
        </w:rPr>
        <w:t> </w:t>
      </w:r>
      <w:r>
        <w:rPr/>
        <w:t>Российской</w:t>
      </w:r>
      <w:r>
        <w:rPr>
          <w:spacing w:val="-6"/>
        </w:rPr>
        <w:t> </w:t>
      </w:r>
      <w:r>
        <w:rPr/>
        <w:t>Федерации</w:t>
      </w:r>
    </w:p>
    <w:p>
      <w:pPr>
        <w:pStyle w:val="BodyText"/>
        <w:spacing w:before="2"/>
        <w:ind w:right="127"/>
        <w:jc w:val="right"/>
      </w:pPr>
      <w:r>
        <w:rPr/>
        <w:t>от 17 августа 2007 г. N</w:t>
      </w:r>
      <w:r>
        <w:rPr>
          <w:spacing w:val="-7"/>
        </w:rPr>
        <w:t> </w:t>
      </w:r>
      <w:r>
        <w:rPr/>
        <w:t>522</w:t>
      </w:r>
    </w:p>
    <w:p>
      <w:pPr>
        <w:pStyle w:val="BodyText"/>
        <w:spacing w:before="5"/>
      </w:pPr>
    </w:p>
    <w:p>
      <w:pPr>
        <w:pStyle w:val="Heading1"/>
        <w:spacing w:line="252" w:lineRule="exact"/>
        <w:ind w:left="1883" w:right="1868"/>
      </w:pPr>
      <w:bookmarkStart w:name="_bookmark0" w:id="3"/>
      <w:bookmarkEnd w:id="3"/>
      <w:r>
        <w:rPr>
          <w:b w:val="0"/>
        </w:rPr>
      </w:r>
      <w:r>
        <w:rPr/>
        <w:t>ПРАВИЛА</w:t>
      </w:r>
    </w:p>
    <w:p>
      <w:pPr>
        <w:spacing w:before="0"/>
        <w:ind w:left="1882" w:right="1870" w:firstLine="0"/>
        <w:jc w:val="center"/>
        <w:rPr>
          <w:b/>
          <w:sz w:val="22"/>
        </w:rPr>
      </w:pPr>
      <w:r>
        <w:rPr>
          <w:b/>
          <w:sz w:val="22"/>
        </w:rPr>
        <w:t>ОПРЕДЕЛЕНИЯ СТЕПЕНИ ТЯЖЕСТИ ВРЕДА, ПРИЧИНЕННОГО ЗДОРОВЬЮ ЧЕЛОВЕКА</w:t>
      </w:r>
    </w:p>
    <w:p>
      <w:pPr>
        <w:pStyle w:val="BodyText"/>
        <w:spacing w:before="7"/>
        <w:rPr>
          <w:b/>
          <w:sz w:val="34"/>
        </w:rPr>
      </w:pPr>
    </w:p>
    <w:p>
      <w:pPr>
        <w:pStyle w:val="BodyText"/>
        <w:ind w:left="1878" w:right="1870"/>
        <w:jc w:val="center"/>
      </w:pPr>
      <w:r>
        <w:rPr/>
        <w:pict>
          <v:shape style="position:absolute;margin-left:83.520004pt;margin-top:-5.330496pt;width:3pt;height:49.35pt;mso-position-horizontal-relative:page;mso-position-vertical-relative:paragraph;z-index:15729664" coordorigin="1670,-107" coordsize="60,987" path="m1730,6l1670,6,1670,880,1730,880,1730,6xm1730,-107l1670,-107,1670,6,1730,6,1730,-107xe" filled="true" fillcolor="#ced3f1" stroked="false">
            <v:path arrowok="t"/>
            <v:fill type="solid"/>
            <w10:wrap type="none"/>
          </v:shape>
        </w:pict>
      </w:r>
      <w:r>
        <w:rPr/>
        <w:pict>
          <v:shape style="position:absolute;margin-left:551.280029pt;margin-top:-5.330496pt;width:3pt;height:49.35pt;mso-position-horizontal-relative:page;mso-position-vertical-relative:paragraph;z-index:15730176" coordorigin="11026,-107" coordsize="60,987" path="m11086,6l11026,6,11026,880,11086,880,11086,6xm11086,-107l11026,-107,11026,6,11086,6,11086,-107xe" filled="true" fillcolor="#f4f3f8" stroked="false">
            <v:path arrowok="t"/>
            <v:fill type="solid"/>
            <w10:wrap type="none"/>
          </v:shape>
        </w:pict>
      </w:r>
      <w:r>
        <w:rPr/>
        <w:t>Список изменяющих документов</w:t>
      </w:r>
    </w:p>
    <w:p>
      <w:pPr>
        <w:pStyle w:val="BodyText"/>
        <w:spacing w:before="2"/>
        <w:ind w:left="1883" w:right="1870"/>
        <w:jc w:val="center"/>
      </w:pPr>
      <w:r>
        <w:rPr/>
        <w:t>(в ред. Постановлений Правительства РФ от 24.03.2011 </w:t>
      </w:r>
      <w:hyperlink r:id="rId5">
        <w:r>
          <w:rPr/>
          <w:t>N 206,</w:t>
        </w:r>
      </w:hyperlink>
      <w:r>
        <w:rPr/>
        <w:t> от 17.11.2011 </w:t>
      </w:r>
      <w:hyperlink r:id="rId6">
        <w:r>
          <w:rPr/>
          <w:t>N 938</w:t>
        </w:r>
      </w:hyperlink>
      <w:r>
        <w:rPr/>
        <w:t>)</w:t>
      </w:r>
    </w:p>
    <w:p>
      <w:pPr>
        <w:pStyle w:val="BodyText"/>
        <w:spacing w:before="9"/>
        <w:rPr>
          <w:sz w:val="23"/>
        </w:rPr>
      </w:pPr>
    </w:p>
    <w:p>
      <w:pPr>
        <w:pStyle w:val="ListParagraph"/>
        <w:numPr>
          <w:ilvl w:val="0"/>
          <w:numId w:val="2"/>
        </w:numPr>
        <w:tabs>
          <w:tab w:pos="994" w:val="left" w:leader="none"/>
        </w:tabs>
        <w:spacing w:line="240" w:lineRule="auto" w:before="92" w:after="0"/>
        <w:ind w:left="141" w:right="126" w:firstLine="539"/>
        <w:jc w:val="both"/>
        <w:rPr>
          <w:sz w:val="22"/>
        </w:rPr>
      </w:pPr>
      <w:r>
        <w:rPr>
          <w:sz w:val="22"/>
        </w:rPr>
        <w:t>Настоящие Правила устанавливают порядок определения при проведении </w:t>
      </w:r>
      <w:hyperlink r:id="rId10">
        <w:r>
          <w:rPr>
            <w:sz w:val="22"/>
          </w:rPr>
          <w:t>судебно-</w:t>
        </w:r>
      </w:hyperlink>
      <w:hyperlink r:id="rId10">
        <w:r>
          <w:rPr>
            <w:sz w:val="22"/>
          </w:rPr>
          <w:t> медицинской экспертизы </w:t>
        </w:r>
      </w:hyperlink>
      <w:r>
        <w:rPr>
          <w:sz w:val="22"/>
        </w:rPr>
        <w:t>степени тяжести вреда, причиненного здоровью</w:t>
      </w:r>
      <w:r>
        <w:rPr>
          <w:spacing w:val="-9"/>
          <w:sz w:val="22"/>
        </w:rPr>
        <w:t> </w:t>
      </w:r>
      <w:r>
        <w:rPr>
          <w:sz w:val="22"/>
        </w:rPr>
        <w:t>человека.</w:t>
      </w:r>
    </w:p>
    <w:p>
      <w:pPr>
        <w:pStyle w:val="BodyText"/>
        <w:spacing w:before="2"/>
        <w:rPr>
          <w:sz w:val="19"/>
        </w:rPr>
      </w:pPr>
    </w:p>
    <w:p>
      <w:pPr>
        <w:pStyle w:val="ListParagraph"/>
        <w:numPr>
          <w:ilvl w:val="0"/>
          <w:numId w:val="2"/>
        </w:numPr>
        <w:tabs>
          <w:tab w:pos="961" w:val="left" w:leader="none"/>
        </w:tabs>
        <w:spacing w:line="240" w:lineRule="auto" w:before="0" w:after="0"/>
        <w:ind w:left="141" w:right="124" w:firstLine="540"/>
        <w:jc w:val="both"/>
        <w:rPr>
          <w:sz w:val="22"/>
        </w:rPr>
      </w:pPr>
      <w:r>
        <w:rPr>
          <w:sz w:val="22"/>
        </w:rPr>
        <w:t>Под вредом, причиненным здоровью человека, понимается нарушение анатомической целостности и физиологической функции органов и тканей человека в результате воздействия физических, химических, биологических и психических факторов внешней</w:t>
      </w:r>
      <w:r>
        <w:rPr>
          <w:spacing w:val="-17"/>
          <w:sz w:val="22"/>
        </w:rPr>
        <w:t> </w:t>
      </w:r>
      <w:r>
        <w:rPr>
          <w:sz w:val="22"/>
        </w:rPr>
        <w:t>среды.</w:t>
      </w:r>
    </w:p>
    <w:p>
      <w:pPr>
        <w:pStyle w:val="BodyText"/>
        <w:spacing w:before="2"/>
        <w:rPr>
          <w:sz w:val="19"/>
        </w:rPr>
      </w:pPr>
    </w:p>
    <w:p>
      <w:pPr>
        <w:pStyle w:val="ListParagraph"/>
        <w:numPr>
          <w:ilvl w:val="0"/>
          <w:numId w:val="2"/>
        </w:numPr>
        <w:tabs>
          <w:tab w:pos="975" w:val="left" w:leader="none"/>
        </w:tabs>
        <w:spacing w:line="240" w:lineRule="auto" w:before="0" w:after="0"/>
        <w:ind w:left="141" w:right="123" w:firstLine="540"/>
        <w:jc w:val="both"/>
        <w:rPr>
          <w:sz w:val="22"/>
        </w:rPr>
      </w:pPr>
      <w:r>
        <w:rPr>
          <w:sz w:val="22"/>
        </w:rPr>
        <w:t>Вред, причиненный здоровью человека, определяется в зависимости от степени его тяжести (тяжкий вред, средней тяжести вред и легкий вред) на основании квалифицирующих признаков, предусмотренных </w:t>
      </w:r>
      <w:hyperlink w:history="true" w:anchor="_bookmark1">
        <w:r>
          <w:rPr>
            <w:sz w:val="22"/>
          </w:rPr>
          <w:t>пунктом 4</w:t>
        </w:r>
      </w:hyperlink>
      <w:r>
        <w:rPr>
          <w:sz w:val="22"/>
        </w:rPr>
        <w:t> настоящих Правил, и в соответствии с </w:t>
      </w:r>
      <w:hyperlink r:id="rId9">
        <w:r>
          <w:rPr>
            <w:sz w:val="22"/>
          </w:rPr>
          <w:t>медицинскими</w:t>
        </w:r>
      </w:hyperlink>
      <w:hyperlink r:id="rId9">
        <w:r>
          <w:rPr>
            <w:sz w:val="22"/>
          </w:rPr>
          <w:t> критериями</w:t>
        </w:r>
      </w:hyperlink>
      <w:r>
        <w:rPr>
          <w:sz w:val="22"/>
        </w:rPr>
        <w:t> определения степени тяжести вреда, причиненного здоровью человека, утверждаемыми Министерством здравоохранения и социального развития Российской</w:t>
      </w:r>
      <w:r>
        <w:rPr>
          <w:spacing w:val="-26"/>
          <w:sz w:val="22"/>
        </w:rPr>
        <w:t> </w:t>
      </w:r>
      <w:r>
        <w:rPr>
          <w:sz w:val="22"/>
        </w:rPr>
        <w:t>Федерации.</w:t>
      </w:r>
    </w:p>
    <w:p>
      <w:pPr>
        <w:pStyle w:val="BodyText"/>
        <w:spacing w:before="2"/>
        <w:rPr>
          <w:sz w:val="19"/>
        </w:rPr>
      </w:pPr>
    </w:p>
    <w:p>
      <w:pPr>
        <w:pStyle w:val="ListParagraph"/>
        <w:numPr>
          <w:ilvl w:val="0"/>
          <w:numId w:val="2"/>
        </w:numPr>
        <w:tabs>
          <w:tab w:pos="1004" w:val="left" w:leader="none"/>
        </w:tabs>
        <w:spacing w:line="240" w:lineRule="auto" w:before="0" w:after="0"/>
        <w:ind w:left="141" w:right="124" w:firstLine="540"/>
        <w:jc w:val="both"/>
        <w:rPr>
          <w:sz w:val="22"/>
        </w:rPr>
      </w:pPr>
      <w:bookmarkStart w:name="_bookmark1" w:id="4"/>
      <w:bookmarkEnd w:id="4"/>
      <w:r>
        <w:rPr/>
      </w:r>
      <w:bookmarkStart w:name="_bookmark1" w:id="5"/>
      <w:bookmarkEnd w:id="5"/>
      <w:r>
        <w:rPr>
          <w:sz w:val="22"/>
        </w:rPr>
        <w:t>К</w:t>
      </w:r>
      <w:r>
        <w:rPr>
          <w:sz w:val="22"/>
        </w:rPr>
        <w:t>валифицирующими признаками тяжести вреда, причиненного здоровью человека, являются:</w:t>
      </w:r>
    </w:p>
    <w:p>
      <w:pPr>
        <w:pStyle w:val="BodyText"/>
        <w:rPr>
          <w:sz w:val="19"/>
        </w:rPr>
      </w:pPr>
    </w:p>
    <w:p>
      <w:pPr>
        <w:pStyle w:val="BodyText"/>
        <w:ind w:left="681"/>
      </w:pPr>
      <w:r>
        <w:rPr/>
        <w:t>а) в отношении тяжкого вреда:</w:t>
      </w:r>
    </w:p>
    <w:p>
      <w:pPr>
        <w:pStyle w:val="BodyText"/>
        <w:spacing w:before="1"/>
        <w:rPr>
          <w:sz w:val="19"/>
        </w:rPr>
      </w:pPr>
    </w:p>
    <w:p>
      <w:pPr>
        <w:pStyle w:val="BodyText"/>
        <w:ind w:left="681"/>
      </w:pPr>
      <w:r>
        <w:rPr/>
        <w:t>вред, опасный для жизни человека;</w:t>
      </w:r>
    </w:p>
    <w:p>
      <w:pPr>
        <w:pStyle w:val="BodyText"/>
        <w:spacing w:before="1"/>
        <w:rPr>
          <w:sz w:val="19"/>
        </w:rPr>
      </w:pPr>
    </w:p>
    <w:p>
      <w:pPr>
        <w:pStyle w:val="BodyText"/>
        <w:spacing w:line="448" w:lineRule="auto" w:before="1"/>
        <w:ind w:left="681" w:right="854"/>
      </w:pPr>
      <w:r>
        <w:rPr/>
        <w:t>потеря зрения, речи, слуха либо какого-либо органа или утрата органом его функций; прерывание</w:t>
      </w:r>
      <w:r>
        <w:rPr>
          <w:spacing w:val="-3"/>
        </w:rPr>
        <w:t> </w:t>
      </w:r>
      <w:r>
        <w:rPr/>
        <w:t>беременности;</w:t>
      </w:r>
    </w:p>
    <w:p>
      <w:pPr>
        <w:pStyle w:val="BodyText"/>
        <w:spacing w:line="252" w:lineRule="exact"/>
        <w:ind w:left="681"/>
      </w:pPr>
      <w:r>
        <w:rPr/>
        <w:t>психическое</w:t>
      </w:r>
      <w:r>
        <w:rPr>
          <w:spacing w:val="-7"/>
        </w:rPr>
        <w:t> </w:t>
      </w:r>
      <w:r>
        <w:rPr/>
        <w:t>расстройство;</w:t>
      </w:r>
    </w:p>
    <w:p>
      <w:pPr>
        <w:pStyle w:val="BodyText"/>
        <w:spacing w:before="1"/>
        <w:rPr>
          <w:sz w:val="19"/>
        </w:rPr>
      </w:pPr>
    </w:p>
    <w:p>
      <w:pPr>
        <w:pStyle w:val="BodyText"/>
        <w:spacing w:line="451" w:lineRule="auto"/>
        <w:ind w:left="681" w:right="4441"/>
      </w:pPr>
      <w:r>
        <w:rPr/>
        <w:t>заболевание наркоманией либо токсикоманией; неизгладимое обезображивание лица;</w:t>
      </w:r>
    </w:p>
    <w:p>
      <w:pPr>
        <w:pStyle w:val="BodyText"/>
        <w:spacing w:line="448" w:lineRule="auto"/>
        <w:ind w:left="681" w:right="1124"/>
      </w:pPr>
      <w:r>
        <w:rPr/>
        <w:t>значительная стойкая утрата общей трудоспособности не менее чем на одну треть; полная утрата профессиональной трудоспособности;</w:t>
      </w:r>
    </w:p>
    <w:p>
      <w:pPr>
        <w:pStyle w:val="BodyText"/>
        <w:spacing w:line="252" w:lineRule="exact"/>
        <w:ind w:left="681"/>
      </w:pPr>
      <w:r>
        <w:rPr/>
        <w:t>б) в отношении средней тяжести вреда:</w:t>
      </w:r>
    </w:p>
    <w:p>
      <w:pPr>
        <w:pStyle w:val="BodyText"/>
        <w:spacing w:before="9"/>
        <w:rPr>
          <w:sz w:val="18"/>
        </w:rPr>
      </w:pPr>
    </w:p>
    <w:p>
      <w:pPr>
        <w:pStyle w:val="BodyText"/>
        <w:ind w:left="681"/>
      </w:pPr>
      <w:r>
        <w:rPr/>
        <w:t>длительное расстройство здоровья;</w:t>
      </w:r>
    </w:p>
    <w:p>
      <w:pPr>
        <w:pStyle w:val="BodyText"/>
        <w:spacing w:before="1"/>
        <w:rPr>
          <w:sz w:val="19"/>
        </w:rPr>
      </w:pPr>
    </w:p>
    <w:p>
      <w:pPr>
        <w:pStyle w:val="BodyText"/>
        <w:spacing w:line="448" w:lineRule="auto" w:before="1"/>
        <w:ind w:left="681" w:right="1395"/>
      </w:pPr>
      <w:r>
        <w:rPr/>
        <w:t>значительная стойкая утрата общей трудоспособности менее чем на одну треть; в) в отношении легкого вреда:</w:t>
      </w:r>
    </w:p>
    <w:p>
      <w:pPr>
        <w:pStyle w:val="BodyText"/>
        <w:spacing w:line="252" w:lineRule="exact"/>
        <w:ind w:left="681"/>
      </w:pPr>
      <w:r>
        <w:rPr/>
        <w:t>кратковременное расстройство здоровья;</w:t>
      </w:r>
    </w:p>
    <w:p>
      <w:pPr>
        <w:pStyle w:val="BodyText"/>
        <w:spacing w:before="1"/>
        <w:rPr>
          <w:sz w:val="19"/>
        </w:rPr>
      </w:pPr>
    </w:p>
    <w:p>
      <w:pPr>
        <w:pStyle w:val="BodyText"/>
        <w:ind w:left="681"/>
      </w:pPr>
      <w:r>
        <w:rPr/>
        <w:t>незначительная стойкая утрата общей трудоспособности.</w:t>
      </w:r>
    </w:p>
    <w:p>
      <w:pPr>
        <w:spacing w:after="0"/>
        <w:sectPr>
          <w:pgSz w:w="11910" w:h="16840"/>
          <w:pgMar w:top="1040" w:bottom="280" w:left="1560" w:right="720"/>
        </w:sectPr>
      </w:pPr>
    </w:p>
    <w:p>
      <w:pPr>
        <w:pStyle w:val="ListParagraph"/>
        <w:numPr>
          <w:ilvl w:val="0"/>
          <w:numId w:val="2"/>
        </w:numPr>
        <w:tabs>
          <w:tab w:pos="941" w:val="left" w:leader="none"/>
        </w:tabs>
        <w:spacing w:line="240" w:lineRule="auto" w:before="70" w:after="0"/>
        <w:ind w:left="141" w:right="124" w:firstLine="540"/>
        <w:jc w:val="both"/>
        <w:rPr>
          <w:sz w:val="22"/>
        </w:rPr>
      </w:pPr>
      <w:r>
        <w:rPr>
          <w:sz w:val="22"/>
        </w:rPr>
        <w:t>Для определения степени тяжести вреда, причиненного здоровью человека, достаточно наличия одного из квалифицирующих признаков. При наличии нескольких квалифицирующих признаков тяжесть вреда, причиненного здоровью человека, определяется по тому признаку, который соответствует большей степени тяжести</w:t>
      </w:r>
      <w:r>
        <w:rPr>
          <w:spacing w:val="-8"/>
          <w:sz w:val="22"/>
        </w:rPr>
        <w:t> </w:t>
      </w:r>
      <w:r>
        <w:rPr>
          <w:sz w:val="22"/>
        </w:rPr>
        <w:t>вреда.</w:t>
      </w:r>
    </w:p>
    <w:p>
      <w:pPr>
        <w:pStyle w:val="BodyText"/>
        <w:spacing w:before="1"/>
        <w:rPr>
          <w:sz w:val="19"/>
        </w:rPr>
      </w:pPr>
    </w:p>
    <w:p>
      <w:pPr>
        <w:pStyle w:val="ListParagraph"/>
        <w:numPr>
          <w:ilvl w:val="0"/>
          <w:numId w:val="2"/>
        </w:numPr>
        <w:tabs>
          <w:tab w:pos="908" w:val="left" w:leader="none"/>
        </w:tabs>
        <w:spacing w:line="240" w:lineRule="auto" w:before="0" w:after="0"/>
        <w:ind w:left="141" w:right="123" w:firstLine="539"/>
        <w:jc w:val="both"/>
        <w:rPr>
          <w:sz w:val="22"/>
        </w:rPr>
      </w:pPr>
      <w:r>
        <w:rPr>
          <w:sz w:val="22"/>
        </w:rPr>
        <w:t>Степень тяжести вреда, причиненного здоровью человека, определяется врачом - судебно- медицинским экспертом медицинского учреждения либо индивидуальным предпринимателем, обладающим специальными знаниями и имеющим лицензию на осуществление медицинской деятельности, включая работы (услуги) по судебно-медицинской экспертизе (далее -</w:t>
      </w:r>
      <w:r>
        <w:rPr>
          <w:spacing w:val="-23"/>
          <w:sz w:val="22"/>
        </w:rPr>
        <w:t> </w:t>
      </w:r>
      <w:r>
        <w:rPr>
          <w:sz w:val="22"/>
        </w:rPr>
        <w:t>эксперт).</w:t>
      </w:r>
    </w:p>
    <w:p>
      <w:pPr>
        <w:pStyle w:val="BodyText"/>
        <w:spacing w:line="251" w:lineRule="exact"/>
        <w:ind w:left="141"/>
        <w:jc w:val="both"/>
      </w:pPr>
      <w:r>
        <w:rPr/>
        <w:t>(п. 6 в ред. </w:t>
      </w:r>
      <w:hyperlink r:id="rId6">
        <w:r>
          <w:rPr/>
          <w:t>Постановления </w:t>
        </w:r>
      </w:hyperlink>
      <w:r>
        <w:rPr/>
        <w:t>Правительства РФ от 17.11.2011 N 938)</w:t>
      </w:r>
    </w:p>
    <w:p>
      <w:pPr>
        <w:pStyle w:val="BodyText"/>
        <w:spacing w:before="3"/>
        <w:rPr>
          <w:sz w:val="19"/>
        </w:rPr>
      </w:pPr>
    </w:p>
    <w:p>
      <w:pPr>
        <w:pStyle w:val="ListParagraph"/>
        <w:numPr>
          <w:ilvl w:val="0"/>
          <w:numId w:val="2"/>
        </w:numPr>
        <w:tabs>
          <w:tab w:pos="908" w:val="left" w:leader="none"/>
        </w:tabs>
        <w:spacing w:line="240" w:lineRule="auto" w:before="1" w:after="0"/>
        <w:ind w:left="141" w:right="121" w:firstLine="540"/>
        <w:jc w:val="both"/>
        <w:rPr>
          <w:sz w:val="22"/>
        </w:rPr>
      </w:pPr>
      <w:r>
        <w:rPr>
          <w:sz w:val="22"/>
        </w:rPr>
        <w:t>Объектом судебно-медицинской экспертизы является живое лицо, либо труп (его части), а также материалы дела и медицинские документы, предоставленные в распоряжение эксперта в установленном</w:t>
      </w:r>
      <w:r>
        <w:rPr>
          <w:spacing w:val="-2"/>
          <w:sz w:val="22"/>
        </w:rPr>
        <w:t> </w:t>
      </w:r>
      <w:hyperlink r:id="rId11">
        <w:r>
          <w:rPr>
            <w:sz w:val="22"/>
          </w:rPr>
          <w:t>порядке.</w:t>
        </w:r>
      </w:hyperlink>
    </w:p>
    <w:p>
      <w:pPr>
        <w:pStyle w:val="BodyText"/>
        <w:spacing w:before="1"/>
        <w:rPr>
          <w:sz w:val="19"/>
        </w:rPr>
      </w:pPr>
    </w:p>
    <w:p>
      <w:pPr>
        <w:pStyle w:val="BodyText"/>
        <w:ind w:left="141" w:right="122" w:firstLine="540"/>
        <w:jc w:val="both"/>
      </w:pPr>
      <w:r>
        <w:rPr/>
        <w:t>Медицинские документы должны быть подлинными и содержать исчерпывающие данные о характере повреждений и их клиническом течении, а также иные сведения, необходимые для проведения судебно-медицинской экспертизы.</w:t>
      </w:r>
    </w:p>
    <w:p>
      <w:pPr>
        <w:pStyle w:val="BodyText"/>
        <w:spacing w:before="2"/>
        <w:rPr>
          <w:sz w:val="19"/>
        </w:rPr>
      </w:pPr>
    </w:p>
    <w:p>
      <w:pPr>
        <w:pStyle w:val="BodyText"/>
        <w:ind w:left="141" w:right="122" w:firstLine="540"/>
        <w:jc w:val="both"/>
      </w:pPr>
      <w:r>
        <w:rPr/>
        <w:t>При необходимости эксперт составляет ходатайство о предоставлении ему дополнительных материалов, по получении которых проведение судебно-медицинской экспертизы возобновляется.</w:t>
      </w:r>
    </w:p>
    <w:p>
      <w:pPr>
        <w:pStyle w:val="BodyText"/>
        <w:rPr>
          <w:sz w:val="19"/>
        </w:rPr>
      </w:pPr>
    </w:p>
    <w:p>
      <w:pPr>
        <w:pStyle w:val="ListParagraph"/>
        <w:numPr>
          <w:ilvl w:val="0"/>
          <w:numId w:val="2"/>
        </w:numPr>
        <w:tabs>
          <w:tab w:pos="987" w:val="left" w:leader="none"/>
        </w:tabs>
        <w:spacing w:line="240" w:lineRule="auto" w:before="0" w:after="0"/>
        <w:ind w:left="141" w:right="125" w:firstLine="540"/>
        <w:jc w:val="both"/>
        <w:rPr>
          <w:sz w:val="22"/>
        </w:rPr>
      </w:pPr>
      <w:r>
        <w:rPr>
          <w:sz w:val="22"/>
        </w:rPr>
        <w:t>В случае возникновения необходимости в специальном медицинском обследовании живого лица к проведению судебно-медицинской экспертизы привлекаются врачи-специалисты организаций, в которых имеются условия, необходимые для проведения таких</w:t>
      </w:r>
      <w:r>
        <w:rPr>
          <w:spacing w:val="-14"/>
          <w:sz w:val="22"/>
        </w:rPr>
        <w:t> </w:t>
      </w:r>
      <w:r>
        <w:rPr>
          <w:sz w:val="22"/>
        </w:rPr>
        <w:t>обследований.</w:t>
      </w:r>
    </w:p>
    <w:p>
      <w:pPr>
        <w:pStyle w:val="BodyText"/>
        <w:spacing w:before="1"/>
        <w:rPr>
          <w:sz w:val="19"/>
        </w:rPr>
      </w:pPr>
    </w:p>
    <w:p>
      <w:pPr>
        <w:pStyle w:val="ListParagraph"/>
        <w:numPr>
          <w:ilvl w:val="0"/>
          <w:numId w:val="2"/>
        </w:numPr>
        <w:tabs>
          <w:tab w:pos="924" w:val="left" w:leader="none"/>
        </w:tabs>
        <w:spacing w:line="240" w:lineRule="auto" w:before="1" w:after="0"/>
        <w:ind w:left="141" w:right="122" w:firstLine="540"/>
        <w:jc w:val="both"/>
        <w:rPr>
          <w:sz w:val="22"/>
        </w:rPr>
      </w:pPr>
      <w:r>
        <w:rPr>
          <w:sz w:val="22"/>
        </w:rPr>
        <w:t>При проведении судебно-медицинской экспертизы в отношении живого лица, имеющего какое-либо предшествующее травме заболевание либо повреждение части тела с полностью или частично ранее утраченной функцией, учитывается только вред, причиненный здоровью человека, вызванный травмой и причинно с ней</w:t>
      </w:r>
      <w:r>
        <w:rPr>
          <w:spacing w:val="-5"/>
          <w:sz w:val="22"/>
        </w:rPr>
        <w:t> </w:t>
      </w:r>
      <w:r>
        <w:rPr>
          <w:sz w:val="22"/>
        </w:rPr>
        <w:t>связанный.</w:t>
      </w:r>
    </w:p>
    <w:p>
      <w:pPr>
        <w:pStyle w:val="BodyText"/>
        <w:rPr>
          <w:sz w:val="19"/>
        </w:rPr>
      </w:pPr>
    </w:p>
    <w:p>
      <w:pPr>
        <w:pStyle w:val="ListParagraph"/>
        <w:numPr>
          <w:ilvl w:val="0"/>
          <w:numId w:val="2"/>
        </w:numPr>
        <w:tabs>
          <w:tab w:pos="1054" w:val="left" w:leader="none"/>
        </w:tabs>
        <w:spacing w:line="240" w:lineRule="auto" w:before="0" w:after="0"/>
        <w:ind w:left="141" w:right="124" w:firstLine="540"/>
        <w:jc w:val="both"/>
        <w:rPr>
          <w:sz w:val="22"/>
        </w:rPr>
      </w:pPr>
      <w:r>
        <w:rPr>
          <w:sz w:val="22"/>
        </w:rPr>
        <w:t>Степень тяжести вреда, причиненного здоровью человека, при наличии повреждений, возникших от неоднократных травмирующих воздействий (в том числе при оказании  медицинской помощи), определяется отдельно в отношении каждого такого</w:t>
      </w:r>
      <w:r>
        <w:rPr>
          <w:spacing w:val="-14"/>
          <w:sz w:val="22"/>
        </w:rPr>
        <w:t> </w:t>
      </w:r>
      <w:r>
        <w:rPr>
          <w:sz w:val="22"/>
        </w:rPr>
        <w:t>воздействия.</w:t>
      </w:r>
    </w:p>
    <w:p>
      <w:pPr>
        <w:pStyle w:val="BodyText"/>
        <w:spacing w:before="2"/>
        <w:rPr>
          <w:sz w:val="19"/>
        </w:rPr>
      </w:pPr>
    </w:p>
    <w:p>
      <w:pPr>
        <w:pStyle w:val="BodyText"/>
        <w:ind w:left="141" w:right="123" w:firstLine="540"/>
        <w:jc w:val="both"/>
      </w:pPr>
      <w:r>
        <w:rPr/>
        <w:t>В случае если множественные повреждения взаимно отягощают друг друга, определение степени тяжести вреда, причиненного здоровью человека, производится по их совокупности.</w:t>
      </w:r>
    </w:p>
    <w:p>
      <w:pPr>
        <w:pStyle w:val="BodyText"/>
        <w:spacing w:before="2"/>
        <w:rPr>
          <w:sz w:val="19"/>
        </w:rPr>
      </w:pPr>
    </w:p>
    <w:p>
      <w:pPr>
        <w:pStyle w:val="BodyText"/>
        <w:ind w:left="141" w:right="124" w:firstLine="540"/>
        <w:jc w:val="both"/>
      </w:pPr>
      <w:r>
        <w:rPr/>
        <w:t>При наличии повреждений разной давности возникновения определение степени тяжести вреда, причиненного здоровью человека каждым из них, производится отдельно.</w:t>
      </w:r>
    </w:p>
    <w:p>
      <w:pPr>
        <w:pStyle w:val="BodyText"/>
        <w:spacing w:before="1"/>
        <w:rPr>
          <w:sz w:val="19"/>
        </w:rPr>
      </w:pPr>
    </w:p>
    <w:p>
      <w:pPr>
        <w:pStyle w:val="ListParagraph"/>
        <w:numPr>
          <w:ilvl w:val="0"/>
          <w:numId w:val="2"/>
        </w:numPr>
        <w:tabs>
          <w:tab w:pos="1030" w:val="left" w:leader="none"/>
        </w:tabs>
        <w:spacing w:line="240" w:lineRule="auto" w:before="0" w:after="0"/>
        <w:ind w:left="141" w:right="123" w:firstLine="540"/>
        <w:jc w:val="both"/>
        <w:rPr>
          <w:sz w:val="22"/>
        </w:rPr>
      </w:pPr>
      <w:r>
        <w:rPr>
          <w:sz w:val="22"/>
        </w:rPr>
        <w:t>При определении степени тяжести вреда, причиненного здоровью человека, повлекшего за собой психическое расстройство и (или) заболевание наркоманией либо токсикоманией, судебно-медицинская экспертиза проводится комиссией экспертов с участием врача-психиатра и (или) врача-нарколога либо</w:t>
      </w:r>
      <w:r>
        <w:rPr>
          <w:spacing w:val="-2"/>
          <w:sz w:val="22"/>
        </w:rPr>
        <w:t> </w:t>
      </w:r>
      <w:r>
        <w:rPr>
          <w:sz w:val="22"/>
        </w:rPr>
        <w:t>врача-токсиколога.</w:t>
      </w:r>
    </w:p>
    <w:p>
      <w:pPr>
        <w:pStyle w:val="BodyText"/>
        <w:rPr>
          <w:sz w:val="19"/>
        </w:rPr>
      </w:pPr>
    </w:p>
    <w:p>
      <w:pPr>
        <w:pStyle w:val="ListParagraph"/>
        <w:numPr>
          <w:ilvl w:val="0"/>
          <w:numId w:val="2"/>
        </w:numPr>
        <w:tabs>
          <w:tab w:pos="1030" w:val="left" w:leader="none"/>
        </w:tabs>
        <w:spacing w:line="240" w:lineRule="auto" w:before="0" w:after="0"/>
        <w:ind w:left="141" w:right="124" w:firstLine="540"/>
        <w:jc w:val="both"/>
        <w:rPr>
          <w:sz w:val="22"/>
        </w:rPr>
      </w:pPr>
      <w:r>
        <w:rPr>
          <w:sz w:val="22"/>
        </w:rPr>
        <w:t>При определении степени тяжести вреда, причиненного здоровью человека, повлекшего прерывание беременности, судебно-медицинская экспертиза проводится комиссией экспертов с участием врача</w:t>
      </w:r>
      <w:r>
        <w:rPr>
          <w:spacing w:val="-2"/>
          <w:sz w:val="22"/>
        </w:rPr>
        <w:t> </w:t>
      </w:r>
      <w:r>
        <w:rPr>
          <w:sz w:val="22"/>
        </w:rPr>
        <w:t>акушера-гинеколога.</w:t>
      </w:r>
    </w:p>
    <w:p>
      <w:pPr>
        <w:pStyle w:val="BodyText"/>
        <w:spacing w:before="2"/>
        <w:rPr>
          <w:sz w:val="19"/>
        </w:rPr>
      </w:pPr>
    </w:p>
    <w:p>
      <w:pPr>
        <w:pStyle w:val="ListParagraph"/>
        <w:numPr>
          <w:ilvl w:val="0"/>
          <w:numId w:val="2"/>
        </w:numPr>
        <w:tabs>
          <w:tab w:pos="1179" w:val="left" w:leader="none"/>
        </w:tabs>
        <w:spacing w:line="240" w:lineRule="auto" w:before="0" w:after="0"/>
        <w:ind w:left="141" w:right="123" w:firstLine="540"/>
        <w:jc w:val="both"/>
        <w:rPr>
          <w:sz w:val="22"/>
        </w:rPr>
      </w:pPr>
      <w:r>
        <w:rPr>
          <w:sz w:val="22"/>
        </w:rPr>
        <w:t>Степень тяжести вреда, причиненного здоровью человека, выразившегося в неизгладимом обезображивании его лица, определяется судом. Производство судебно- медицинской экспертизы ограничивается лишь установлением неизгладимости указанного повреждения.</w:t>
      </w:r>
    </w:p>
    <w:sectPr>
      <w:pgSz w:w="11910" w:h="16840"/>
      <w:pgMar w:top="1040" w:bottom="280" w:left="156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41" w:hanging="312"/>
        <w:jc w:val="left"/>
      </w:pPr>
      <w:rPr>
        <w:rFonts w:hint="default" w:ascii="Times New Roman" w:hAnsi="Times New Roman" w:eastAsia="Times New Roman" w:cs="Times New Roman"/>
        <w:w w:val="100"/>
        <w:sz w:val="22"/>
        <w:szCs w:val="22"/>
        <w:lang w:val="ru-RU" w:eastAsia="en-US" w:bidi="ar-SA"/>
      </w:rPr>
    </w:lvl>
    <w:lvl w:ilvl="1">
      <w:start w:val="0"/>
      <w:numFmt w:val="bullet"/>
      <w:lvlText w:val="•"/>
      <w:lvlJc w:val="left"/>
      <w:pPr>
        <w:ind w:left="1088" w:hanging="312"/>
      </w:pPr>
      <w:rPr>
        <w:rFonts w:hint="default"/>
        <w:lang w:val="ru-RU" w:eastAsia="en-US" w:bidi="ar-SA"/>
      </w:rPr>
    </w:lvl>
    <w:lvl w:ilvl="2">
      <w:start w:val="0"/>
      <w:numFmt w:val="bullet"/>
      <w:lvlText w:val="•"/>
      <w:lvlJc w:val="left"/>
      <w:pPr>
        <w:ind w:left="2037" w:hanging="312"/>
      </w:pPr>
      <w:rPr>
        <w:rFonts w:hint="default"/>
        <w:lang w:val="ru-RU" w:eastAsia="en-US" w:bidi="ar-SA"/>
      </w:rPr>
    </w:lvl>
    <w:lvl w:ilvl="3">
      <w:start w:val="0"/>
      <w:numFmt w:val="bullet"/>
      <w:lvlText w:val="•"/>
      <w:lvlJc w:val="left"/>
      <w:pPr>
        <w:ind w:left="2985" w:hanging="312"/>
      </w:pPr>
      <w:rPr>
        <w:rFonts w:hint="default"/>
        <w:lang w:val="ru-RU" w:eastAsia="en-US" w:bidi="ar-SA"/>
      </w:rPr>
    </w:lvl>
    <w:lvl w:ilvl="4">
      <w:start w:val="0"/>
      <w:numFmt w:val="bullet"/>
      <w:lvlText w:val="•"/>
      <w:lvlJc w:val="left"/>
      <w:pPr>
        <w:ind w:left="3934" w:hanging="312"/>
      </w:pPr>
      <w:rPr>
        <w:rFonts w:hint="default"/>
        <w:lang w:val="ru-RU" w:eastAsia="en-US" w:bidi="ar-SA"/>
      </w:rPr>
    </w:lvl>
    <w:lvl w:ilvl="5">
      <w:start w:val="0"/>
      <w:numFmt w:val="bullet"/>
      <w:lvlText w:val="•"/>
      <w:lvlJc w:val="left"/>
      <w:pPr>
        <w:ind w:left="4883" w:hanging="312"/>
      </w:pPr>
      <w:rPr>
        <w:rFonts w:hint="default"/>
        <w:lang w:val="ru-RU" w:eastAsia="en-US" w:bidi="ar-SA"/>
      </w:rPr>
    </w:lvl>
    <w:lvl w:ilvl="6">
      <w:start w:val="0"/>
      <w:numFmt w:val="bullet"/>
      <w:lvlText w:val="•"/>
      <w:lvlJc w:val="left"/>
      <w:pPr>
        <w:ind w:left="5831" w:hanging="312"/>
      </w:pPr>
      <w:rPr>
        <w:rFonts w:hint="default"/>
        <w:lang w:val="ru-RU" w:eastAsia="en-US" w:bidi="ar-SA"/>
      </w:rPr>
    </w:lvl>
    <w:lvl w:ilvl="7">
      <w:start w:val="0"/>
      <w:numFmt w:val="bullet"/>
      <w:lvlText w:val="•"/>
      <w:lvlJc w:val="left"/>
      <w:pPr>
        <w:ind w:left="6780" w:hanging="312"/>
      </w:pPr>
      <w:rPr>
        <w:rFonts w:hint="default"/>
        <w:lang w:val="ru-RU" w:eastAsia="en-US" w:bidi="ar-SA"/>
      </w:rPr>
    </w:lvl>
    <w:lvl w:ilvl="8">
      <w:start w:val="0"/>
      <w:numFmt w:val="bullet"/>
      <w:lvlText w:val="•"/>
      <w:lvlJc w:val="left"/>
      <w:pPr>
        <w:ind w:left="7729" w:hanging="312"/>
      </w:pPr>
      <w:rPr>
        <w:rFonts w:hint="default"/>
        <w:lang w:val="ru-RU" w:eastAsia="en-US" w:bidi="ar-SA"/>
      </w:rPr>
    </w:lvl>
  </w:abstractNum>
  <w:abstractNum w:abstractNumId="0">
    <w:multiLevelType w:val="hybridMultilevel"/>
    <w:lvl w:ilvl="0">
      <w:start w:val="1"/>
      <w:numFmt w:val="decimal"/>
      <w:lvlText w:val="%1."/>
      <w:lvlJc w:val="left"/>
      <w:pPr>
        <w:ind w:left="141" w:hanging="296"/>
        <w:jc w:val="left"/>
      </w:pPr>
      <w:rPr>
        <w:rFonts w:hint="default" w:ascii="Times New Roman" w:hAnsi="Times New Roman" w:eastAsia="Times New Roman" w:cs="Times New Roman"/>
        <w:w w:val="100"/>
        <w:sz w:val="22"/>
        <w:szCs w:val="22"/>
        <w:lang w:val="ru-RU" w:eastAsia="en-US" w:bidi="ar-SA"/>
      </w:rPr>
    </w:lvl>
    <w:lvl w:ilvl="1">
      <w:start w:val="0"/>
      <w:numFmt w:val="bullet"/>
      <w:lvlText w:val="•"/>
      <w:lvlJc w:val="left"/>
      <w:pPr>
        <w:ind w:left="1088" w:hanging="296"/>
      </w:pPr>
      <w:rPr>
        <w:rFonts w:hint="default"/>
        <w:lang w:val="ru-RU" w:eastAsia="en-US" w:bidi="ar-SA"/>
      </w:rPr>
    </w:lvl>
    <w:lvl w:ilvl="2">
      <w:start w:val="0"/>
      <w:numFmt w:val="bullet"/>
      <w:lvlText w:val="•"/>
      <w:lvlJc w:val="left"/>
      <w:pPr>
        <w:ind w:left="2037" w:hanging="296"/>
      </w:pPr>
      <w:rPr>
        <w:rFonts w:hint="default"/>
        <w:lang w:val="ru-RU" w:eastAsia="en-US" w:bidi="ar-SA"/>
      </w:rPr>
    </w:lvl>
    <w:lvl w:ilvl="3">
      <w:start w:val="0"/>
      <w:numFmt w:val="bullet"/>
      <w:lvlText w:val="•"/>
      <w:lvlJc w:val="left"/>
      <w:pPr>
        <w:ind w:left="2985" w:hanging="296"/>
      </w:pPr>
      <w:rPr>
        <w:rFonts w:hint="default"/>
        <w:lang w:val="ru-RU" w:eastAsia="en-US" w:bidi="ar-SA"/>
      </w:rPr>
    </w:lvl>
    <w:lvl w:ilvl="4">
      <w:start w:val="0"/>
      <w:numFmt w:val="bullet"/>
      <w:lvlText w:val="•"/>
      <w:lvlJc w:val="left"/>
      <w:pPr>
        <w:ind w:left="3934" w:hanging="296"/>
      </w:pPr>
      <w:rPr>
        <w:rFonts w:hint="default"/>
        <w:lang w:val="ru-RU" w:eastAsia="en-US" w:bidi="ar-SA"/>
      </w:rPr>
    </w:lvl>
    <w:lvl w:ilvl="5">
      <w:start w:val="0"/>
      <w:numFmt w:val="bullet"/>
      <w:lvlText w:val="•"/>
      <w:lvlJc w:val="left"/>
      <w:pPr>
        <w:ind w:left="4883" w:hanging="296"/>
      </w:pPr>
      <w:rPr>
        <w:rFonts w:hint="default"/>
        <w:lang w:val="ru-RU" w:eastAsia="en-US" w:bidi="ar-SA"/>
      </w:rPr>
    </w:lvl>
    <w:lvl w:ilvl="6">
      <w:start w:val="0"/>
      <w:numFmt w:val="bullet"/>
      <w:lvlText w:val="•"/>
      <w:lvlJc w:val="left"/>
      <w:pPr>
        <w:ind w:left="5831" w:hanging="296"/>
      </w:pPr>
      <w:rPr>
        <w:rFonts w:hint="default"/>
        <w:lang w:val="ru-RU" w:eastAsia="en-US" w:bidi="ar-SA"/>
      </w:rPr>
    </w:lvl>
    <w:lvl w:ilvl="7">
      <w:start w:val="0"/>
      <w:numFmt w:val="bullet"/>
      <w:lvlText w:val="•"/>
      <w:lvlJc w:val="left"/>
      <w:pPr>
        <w:ind w:left="6780" w:hanging="296"/>
      </w:pPr>
      <w:rPr>
        <w:rFonts w:hint="default"/>
        <w:lang w:val="ru-RU" w:eastAsia="en-US" w:bidi="ar-SA"/>
      </w:rPr>
    </w:lvl>
    <w:lvl w:ilvl="8">
      <w:start w:val="0"/>
      <w:numFmt w:val="bullet"/>
      <w:lvlText w:val="•"/>
      <w:lvlJc w:val="left"/>
      <w:pPr>
        <w:ind w:left="7729" w:hanging="296"/>
      </w:pPr>
      <w:rPr>
        <w:rFonts w:hint="default"/>
        <w:lang w:val="ru-RU"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ru-RU" w:eastAsia="en-US" w:bidi="ar-SA"/>
    </w:rPr>
  </w:style>
  <w:style w:styleId="Heading1" w:type="paragraph">
    <w:name w:val="Heading 1"/>
    <w:basedOn w:val="Normal"/>
    <w:uiPriority w:val="1"/>
    <w:qFormat/>
    <w:pPr>
      <w:ind w:left="1882" w:right="1870"/>
      <w:jc w:val="center"/>
      <w:outlineLvl w:val="1"/>
    </w:pPr>
    <w:rPr>
      <w:rFonts w:ascii="Times New Roman" w:hAnsi="Times New Roman" w:eastAsia="Times New Roman" w:cs="Times New Roman"/>
      <w:b/>
      <w:bCs/>
      <w:sz w:val="22"/>
      <w:szCs w:val="22"/>
      <w:lang w:val="ru-RU" w:eastAsia="en-US" w:bidi="ar-SA"/>
    </w:rPr>
  </w:style>
  <w:style w:styleId="ListParagraph" w:type="paragraph">
    <w:name w:val="List Paragraph"/>
    <w:basedOn w:val="Normal"/>
    <w:uiPriority w:val="1"/>
    <w:qFormat/>
    <w:pPr>
      <w:ind w:left="141" w:right="124" w:firstLine="540"/>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consultantplus://offline/ref%3D0EA17F66F5AAA45D9A5B93A1CF49960C3328913BD8D56ACAE11F2DE09D87EFBB1E76F9ED9C8AB9D6A4D2248381BD7C6146A9D1D6D951FF25s8TCH" TargetMode="External"/><Relationship Id="rId6" Type="http://schemas.openxmlformats.org/officeDocument/2006/relationships/hyperlink" Target="consultantplus://offline/ref%3D0EA17F66F5AAA45D9A5B93A1CF49960C332B9232D6D66ACAE11F2DE09D87EFBB1E76F9ED9C8AB9D6A4D2248381BD7C6146A9D1D6D951FF25s8TCH" TargetMode="External"/><Relationship Id="rId7" Type="http://schemas.openxmlformats.org/officeDocument/2006/relationships/hyperlink" Target="consultantplus://offline/ref%3D0EA17F66F5AAA45D9A5B93A1CF49960C33299B3FD1D16ACAE11F2DE09D87EFBB1E76F9ED9C8AB9D5A9D2248381BD7C6146A9D1D6D951FF25s8TCH" TargetMode="External"/><Relationship Id="rId8" Type="http://schemas.openxmlformats.org/officeDocument/2006/relationships/hyperlink" Target="consultantplus://offline/ref%3D0EA17F66F5AAA45D9A5B93A1CF49960C332B9133D4D16ACAE11F2DE09D87EFBB1E76F9ED9C8ABCD4A8D2248381BD7C6146A9D1D6D951FF25s8TCH" TargetMode="External"/><Relationship Id="rId9" Type="http://schemas.openxmlformats.org/officeDocument/2006/relationships/hyperlink" Target="consultantplus://offline/ref%3D0EA17F66F5AAA45D9A5B93A1CF49960C332B943AD2D26ACAE11F2DE09D87EFBB1E76F9ED9C8AB9D6A8D2248381BD7C6146A9D1D6D951FF25s8TCH" TargetMode="External"/><Relationship Id="rId10" Type="http://schemas.openxmlformats.org/officeDocument/2006/relationships/hyperlink" Target="consultantplus://offline/ref%3D0EA17F66F5AAA45D9A5B93A1CF49960C33299032D2D26ACAE11F2DE09D87EFBB1E76F9ED9C8AB9D7A1D2248381BD7C6146A9D1D6D951FF25s8TCH" TargetMode="External"/><Relationship Id="rId11" Type="http://schemas.openxmlformats.org/officeDocument/2006/relationships/hyperlink" Target="consultantplus://offline/ref%3D0EA17F66F5AAA45D9A5B93A1CF49960C312A933BD4D76ACAE11F2DE09D87EFBB1E76F9ED9C8AB8D4A3D2248381BD7C6146A9D1D6D951FF25s8TCH"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Martemianova</dc:creator>
  <dcterms:created xsi:type="dcterms:W3CDTF">2020-12-21T11:07:53Z</dcterms:created>
  <dcterms:modified xsi:type="dcterms:W3CDTF">2020-12-21T11:07:53Z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Acrobat PDFMaker 11 для Word</vt:lpwstr>
  </property>
  <property fmtid="{D5CDD505-2E9C-101B-9397-08002B2CF9AE}" pid="4" name="LastSaved">
    <vt:filetime>2020-12-21T00:00:00Z</vt:filetime>
  </property>
</Properties>
</file>