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52" w:rsidRPr="00283C52" w:rsidRDefault="00283C52" w:rsidP="00283C52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  <w:br/>
      </w:r>
      <w:r w:rsidRPr="00283C52">
        <w:rPr>
          <w:rFonts w:ascii="Inter" w:eastAsia="Times New Roman" w:hAnsi="Inter" w:cs="Times New Roman"/>
          <w:noProof/>
          <w:color w:val="000000"/>
          <w:spacing w:val="4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assets/Logo-DcSD_Nh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D1AD3F" id="Прямоугольник 1" o:spid="_x0000_s1026" alt="https://cr.minzdrav.gov.ru/assets/Logo-DcSD_Nhn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ExofewCAwAABA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:rsidR="00283C52" w:rsidRPr="00283C52" w:rsidRDefault="00283C52" w:rsidP="00283C52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t>Министерство</w:t>
      </w:r>
      <w:r w:rsidRPr="00283C52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Здравоохранения</w:t>
      </w:r>
      <w:r w:rsidRPr="00283C52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Российской Федерации</w:t>
      </w:r>
    </w:p>
    <w:p w:rsidR="00283C52" w:rsidRPr="00283C52" w:rsidRDefault="00283C52" w:rsidP="00283C52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Клинические рекомендации</w:t>
      </w:r>
      <w:r w:rsidRPr="00283C52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>Контагиозный моллюск</w:t>
      </w:r>
    </w:p>
    <w:p w:rsidR="00283C52" w:rsidRPr="00283C52" w:rsidRDefault="00283C52" w:rsidP="00283C5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Кодирование по Международной статистической классификации болезней и проблем, связанных со здоровьем:</w:t>
      </w:r>
      <w:r w:rsidRPr="00283C5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B08.1</w:t>
      </w:r>
    </w:p>
    <w:p w:rsidR="00283C52" w:rsidRPr="00283C52" w:rsidRDefault="00283C52" w:rsidP="00283C5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Год утверждения (частота пересмотра):</w:t>
      </w:r>
      <w:r w:rsidRPr="00283C5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2025</w:t>
      </w:r>
      <w:r w:rsidRPr="00283C5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Пересмотр не позднее:</w:t>
      </w:r>
      <w:r w:rsidRPr="00283C5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2027</w:t>
      </w:r>
    </w:p>
    <w:p w:rsidR="00283C52" w:rsidRPr="00283C52" w:rsidRDefault="00283C52" w:rsidP="00283C5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ID:</w:t>
      </w:r>
      <w:r w:rsidRPr="00283C5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220_2</w:t>
      </w:r>
    </w:p>
    <w:p w:rsidR="00283C52" w:rsidRPr="00283C52" w:rsidRDefault="00283C52" w:rsidP="00283C5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Возрастная категория:</w:t>
      </w:r>
      <w:r w:rsidRPr="00283C5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Взрослые, Дети</w:t>
      </w:r>
    </w:p>
    <w:p w:rsidR="00283C52" w:rsidRPr="00283C52" w:rsidRDefault="00283C52" w:rsidP="00283C5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Специальность:</w:t>
      </w:r>
    </w:p>
    <w:p w:rsidR="00283C52" w:rsidRPr="00283C52" w:rsidRDefault="00283C52" w:rsidP="00283C5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Разработчик клинической рекомендации</w:t>
      </w:r>
      <w:r w:rsidRPr="00283C5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Общероссийская общественная организация "Российское общество дерматовенерологов и косметологов"</w:t>
      </w:r>
    </w:p>
    <w:p w:rsidR="00283C52" w:rsidRPr="00283C52" w:rsidRDefault="00283C52" w:rsidP="00283C52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283C52">
        <w:rPr>
          <w:rFonts w:ascii="Inter" w:eastAsia="Times New Roman" w:hAnsi="Inter" w:cs="Times New Roman"/>
          <w:color w:val="000000"/>
          <w:spacing w:val="4"/>
          <w:sz w:val="27"/>
          <w:szCs w:val="27"/>
          <w:lang w:eastAsia="ru-RU"/>
        </w:rPr>
        <w:t>Одобрено Научно-практическим Советом Минздрава России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Оглавление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сокращений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Термины и определения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2.1 Жалобы и анамнез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2.2 Физикальное обследование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2.3 Лабораторные диагностические исследования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2.4 Инструментальные диагностические исследования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2.5 Иные диагностические исследования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6. Организация оказания медицинской помощи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Критерии оценки качества медицинской помощи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литературы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Б. Алгоритмы действий врача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В. Информация для пациента</w:t>
      </w:r>
    </w:p>
    <w:p w:rsidR="00283C52" w:rsidRPr="00283C52" w:rsidRDefault="00283C52" w:rsidP="00283C5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283C5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сокращений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ВИЧ – вирус иммунодефицита человека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ДНК – дезоксирибонуклеиновая кислота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МКБ – Международная классификация болезней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MCV – molluscum contagiosum virus, вирус контагиозного моллюска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Термины и определения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Контагиозный моллюск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– вирусное заболевание кожи, характеризующееся появлением на коже, реже – на слизистых оболочках полушаровидных узелков величиной от булавочной головки до горошины с центральным пупковидным углублением.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Аутоинокуляция – перенос инокулированного материала из одного участка кожного покрова или слизистой на другой участок.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Криодеструкция – воздействие жидким азотом с целью удаления патологических элементов.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Лазеротерапия – удаление патологических элементов CO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0"/>
          <w:szCs w:val="20"/>
          <w:vertAlign w:val="subscript"/>
          <w:lang w:eastAsia="ru-RU"/>
        </w:rPr>
        <w:t>2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лазером или импульсным лазером на красителях.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Эвисцерация (вылущивание) – механическое удаление патологических элементов тонким пинцетом.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Контагиозный моллюск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– доброкачественное вирусное заболевание кожи, характеризующееся появлением на коже, реже – на слизистых оболочках полушаровидных узелков величиной от булавочной головки до горошины с центральным пупковидным углублением.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Заболевание вызывается ортопоксвирусом, который относится к семейству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Poxviridae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подсемейству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Chordopoxviridae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роду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Molluscipoxvirus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Существует 4 типа вируса контагиозного моллюска: MCV-1, MCV-2, MCV-3, MCV-4. Наиболее распространённым является тип MCV-1; тип MCV-2, как правило, выявляется у взрослых лиц и передается половым путем. Ортопоксвирус относится к ДНК-содержащим вирусам, не культивируется в тканях куриного эмбриона и не патогенен для лабораторных животных.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1.3 Эпидемиология заболевания или состояния (группы заболеваний или состояний)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Распространенность заболевания в различных странах составляет от 1,2% до 22% населения. Заболевание встречается повсеместно и поражает человека в любом возрасте. Инфицирование происходит при непосредственном контакте с больным или вирусоносителем, либо опосредованно – через предметы личного и домашнего обихода. Инкубационный период заболевания варьирует от 1 недели до нескольких месяцев, в среднем составляя от 2 до 7 недель.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Заболевание чаще выявляется у детей в возрасте от 1 года до 4 лет. У детей более старшего возраста инфицирование, как правило, происходит при посещении плавательного бассейна или занятий контактными видами спорта. Чаще болеют дети, страдающие экземой или атопическим дерматитом, получающие лечение кортикостероидами, применяемыми в дерматологии. У лиц молодого возраста инфицирование контагиозным моллюском часто происходит половым путем. У лиц среднего и пожилого возраста провоцирующим фактором развития заболевания может быть длительный прием глюкокортикоидов и противоопухолевых препаратов (цитостатиков). У ВИЧ-инфицированных пациентов вследствие иммунодефицитного состояния организма наблюдается повышенная склонность к появлению контагиозного моллюска, характеризующегося рецидивирующим течением.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B08.1 – Контагиозный моллюск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1.5 Классификация заболевания или состояния (группы заболеваний или состояний)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Общепринятой классификации не существует. 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Элементы контагиозного моллюска могут располагаться на любом участке кожного покрова.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 детей образования чаще локализуются на коже лица (чаще на веках и области лба), шее, верхней половине груди (особенно в области подмышечных впадин), верхних конечностях (тыл кистей); у взрослых – на коже нижней части живота, лобка, внутренней поверхности бедер, коже наружных половых органов, вокруг ануса. Поражение век может сопровождаться конъюнктивитом. У ВИЧ-инфицированных лиц очаги чаще всего локализуются на коже лица, шеи и туловища.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Элементы контагиозного моллюска представляют собой узелки размером 0,1-0,2 см полушаровидной или слегка уплощенной формы, плотные, безболезненные, цвета нормальной кожи или бледно-розового цвета, нередко с восковидным блеском, с пупковидным углублением в центре. Узелки быстро увеличиваются в размерах до 0,5-0,7 см, располагаются изолированно на неизмененной коже, реже окружены слабо выраженным воспалительным ободком. При сдавлении узелков с боков из центрального отверстия выделяется белая, крошковатая (кашицеобразная) масса, состоящая из дегенеративных эпителиальных клеток с крупными протоплазматическими включениями. Количество элементов сыпи бывает разным: от 5-10 до нескольких десятков и более.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 атипичным формам контагиозного моллюска относятся:</w:t>
      </w:r>
    </w:p>
    <w:p w:rsidR="00283C52" w:rsidRPr="00283C52" w:rsidRDefault="00283C52" w:rsidP="00283C52">
      <w:pPr>
        <w:numPr>
          <w:ilvl w:val="0"/>
          <w:numId w:val="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гигантские моллюски (диаметром 3 см и более);</w:t>
      </w:r>
    </w:p>
    <w:p w:rsidR="00283C52" w:rsidRPr="00283C52" w:rsidRDefault="00283C52" w:rsidP="00283C52">
      <w:pPr>
        <w:numPr>
          <w:ilvl w:val="0"/>
          <w:numId w:val="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ороговевающие моллюски;</w:t>
      </w:r>
    </w:p>
    <w:p w:rsidR="00283C52" w:rsidRPr="00283C52" w:rsidRDefault="00283C52" w:rsidP="00283C52">
      <w:pPr>
        <w:numPr>
          <w:ilvl w:val="0"/>
          <w:numId w:val="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кистозные моллюски;</w:t>
      </w:r>
    </w:p>
    <w:p w:rsidR="00283C52" w:rsidRPr="00283C52" w:rsidRDefault="00283C52" w:rsidP="00283C52">
      <w:pPr>
        <w:numPr>
          <w:ilvl w:val="0"/>
          <w:numId w:val="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изъязвленные моллюски;</w:t>
      </w:r>
    </w:p>
    <w:p w:rsidR="00283C52" w:rsidRPr="00283C52" w:rsidRDefault="00283C52" w:rsidP="00283C52">
      <w:pPr>
        <w:numPr>
          <w:ilvl w:val="0"/>
          <w:numId w:val="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моллюски, напоминающие милиум, угри, бородавки;</w:t>
      </w:r>
    </w:p>
    <w:p w:rsidR="00283C52" w:rsidRPr="00283C52" w:rsidRDefault="00283C52" w:rsidP="00283C52">
      <w:pPr>
        <w:numPr>
          <w:ilvl w:val="0"/>
          <w:numId w:val="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педикулярные моллюски (расположенные на тонкой ножке).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Диагноз устанавливается на основании характерной клинической картинный заболевания.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2.1 Жалобы и анамнез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Больные предъявляют жалобы на высыпания узелкового характера на различных участках кожного покрова. В подавляющем большинстве случаев высыпания не сопровождаются субъективными ощущениями и представляют для пациента лишь косметическую проблему. Обычно заболевание является самоограничивающимся и морфологические элементы даже без лечения могут исчезать самопроизвольно спустя несколько месяцев. Однако у детей наблюдается длительное течение контагиозного моллюска (от 6 месяцев до 5 лет), как результат аутоинокуляции возбудителя заболевания.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2.2 Физикальное обследование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Объективные клинические проявления контагиозного моллюска, выявляемые при физикальном обследовании, описаны в разделе «Клиническая картина».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283C52" w:rsidRPr="00283C52" w:rsidRDefault="00283C52" w:rsidP="00283C52">
      <w:pPr>
        <w:numPr>
          <w:ilvl w:val="0"/>
          <w:numId w:val="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для подтверждения диагноза при атипичных формах заболевания микроскопическое исследование содержимого узелков с окраской по Романовскому-Гимзе, Граму, Райту или Папаниколау, 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позволяющее выявить крупные кирпичной формы внутриклеточные включения вирусных тел [1,2].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</w:t>
      </w: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достоверности доказательств 5)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 просмотре гистологического препарата обнаруживается крупные кирпичной формы внутриклеточные включения вирусных тел [1,2].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применяется.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применяется.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283C52" w:rsidRPr="00283C52" w:rsidRDefault="00283C52" w:rsidP="00283C52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3.1 Консервативное лечение</w:t>
      </w:r>
    </w:p>
    <w:p w:rsidR="00283C52" w:rsidRPr="00283C52" w:rsidRDefault="00283C52" w:rsidP="00283C52">
      <w:pPr>
        <w:numPr>
          <w:ilvl w:val="0"/>
          <w:numId w:val="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криодеструкция: воздействие на каждый элемент контагиозного моллюска жидким азотом в течение 10-20 секунд. При сохранении высыпаний процедуру криодеструкции повторяют через неделю [1,3,4,17].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5)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Процедура криотерапии сопровождается болезненностью и образованием пузырей, после нее возможно нарушение пигментации кожи и формирование слабо выраженных рубцов. Применение данного метода удаления контагиозного моллюска у детей является наименее 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предпочтительным, так как является болезненным, может вызывать рубцевание и гипо- либо гиперпигментацию.</w:t>
      </w:r>
    </w:p>
    <w:p w:rsidR="00283C52" w:rsidRPr="00283C52" w:rsidRDefault="00283C52" w:rsidP="00283C52">
      <w:pPr>
        <w:numPr>
          <w:ilvl w:val="0"/>
          <w:numId w:val="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Для удаления свежих высыпаний</w:t>
      </w: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рекомендуется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эвисцерация – вылущивание элементов контагиозного моллюска тонким пинцетом [5,12,20,21,22].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5)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данный метод позволяет получить материал для лабораторных исследований.</w:t>
      </w:r>
    </w:p>
    <w:p w:rsidR="00283C52" w:rsidRPr="00283C52" w:rsidRDefault="00283C52" w:rsidP="00283C52">
      <w:pPr>
        <w:numPr>
          <w:ilvl w:val="0"/>
          <w:numId w:val="6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или кюретаж (выскабливание высыпаний с применением кюретки) [12,18,19]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5)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 связи с высокой доступностью данного метода, его простотой, а также относительно низкой болезненностью, данный метод является наиболее предпочтительным для лечения пациентов детского возраста. Также при лечении детей рекомендована предварительная аппликационная анестезия обезболивающим кремом.</w:t>
      </w:r>
    </w:p>
    <w:p w:rsidR="00283C52" w:rsidRPr="00283C52" w:rsidRDefault="00283C52" w:rsidP="00283C52">
      <w:pPr>
        <w:numPr>
          <w:ilvl w:val="0"/>
          <w:numId w:val="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лазерная деструкция элементов контагиозного моллюска: воздействие на каждый элемент с применением системы лазерной на основе диоксида углерода для дерматологии (CO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0"/>
          <w:szCs w:val="20"/>
          <w:vertAlign w:val="subscript"/>
          <w:lang w:eastAsia="ru-RU"/>
        </w:rPr>
        <w:t>2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лазером) или иных аппаратов лазерных дерматологических (импульсный лазер на красителях) [6–12,13,14,15,22]. При сохранении высыпаний повторную лазерную деструкцию проводят через 2-3 недели.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5)</w:t>
      </w:r>
    </w:p>
    <w:p w:rsidR="00283C52" w:rsidRPr="00283C52" w:rsidRDefault="00283C52" w:rsidP="00283C52">
      <w:pPr>
        <w:numPr>
          <w:ilvl w:val="0"/>
          <w:numId w:val="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электрокоагуляция элементов контагиозного моллюска [12,16,22].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5)</w:t>
      </w:r>
    </w:p>
    <w:p w:rsidR="00283C52" w:rsidRPr="00283C52" w:rsidRDefault="00283C52" w:rsidP="00283C52">
      <w:pPr>
        <w:numPr>
          <w:ilvl w:val="0"/>
          <w:numId w:val="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с целью снижения частоты рецидивов и снижения риска развития осложнений после деструкции элементов контагиозного моллюска проводить обработку участков кожи, на которых они располагались, антисептиками и дезинфицирующими средствами: йод+[калия йодид+этанол], 5% спиртовой раствор и др. [12,22].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5)</w:t>
      </w:r>
    </w:p>
    <w:p w:rsidR="00283C52" w:rsidRPr="00283C52" w:rsidRDefault="00283C52" w:rsidP="00283C52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3.2 Хирургическое лечение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применяется.</w:t>
      </w:r>
    </w:p>
    <w:p w:rsidR="00283C52" w:rsidRPr="00283C52" w:rsidRDefault="00283C52" w:rsidP="00283C52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3.3 Иное лечение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Диетотерапия не применяется.</w:t>
      </w:r>
    </w:p>
    <w:p w:rsidR="00283C52" w:rsidRPr="00283C52" w:rsidRDefault="00283C52" w:rsidP="00283C52">
      <w:pPr>
        <w:numPr>
          <w:ilvl w:val="0"/>
          <w:numId w:val="1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для уменьшения боли и дискомфорта во время деструкции элементов контагиозного моллюска использовать местную анестезию [8,17,22].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5) 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применяется.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283C52" w:rsidRPr="00283C52" w:rsidRDefault="00283C52" w:rsidP="00283C52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lastRenderedPageBreak/>
        <w:t>5.1 Профилактика</w:t>
      </w:r>
    </w:p>
    <w:p w:rsidR="00283C52" w:rsidRPr="00283C52" w:rsidRDefault="00283C52" w:rsidP="00283C52">
      <w:pPr>
        <w:numPr>
          <w:ilvl w:val="0"/>
          <w:numId w:val="1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изоляция больных детей из организованных коллективов до полного выздоровления [2];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(уровень достоверности доказательств 5)</w:t>
      </w:r>
    </w:p>
    <w:p w:rsidR="00283C52" w:rsidRPr="00283C52" w:rsidRDefault="00283C52" w:rsidP="00283C52">
      <w:pPr>
        <w:numPr>
          <w:ilvl w:val="0"/>
          <w:numId w:val="1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соблюдение правил личной и общественной гигиены [2];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(</w:t>
      </w: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достоверности доказательств 5)</w:t>
      </w:r>
    </w:p>
    <w:p w:rsidR="00283C52" w:rsidRPr="00283C52" w:rsidRDefault="00283C52" w:rsidP="00283C52">
      <w:pPr>
        <w:numPr>
          <w:ilvl w:val="0"/>
          <w:numId w:val="1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проведение профилактических осмотров детей в дошкольных детских учреждениях и школах с целью раннего выявления случаев заболевания контагиозным моллюском [2,24];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3)</w:t>
      </w:r>
    </w:p>
    <w:p w:rsidR="00283C52" w:rsidRPr="00283C52" w:rsidRDefault="00283C52" w:rsidP="00283C52">
      <w:pPr>
        <w:numPr>
          <w:ilvl w:val="0"/>
          <w:numId w:val="1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обследование половых партнеров и их лечение при наличии заболевания [2].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(уровень достоверности доказательств 5)</w:t>
      </w:r>
    </w:p>
    <w:p w:rsidR="00283C52" w:rsidRPr="00283C52" w:rsidRDefault="00283C52" w:rsidP="00283C52">
      <w:pPr>
        <w:numPr>
          <w:ilvl w:val="0"/>
          <w:numId w:val="1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 период лечения запрещает посещения плавательных бассейнов, спортивных залов, общественных бань и саун [2].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(уровень достоверности доказательств 5)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госпитализации в медицинскую организацию не нуждаются.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Информация отсутствует.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10715"/>
        <w:gridCol w:w="2800"/>
      </w:tblGrid>
      <w:tr w:rsidR="00283C52" w:rsidRPr="00283C52" w:rsidTr="00283C5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микроскопическое исследование содержимого элементов (для подтверждения диагноза при атипичных формах заболевания)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 кюретаж или криодеструкция или эвисцерация или лазерная деструкция или электрокоагуляция элементов контагиозного моллюска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литературы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Hanson D., Diven D.G. Molluscum contagiosum. Dermatol Online J – 2003; 9: 2.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Nguyen H.P., Tyring S.K. An update on the clinical management of cutaneous molluscum contagiosum. Skin Therapy Lett 2014; 17 (2): 5–8.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Hanna D., Hatami A., Powell J. et al. A prospective randomized trial comparing the efficacy and adverse effects of four recognized treatments of molluscum contagiosum in children. Pediatr Dermatol 2006; 23 (6): 574–579.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Valentine C.L., Diven D.G. Treatment modalities for molluscum contagiosum. Dermatol Ther 2000;13: 285–289.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Al-Mutairi N., Al-Doukhi A., Al-Farag S. et al. Comparative study on the efficacy, safety, and acceptability of imiquimod 5% cream versus cryotherapy for molluscum contagiosum in children. Pediatr Dermatol 2010; 27 (4): 388–394.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Chatproedprai S., Suwannakarn K., Wananukul S. et al. Efficacy of pulsed dye laser (585 nm) in the treatment of molluscum contagiosum subtype 1. Southeast Asian J Trop Med Public Health 2007; 38 (5): 849–854.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Nehal K.S., Sarnoff D.S., Gotkin R.H. et al. Pulsed dye laser treatment of molluscum contagiosum in a patient with acquired immunodeficiency syndrome. Dermatol Surg. 1998; 24 (5): 533–535.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Binder B., Weger W., Komericki P., Kopera D. Treatment of molluscum contagiosum with a pulsed dye laser: Pilot study with 19 children. J Dtsch Dermatol Ges 2008; 6 (2): 121–125.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Hughes PS.Treatment of molluscum contagiosum with the 585-nm pulsed dye laser. Dermatol Surg. 1998; 24 (2): 229–230.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Michel J.L. Treatment of molluscum contagiosum with 585 nm collagen remodeling pulsed dye laser</w:t>
      </w: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.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Eur J Dermatol 2004; 14 (2): 103–106.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Европейское руководство по лечению дерматологических болезней. Под ред. Кацамбаса А.Д., Лотти Т.М. – М.: МЕДпресс-информ, 2009. – С.736.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Вирусные дерматозы. В кн.: Кожные и венерические болезни: Руководство для врачей. В 2 томах. Под ред. Ю.К. Скрипкина, В.Н.Мордовцева. М.: Медицина, 1999. – Т.1. – С.443–465.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Круглова Л. С., Материкин А. И. Контагиозный моллюск: старая проблема — новые решения.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Клиническая дерматология и венерология.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2017;16(3):76-81. Kruglova L S, Materikin A I. Molluscum contagiosum: old problems, new solutions.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Klinicheskaya Dermatologiya i Venerologiya.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2017;16(3):76-81. </w:t>
      </w:r>
      <w:hyperlink r:id="rId5" w:history="1">
        <w:r w:rsidRPr="00283C52">
          <w:rPr>
            <w:rFonts w:ascii="Times New Roman" w:eastAsia="Times New Roman" w:hAnsi="Times New Roman" w:cs="Times New Roman"/>
            <w:color w:val="0000FF"/>
            <w:spacing w:val="4"/>
            <w:sz w:val="27"/>
            <w:szCs w:val="27"/>
            <w:u w:val="single"/>
            <w:lang w:eastAsia="ru-RU"/>
          </w:rPr>
          <w:t>https://doi.org/10.17116/klinderma201716376-81</w:t>
        </w:r>
      </w:hyperlink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Michel J.L. Treatment of molluscum contagiosum with 585 nm collagen remodeling pulsed dye laser. Eur J Dermatol. 2004;14(2):103–6.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Hammes S., Greve B., Raulin C. Molluscum contagiosum: treatment with pulsed dye laser. Hautarzt. 2001;52(1):38–42.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Халдин А. А., Молочков А. В., Гилядов А. Д., Быханова О. Н., Лапушко О. В., Исаева Д. Р., Баграмова Г. Э., Обыденнова К. В. Бородавки и контагиозный моллюск: сложные случаи "простых" диагнозов.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Клиническая дерматология и венерология.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2014;12(3):63-71.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Khaldin A A, Molochkov A V, Giliadov A D, Bykhanova O N, Lapushko O V, Isaeva D R, Bagramova G É, Obydennova K V. Warts and molluscum contagiosum: complex cases of simple diagnoses. </w:t>
      </w:r>
      <w:r w:rsidRPr="00283C5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Klinicheskaya Dermatologiya i Venerologiya.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2014;12(3):63-71.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Nguyen H, Tyring S. An Update on the Clinical Management of Cutaneous Molluscum Contagiosum.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Silverberg N. Pediatric molluscum contagiosum: optimal treatment strategies. Paediatr Drugs. 2003;5(8):505-12. doi: 10.2165/00148581-200305080-00001. PMID: 12895133.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Meza-Romero R, Navarrete-Dechent C, Downey C. Molluscum contagiosum: an update and review of new perspectives in etiology, diagnosis, and treatment. Clin Cosmet Investig Dermatol. 2019 May 30;12:373-381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Martin-Garcia R.F., Garcia M.E., Rosado A. Modified curettage technique for molluscum contagiosum. Pediatr Dermatol. 2007;24(2):192–94.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Simonart T, De Maertelaer V. Curettage treatment for molluscum contagiosum: a follow-up survey study. Br J Dermatol. 2008;159(5):1144–47. </w:t>
      </w:r>
      <w:hyperlink r:id="rId6" w:history="1">
        <w:r w:rsidRPr="00283C52">
          <w:rPr>
            <w:rFonts w:ascii="Times New Roman" w:eastAsia="Times New Roman" w:hAnsi="Times New Roman" w:cs="Times New Roman"/>
            <w:color w:val="0000FF"/>
            <w:spacing w:val="4"/>
            <w:sz w:val="27"/>
            <w:szCs w:val="27"/>
            <w:u w:val="single"/>
            <w:lang w:eastAsia="ru-RU"/>
          </w:rPr>
          <w:t>http://reference.medscape.com/medline/abstract/17461823</w:t>
        </w:r>
      </w:hyperlink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Н.C. Сирмайс, Т.В. Рубашева, В.П. Ковалык. Контагиозный моллюск: современные представления и обзор методов лечения. Фарматека; 2018. – 3: 18-23. DOI: </w:t>
      </w:r>
      <w:hyperlink r:id="rId7" w:history="1">
        <w:r w:rsidRPr="00283C52">
          <w:rPr>
            <w:rFonts w:ascii="Times New Roman" w:eastAsia="Times New Roman" w:hAnsi="Times New Roman" w:cs="Times New Roman"/>
            <w:color w:val="0000FF"/>
            <w:spacing w:val="4"/>
            <w:sz w:val="27"/>
            <w:szCs w:val="27"/>
            <w:u w:val="single"/>
            <w:lang w:eastAsia="ru-RU"/>
          </w:rPr>
          <w:t>https://dx.doi.org/10.18565/pharmateca.2018.s5.18-23</w:t>
        </w:r>
      </w:hyperlink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М.В. Щёткина, К. А. Сидельникова Инфекции, передающиеся половым путем. Система мероприятий, направленных на предупреждение их распространения. Здравоохранение Дальнего Востока • № 1 • 2021. DOI: 10.33454/1728-1261-2021-1-78-82</w:t>
      </w:r>
    </w:p>
    <w:p w:rsidR="00283C52" w:rsidRPr="00283C52" w:rsidRDefault="00283C52" w:rsidP="00283C52">
      <w:pPr>
        <w:numPr>
          <w:ilvl w:val="0"/>
          <w:numId w:val="1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Мурашкин, Н.Н. и др. «Контагиозный моллюск у детей: особенности течения и современные подходы к терапии». Педиатрическая фармакология 13.6 (2016): 597-600.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Кубанов Алексей Алексеевич – академик РАН, президент ООО «РОДВК», директор ФГБУ «ГНЦДК» Минздрава России.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Летяева Ольга Ивановна – доктор медицинских наук, доцент профессор кафедры дерматовенерологии ФГБОУ ВО ЮУГМУ Минздрава, член Российского общества дерматовенерологов и косметологов.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Зиганшин Олег Раисович</w:t>
      </w: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</w:t>
      </w: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доктор медицинских наук, профессор, главный врач ГБУЗ «ЧОККВД», заведующий кафедрой дерматовенерологии ФГБОУ ВО ЮУГМУ Минздрава России, член Российского общества дерматовенерологов и косметологов.  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Заславский Денис Владимирович – д.м.н., профессор, заведующий кафедрой дерматовенерологии ФГБОУ ВО «СПбГПМУ» Минздрава России, член Российского общества дерматовенерологов и косметологов.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Нефедьева Юлия Владимировна – кандидат медицинских наук, доцент, доцент кафедры дерматовенерологии ФГБОУ ВО ЮУГМУ Минздрава, член Российского общества дерматовенерологов и косметологов.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Кудревич Юлия Валерьевна – кандидат медицинских наук, доцент кафедры дерматовенерологии ФГБОУ ВО ЮУГМУ Минздрава, член Российского общества дерматовенерологов и косметологов.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Чикин Вадим Викторович – д.м.н., старший научный сотрудник отдела дерматологии ФГБУ «ГНЦДК» Минздрава, член Российского общества дерматовенерологов и косметологов.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Лысенко Ольга Васильевна – доктор медицинских наук, профессор, профессор кафедры дерматовенерологии ФГБОУ ВО ЮУГМУ Минздрава, член Российского общества дерматовенерологов и косметологов.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Баранов А. А. – акад. РАН, профессор, д.м.н., почетный Президент Союза педиатров России, советник руководителя НИИ педиатрии и охраны здоровья детей ЦКБ РАН, главный внештатный специалист педиатр Минздрава России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Намазова-Баранова Лейла Сеймуровна – академик РАН, профессор, Президент Союза педиатров России; паст-президент EPA/UNEPSA; руководитель НИИ педиатрии и охраны здоровья детей ЦКБ РАН, заведующая кафедрой факультетской педиатрии педиатрического факультета ФГБОУ ВО «РНИМУ им. Н.И. Пирогова» Минздрава России, главный внештатный детский специалист по профилактической медицине Минздрава России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Вишнева Елена Александровна – доктор медицинских наук, заместитель руководителя по науке НИИ педиатрии и охраны здоровья детей ЦКБ РАН, доцент кафедры факультетской педиатрии педиатрического факультета ФГБОУ ВО «РНИМУ им. Н.И. Пирогова» Минздрава России, член Российской ассоциации аллергологов и клинических иммунологов, член Союза педиатров России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Асламазян Лианна Камсаровна – к.м.н., в.н.с. отдела детской дерматологии, врач-дерматовенеролог, НИИ педиатрии и охраны здоровья детей ЦКБ РАН</w:t>
      </w:r>
    </w:p>
    <w:p w:rsidR="00283C52" w:rsidRPr="00283C52" w:rsidRDefault="00283C52" w:rsidP="00283C52">
      <w:pPr>
        <w:numPr>
          <w:ilvl w:val="0"/>
          <w:numId w:val="1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Мурашкин Николай Николаевич – доктор медицинских наук, профессор, заведующий отделением дерматологии с группой лазерной хирургии ФГАУ «Национальный медицинский исследовательский центр здоровья детей» Минздрава России, член Российского общества дерматовенерологов и косметологов.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Конфликт интересов: Авторы заявляют об отсутствии конфликта интересов.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Целевая аудитория данных клинических рекомендаций:</w:t>
      </w:r>
    </w:p>
    <w:p w:rsidR="00283C52" w:rsidRPr="00283C52" w:rsidRDefault="00283C52" w:rsidP="00283C52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Врачи-специалисты: дерматовенерологи, терапевты, ревматологи, педиатры, врачи общей практики (семейные врачи);</w:t>
      </w:r>
    </w:p>
    <w:p w:rsidR="00283C52" w:rsidRPr="00283C52" w:rsidRDefault="00283C52" w:rsidP="00283C52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Ординаторы и слушатели циклов повышения квалификации по указанным специальностям.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1.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283C52" w:rsidRPr="00283C52" w:rsidTr="00283C5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Таблица 2.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 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283C52" w:rsidRPr="00283C52" w:rsidTr="00283C5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3.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269"/>
      </w:tblGrid>
      <w:tr w:rsidR="00283C52" w:rsidRPr="00283C52" w:rsidTr="00283C5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283C52" w:rsidRPr="00283C52" w:rsidTr="00283C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3C52" w:rsidRPr="00283C52" w:rsidRDefault="00283C52" w:rsidP="00283C5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83C5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Порядок обновления клинических рекомендаций.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</w:t>
      </w: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диагностики, лечения, профилактики и реабилитации конкретных заболеваний, наличии обоснованных дополнений/замечаний к ранее утверждённым клиническим рекомендациям, но не чаще 1 раза в 6 месяцев.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Данные клинические рекомендации разработаны с учётом следующих нормативно-правовых документов:</w:t>
      </w:r>
    </w:p>
    <w:p w:rsidR="00283C52" w:rsidRPr="00283C52" w:rsidRDefault="00283C52" w:rsidP="00283C52">
      <w:pPr>
        <w:numPr>
          <w:ilvl w:val="0"/>
          <w:numId w:val="1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Приказ Минздрава России от 15.11.2012 № 924н «Об утверждении Порядка оказания медицинской помощи населению по профилю "дерматовенерология»</w:t>
      </w:r>
    </w:p>
    <w:p w:rsidR="00283C52" w:rsidRPr="00283C52" w:rsidRDefault="00283C52" w:rsidP="00283C52">
      <w:pPr>
        <w:numPr>
          <w:ilvl w:val="0"/>
          <w:numId w:val="1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Приказ Минтруда России от 14.03.2018 № 142н «Об утверждении профессионального стандарта «Врач-дерматовенеролог»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283C52" w:rsidRPr="00283C52" w:rsidRDefault="00283C52" w:rsidP="00283C5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283C52" w:rsidRPr="00283C52" w:rsidRDefault="00283C52" w:rsidP="00283C52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связи с быстрым прогрессированием и высокой контагиозностью  заболевания лечение необходимо начинать как можно раньше.</w:t>
      </w:r>
    </w:p>
    <w:p w:rsidR="00283C52" w:rsidRPr="00283C52" w:rsidRDefault="00283C52" w:rsidP="00283C52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Больным атопическим дерматитом перед началом терапии контагиозного моллюска рекомендуется назначение лечения для купирования обострения атопического дерматита.</w:t>
      </w:r>
    </w:p>
    <w:p w:rsidR="00283C52" w:rsidRPr="00283C52" w:rsidRDefault="00283C52" w:rsidP="00283C52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Не рекомендовано брить участки кожи с высыпаниями, поскольку это может привести к аутоинокуляции.</w:t>
      </w:r>
    </w:p>
    <w:p w:rsidR="00283C52" w:rsidRPr="00283C52" w:rsidRDefault="00283C52" w:rsidP="00283C52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 период лечения запрещается посещение плавательных бассейнов, спортивных залов, общественных бань и саун.</w:t>
      </w:r>
    </w:p>
    <w:p w:rsidR="00283C52" w:rsidRPr="00283C52" w:rsidRDefault="00283C52" w:rsidP="00283C52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До окончания лечения необходимо пользоваться только своими личными вещами и посудой, избегать половых и тесных физических контактов.</w:t>
      </w:r>
    </w:p>
    <w:p w:rsidR="00283C52" w:rsidRPr="00283C52" w:rsidRDefault="00283C52" w:rsidP="00283C52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Рекомендовано обследование половых партнеров и их лечение при наличии заболевания.</w:t>
      </w:r>
    </w:p>
    <w:p w:rsidR="00283C52" w:rsidRPr="00283C52" w:rsidRDefault="00283C52" w:rsidP="00283C52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Рекомендован ежедневный самостоятельный осмотр кожи для своевременного выявления элементов контагиозного моллюска.</w:t>
      </w:r>
    </w:p>
    <w:p w:rsidR="00283C52" w:rsidRPr="00283C52" w:rsidRDefault="00283C52" w:rsidP="00283C5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283C5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283C52" w:rsidRPr="00283C52" w:rsidRDefault="00283C52" w:rsidP="00283C5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283C5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Общепринятой шкалы оценки не существует.</w:t>
      </w:r>
    </w:p>
    <w:p w:rsidR="00A6551F" w:rsidRDefault="00A6551F">
      <w:bookmarkStart w:id="0" w:name="_GoBack"/>
      <w:bookmarkEnd w:id="0"/>
    </w:p>
    <w:sectPr w:rsidR="00A65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1A2"/>
    <w:multiLevelType w:val="multilevel"/>
    <w:tmpl w:val="8EB2C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654EB"/>
    <w:multiLevelType w:val="multilevel"/>
    <w:tmpl w:val="EAFC7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E2BAF"/>
    <w:multiLevelType w:val="multilevel"/>
    <w:tmpl w:val="48A08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47994"/>
    <w:multiLevelType w:val="multilevel"/>
    <w:tmpl w:val="0FFA2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929E3"/>
    <w:multiLevelType w:val="multilevel"/>
    <w:tmpl w:val="6AE2B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76B75"/>
    <w:multiLevelType w:val="multilevel"/>
    <w:tmpl w:val="5B54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544DEB"/>
    <w:multiLevelType w:val="multilevel"/>
    <w:tmpl w:val="EA08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5F3D7A"/>
    <w:multiLevelType w:val="multilevel"/>
    <w:tmpl w:val="4E88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110C24"/>
    <w:multiLevelType w:val="multilevel"/>
    <w:tmpl w:val="05CC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A12B1C"/>
    <w:multiLevelType w:val="multilevel"/>
    <w:tmpl w:val="3DA69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723715"/>
    <w:multiLevelType w:val="multilevel"/>
    <w:tmpl w:val="E064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B76E72"/>
    <w:multiLevelType w:val="multilevel"/>
    <w:tmpl w:val="BA1A1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3B43F3"/>
    <w:multiLevelType w:val="multilevel"/>
    <w:tmpl w:val="1FE4E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4E145B"/>
    <w:multiLevelType w:val="multilevel"/>
    <w:tmpl w:val="232E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C96C06"/>
    <w:multiLevelType w:val="multilevel"/>
    <w:tmpl w:val="F3D2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F27A32"/>
    <w:multiLevelType w:val="multilevel"/>
    <w:tmpl w:val="2E946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CC700D"/>
    <w:multiLevelType w:val="multilevel"/>
    <w:tmpl w:val="E2D00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5B00F9"/>
    <w:multiLevelType w:val="multilevel"/>
    <w:tmpl w:val="DA1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71206"/>
    <w:multiLevelType w:val="multilevel"/>
    <w:tmpl w:val="6DC20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7D5AE2"/>
    <w:multiLevelType w:val="multilevel"/>
    <w:tmpl w:val="9228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9"/>
  </w:num>
  <w:num w:numId="3">
    <w:abstractNumId w:val="16"/>
  </w:num>
  <w:num w:numId="4">
    <w:abstractNumId w:val="5"/>
  </w:num>
  <w:num w:numId="5">
    <w:abstractNumId w:val="3"/>
  </w:num>
  <w:num w:numId="6">
    <w:abstractNumId w:val="14"/>
  </w:num>
  <w:num w:numId="7">
    <w:abstractNumId w:val="0"/>
  </w:num>
  <w:num w:numId="8">
    <w:abstractNumId w:val="15"/>
  </w:num>
  <w:num w:numId="9">
    <w:abstractNumId w:val="1"/>
  </w:num>
  <w:num w:numId="10">
    <w:abstractNumId w:val="10"/>
  </w:num>
  <w:num w:numId="11">
    <w:abstractNumId w:val="7"/>
  </w:num>
  <w:num w:numId="12">
    <w:abstractNumId w:val="17"/>
  </w:num>
  <w:num w:numId="13">
    <w:abstractNumId w:val="9"/>
  </w:num>
  <w:num w:numId="14">
    <w:abstractNumId w:val="13"/>
  </w:num>
  <w:num w:numId="15">
    <w:abstractNumId w:val="12"/>
  </w:num>
  <w:num w:numId="16">
    <w:abstractNumId w:val="11"/>
  </w:num>
  <w:num w:numId="17">
    <w:abstractNumId w:val="4"/>
  </w:num>
  <w:num w:numId="18">
    <w:abstractNumId w:val="2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6E9"/>
    <w:rsid w:val="00283C52"/>
    <w:rsid w:val="006C06E9"/>
    <w:rsid w:val="00A6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0D99D-BB98-4541-AD3E-470CB293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3C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83C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C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3C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ogotext">
    <w:name w:val="logo_text"/>
    <w:basedOn w:val="a0"/>
    <w:rsid w:val="00283C52"/>
  </w:style>
  <w:style w:type="character" w:customStyle="1" w:styleId="titlename">
    <w:name w:val="title_name"/>
    <w:basedOn w:val="a0"/>
    <w:rsid w:val="00283C52"/>
  </w:style>
  <w:style w:type="character" w:customStyle="1" w:styleId="titlecontent">
    <w:name w:val="title_content"/>
    <w:basedOn w:val="a0"/>
    <w:rsid w:val="00283C52"/>
  </w:style>
  <w:style w:type="character" w:customStyle="1" w:styleId="titlenamecolumn">
    <w:name w:val="title_name_column"/>
    <w:basedOn w:val="a0"/>
    <w:rsid w:val="00283C52"/>
  </w:style>
  <w:style w:type="character" w:customStyle="1" w:styleId="titlename1">
    <w:name w:val="title_name1"/>
    <w:basedOn w:val="a0"/>
    <w:rsid w:val="00283C52"/>
  </w:style>
  <w:style w:type="character" w:customStyle="1" w:styleId="titlecontent1">
    <w:name w:val="title_content1"/>
    <w:basedOn w:val="a0"/>
    <w:rsid w:val="00283C52"/>
  </w:style>
  <w:style w:type="character" w:customStyle="1" w:styleId="titlecontent2">
    <w:name w:val="title_content2"/>
    <w:basedOn w:val="a0"/>
    <w:rsid w:val="00283C52"/>
  </w:style>
  <w:style w:type="paragraph" w:styleId="a3">
    <w:name w:val="Normal (Web)"/>
    <w:basedOn w:val="a"/>
    <w:uiPriority w:val="99"/>
    <w:semiHidden/>
    <w:unhideWhenUsed/>
    <w:rsid w:val="00283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3C52"/>
    <w:rPr>
      <w:b/>
      <w:bCs/>
    </w:rPr>
  </w:style>
  <w:style w:type="character" w:styleId="a5">
    <w:name w:val="Emphasis"/>
    <w:basedOn w:val="a0"/>
    <w:uiPriority w:val="20"/>
    <w:qFormat/>
    <w:rsid w:val="00283C52"/>
    <w:rPr>
      <w:i/>
      <w:iCs/>
    </w:rPr>
  </w:style>
  <w:style w:type="paragraph" w:customStyle="1" w:styleId="marginl">
    <w:name w:val="marginl"/>
    <w:basedOn w:val="a"/>
    <w:rsid w:val="00283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83C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5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4524">
                      <w:marLeft w:val="0"/>
                      <w:marRight w:val="0"/>
                      <w:marTop w:val="0"/>
                      <w:marBottom w:val="15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95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97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67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15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93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200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5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11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253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0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149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2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7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771530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9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41293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3627">
                      <w:marLeft w:val="0"/>
                      <w:marRight w:val="0"/>
                      <w:marTop w:val="0"/>
                      <w:marBottom w:val="3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916381">
                      <w:marLeft w:val="0"/>
                      <w:marRight w:val="0"/>
                      <w:marTop w:val="9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1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8405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4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6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0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068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2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42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12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0160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13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7969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6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4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9421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7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3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6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676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8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4696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4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239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482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8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6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169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93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71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15382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7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7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5718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96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8414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66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3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63241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3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8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96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5802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8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27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3420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35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2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03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1020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5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9181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4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0005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4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4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3608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8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0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9163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7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15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846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8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5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8872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12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40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9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3473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5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8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8927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5668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4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5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46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8335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2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1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629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9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402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1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x.doi.org/10.18565/pharmateca.2018.s5.18-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ference.medscape.com/medline/abstract/17461823" TargetMode="External"/><Relationship Id="rId5" Type="http://schemas.openxmlformats.org/officeDocument/2006/relationships/hyperlink" Target="https://doi.org/10.17116/klinderma201716376-8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3996</Words>
  <Characters>22779</Characters>
  <Application>Microsoft Office Word</Application>
  <DocSecurity>0</DocSecurity>
  <Lines>189</Lines>
  <Paragraphs>53</Paragraphs>
  <ScaleCrop>false</ScaleCrop>
  <Company/>
  <LinksUpToDate>false</LinksUpToDate>
  <CharactersWithSpaces>26722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2025-09-15T11:07:00Z</dcterms:created>
  <dcterms:modified xsi:type="dcterms:W3CDTF">2025-09-15T11:08:00Z</dcterms:modified>
</cp:coreProperties>
</file>