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B2148E">
      <w:pPr>
        <w:pStyle w:val="1"/>
      </w:pPr>
      <w:r>
        <w:fldChar w:fldCharType="begin"/>
      </w:r>
      <w:r>
        <w:instrText>HYPERLINK "http://ivo.garant.ru/document/redirect/4179033/0"</w:instrText>
      </w:r>
      <w:r>
        <w:fldChar w:fldCharType="separate"/>
      </w:r>
      <w:r>
        <w:rPr>
          <w:rStyle w:val="a4"/>
          <w:b w:val="0"/>
          <w:bCs w:val="0"/>
        </w:rPr>
        <w:t>Постановление Главного государственного санитарного врача РФ от 12 марта 2</w:t>
      </w:r>
      <w:r>
        <w:rPr>
          <w:rStyle w:val="a4"/>
          <w:b w:val="0"/>
          <w:bCs w:val="0"/>
        </w:rPr>
        <w:t>003 г. N 17 "О введении в действие СанПиН 2.6.1.1202-03"</w:t>
      </w:r>
      <w:r>
        <w:fldChar w:fldCharType="end"/>
      </w:r>
    </w:p>
    <w:p w:rsidR="00000000" w:rsidRDefault="00B2148E"/>
    <w:p w:rsidR="00000000" w:rsidRDefault="00B2148E">
      <w:r>
        <w:t xml:space="preserve">На основании </w:t>
      </w:r>
      <w:hyperlink r:id="rId7" w:history="1">
        <w:r>
          <w:rPr>
            <w:rStyle w:val="a4"/>
          </w:rPr>
          <w:t>Федерального закона</w:t>
        </w:r>
      </w:hyperlink>
      <w:r>
        <w:t xml:space="preserve"> от 30 марта 1999 г. N 52-ФЗ</w:t>
      </w:r>
      <w:hyperlink w:anchor="sub_1111" w:history="1">
        <w:r>
          <w:rPr>
            <w:rStyle w:val="a4"/>
          </w:rPr>
          <w:t>* "</w:t>
        </w:r>
      </w:hyperlink>
      <w:r>
        <w:t>О санитарно-эпидемиологическом благополучи</w:t>
      </w:r>
      <w:r>
        <w:t>и населения" и "</w:t>
      </w:r>
      <w:hyperlink r:id="rId8" w:history="1">
        <w:r>
          <w:rPr>
            <w:rStyle w:val="a4"/>
          </w:rPr>
          <w:t>Положения</w:t>
        </w:r>
      </w:hyperlink>
      <w:r>
        <w:t xml:space="preserve"> о государственном санитарно-эпидемиологическом нормировании", утвержденного </w:t>
      </w:r>
      <w:hyperlink r:id="rId9" w:history="1">
        <w:r>
          <w:rPr>
            <w:rStyle w:val="a4"/>
          </w:rPr>
          <w:t>постановлением</w:t>
        </w:r>
      </w:hyperlink>
      <w:r>
        <w:t xml:space="preserve"> Правител</w:t>
      </w:r>
      <w:r>
        <w:t>ьства Российской Федерации от 24 июля 2000 г. N 554</w:t>
      </w:r>
      <w:hyperlink w:anchor="sub_2222" w:history="1">
        <w:r>
          <w:rPr>
            <w:rStyle w:val="a4"/>
          </w:rPr>
          <w:t>**</w:t>
        </w:r>
      </w:hyperlink>
      <w:r>
        <w:t xml:space="preserve"> постановляю:</w:t>
      </w:r>
    </w:p>
    <w:p w:rsidR="00000000" w:rsidRDefault="00B2148E">
      <w:bookmarkStart w:id="1" w:name="sub_1"/>
      <w:r>
        <w:t xml:space="preserve">Ввести в действие </w:t>
      </w:r>
      <w:hyperlink w:anchor="sub_10000" w:history="1">
        <w:r>
          <w:rPr>
            <w:rStyle w:val="a4"/>
          </w:rPr>
          <w:t>санитарные правила и нормы</w:t>
        </w:r>
      </w:hyperlink>
      <w:r>
        <w:t xml:space="preserve"> "Гигиенические требования к использованию закрытых радионуклидных источников ионизирующего излучения при геофизических работах на буровых скважинах. СанПиН 2.6.1.1202-03", утвержденные Главным государственным санитарным врачом Российской Федерации 12 март</w:t>
      </w:r>
      <w:r>
        <w:t>а 2003 года, с 15 июня 2003 г.</w:t>
      </w:r>
    </w:p>
    <w:bookmarkEnd w:id="1"/>
    <w:p w:rsidR="00000000" w:rsidRDefault="00B2148E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2"/>
        <w:gridCol w:w="3504"/>
      </w:tblGrid>
      <w:tr w:rsidR="00000000" w:rsidRPr="00B2148E">
        <w:tblPrEx>
          <w:tblCellMar>
            <w:top w:w="0" w:type="dxa"/>
            <w:bottom w:w="0" w:type="dxa"/>
          </w:tblCellMar>
        </w:tblPrEx>
        <w:tc>
          <w:tcPr>
            <w:tcW w:w="3303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B2148E" w:rsidRDefault="00B2148E">
            <w:pPr>
              <w:pStyle w:val="a7"/>
              <w:jc w:val="right"/>
            </w:pPr>
            <w:r w:rsidRPr="00B2148E">
              <w:t>Г.Г. Онищенко</w:t>
            </w:r>
          </w:p>
        </w:tc>
      </w:tr>
    </w:tbl>
    <w:p w:rsidR="00000000" w:rsidRDefault="00B2148E">
      <w:pPr>
        <w:ind w:firstLine="0"/>
      </w:pPr>
      <w:r>
        <w:t>_____________________________</w:t>
      </w:r>
    </w:p>
    <w:p w:rsidR="00000000" w:rsidRDefault="00B2148E">
      <w:bookmarkStart w:id="2" w:name="sub_1111"/>
      <w:r>
        <w:t>* Собрание законодательства Российской Федерации, 1999, N 14, ст.1650</w:t>
      </w:r>
    </w:p>
    <w:p w:rsidR="00000000" w:rsidRDefault="00B2148E">
      <w:bookmarkStart w:id="3" w:name="sub_2222"/>
      <w:bookmarkEnd w:id="2"/>
      <w:r>
        <w:t>** Собрание законодательства Российской Федерации, 2000, N 31, ст.3295</w:t>
      </w:r>
    </w:p>
    <w:bookmarkEnd w:id="3"/>
    <w:p w:rsidR="00000000" w:rsidRDefault="00B2148E"/>
    <w:p w:rsidR="00000000" w:rsidRDefault="00B2148E">
      <w:pPr>
        <w:ind w:firstLine="0"/>
      </w:pPr>
      <w:r>
        <w:t>Зарегистрировано в Минюсте РФ 25 марта 2003 г.</w:t>
      </w:r>
    </w:p>
    <w:p w:rsidR="00000000" w:rsidRDefault="00B2148E">
      <w:pPr>
        <w:ind w:firstLine="0"/>
      </w:pPr>
      <w:r>
        <w:t>Регистрационный N 4315</w:t>
      </w:r>
    </w:p>
    <w:p w:rsidR="00000000" w:rsidRDefault="00B2148E"/>
    <w:p w:rsidR="00000000" w:rsidRDefault="00B2148E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" w:name="sub_100000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4"/>
    <w:p w:rsidR="00000000" w:rsidRDefault="00B2148E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Настоящие СанПиН </w:t>
      </w:r>
      <w:hyperlink w:anchor="sub_1" w:history="1">
        <w:r>
          <w:rPr>
            <w:rStyle w:val="a4"/>
            <w:shd w:val="clear" w:color="auto" w:fill="F0F0F0"/>
          </w:rPr>
          <w:t>вводятся в действие</w:t>
        </w:r>
      </w:hyperlink>
      <w:r>
        <w:rPr>
          <w:shd w:val="clear" w:color="auto" w:fill="F0F0F0"/>
        </w:rPr>
        <w:t xml:space="preserve"> с 15 июня 2003 г.</w:t>
      </w:r>
    </w:p>
    <w:p w:rsidR="00000000" w:rsidRDefault="00B2148E">
      <w:pPr>
        <w:pStyle w:val="a6"/>
        <w:rPr>
          <w:shd w:val="clear" w:color="auto" w:fill="F0F0F0"/>
        </w:rPr>
      </w:pPr>
      <w:r>
        <w:t xml:space="preserve"> </w:t>
      </w:r>
    </w:p>
    <w:p w:rsidR="00000000" w:rsidRDefault="00B2148E">
      <w:pPr>
        <w:pStyle w:val="1"/>
      </w:pPr>
      <w:r>
        <w:t>2.6.1. Ионизирующее излучение, радиационная безопасность</w:t>
      </w:r>
    </w:p>
    <w:p w:rsidR="00000000" w:rsidRDefault="00B2148E"/>
    <w:p w:rsidR="00000000" w:rsidRDefault="00B2148E">
      <w:pPr>
        <w:pStyle w:val="1"/>
      </w:pPr>
      <w:bookmarkStart w:id="5" w:name="sub_10000"/>
      <w:r>
        <w:t>Санитарн</w:t>
      </w:r>
      <w:r>
        <w:t>ые правила и нормы СанПиН 2.6.1.1202-03</w:t>
      </w:r>
      <w:r>
        <w:br/>
        <w:t>"Гигиенические требования к использованию закрытых радионуклидных источников ионизирующего излучения при геофизических работах на буровых скважинах"</w:t>
      </w:r>
      <w:r>
        <w:br/>
        <w:t>(утв. Главным государственным санитарным врачом РФ 12 марта 2003 г.</w:t>
      </w:r>
      <w:r>
        <w:t>)</w:t>
      </w:r>
    </w:p>
    <w:bookmarkEnd w:id="5"/>
    <w:p w:rsidR="00000000" w:rsidRDefault="00B2148E"/>
    <w:p w:rsidR="00000000" w:rsidRDefault="00B2148E">
      <w:pPr>
        <w:ind w:firstLine="698"/>
        <w:jc w:val="right"/>
      </w:pPr>
      <w:r>
        <w:rPr>
          <w:rStyle w:val="a3"/>
        </w:rPr>
        <w:t>Дата введения: 15 июня 2003 г.</w:t>
      </w:r>
    </w:p>
    <w:p w:rsidR="00000000" w:rsidRDefault="00B2148E"/>
    <w:p w:rsidR="00000000" w:rsidRDefault="00B2148E">
      <w:pPr>
        <w:pStyle w:val="1"/>
      </w:pPr>
      <w:bookmarkStart w:id="6" w:name="sub_10100"/>
      <w:r>
        <w:t>I. Область применения</w:t>
      </w:r>
    </w:p>
    <w:bookmarkEnd w:id="6"/>
    <w:p w:rsidR="00000000" w:rsidRDefault="00B2148E"/>
    <w:p w:rsidR="00000000" w:rsidRDefault="00B2148E">
      <w:bookmarkStart w:id="7" w:name="sub_11"/>
      <w:r>
        <w:t>1.1. Настоящие санитарные правила "Гигиенические требования к использованию закрытых радионуклидных источников ионизирующего излучения при геофизических работах на буровых скважинах" (далее по тексту - правила) разработаны в соответствии с Федеральными зак</w:t>
      </w:r>
      <w:r>
        <w:t xml:space="preserve">онами </w:t>
      </w:r>
      <w:hyperlink r:id="rId10" w:history="1">
        <w:r>
          <w:rPr>
            <w:rStyle w:val="a4"/>
          </w:rPr>
          <w:t>от 30 марта 1999 г. N 52-ФЗ</w:t>
        </w:r>
      </w:hyperlink>
      <w:r>
        <w:t xml:space="preserve"> "О санитарно-эпидемиологическом благополучии населения" (Собрание законодательства Российской Федерации, 1999, N 14, ст.1650), </w:t>
      </w:r>
      <w:hyperlink r:id="rId11" w:history="1">
        <w:r>
          <w:rPr>
            <w:rStyle w:val="a4"/>
          </w:rPr>
          <w:t>от 9 января 1996 г. N 3-ФЗ</w:t>
        </w:r>
      </w:hyperlink>
      <w:r>
        <w:t xml:space="preserve"> "О радиационной безопасности населения" (Собрание законодательства Российской Федерации, 1996, N 3, ст.141), </w:t>
      </w:r>
      <w:hyperlink r:id="rId12" w:history="1">
        <w:r>
          <w:rPr>
            <w:rStyle w:val="a4"/>
          </w:rPr>
          <w:t>постановлением</w:t>
        </w:r>
      </w:hyperlink>
      <w:r>
        <w:t xml:space="preserve"> Правител</w:t>
      </w:r>
      <w:r>
        <w:t>ьства Российской Федерации от 24 июля 2000 г. N 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</w:t>
      </w:r>
      <w:r>
        <w:t xml:space="preserve">сийской Федерации, 2000, N 31, ст.3295), санитарными правилами "Нормы радиационной безопасности (НРБ-99). </w:t>
      </w:r>
      <w:hyperlink r:id="rId13" w:history="1">
        <w:r>
          <w:rPr>
            <w:rStyle w:val="a4"/>
          </w:rPr>
          <w:t>СП 2.6.1.758-99"</w:t>
        </w:r>
      </w:hyperlink>
      <w:hyperlink w:anchor="sub_3333" w:history="1">
        <w:r>
          <w:rPr>
            <w:rStyle w:val="a4"/>
          </w:rPr>
          <w:t>*</w:t>
        </w:r>
      </w:hyperlink>
      <w:r>
        <w:t xml:space="preserve"> и "Основные санитарные правила обеспечения радиационной безопасности (ОСПОРБ-99). </w:t>
      </w:r>
      <w:hyperlink r:id="rId14" w:history="1">
        <w:r>
          <w:rPr>
            <w:rStyle w:val="a4"/>
          </w:rPr>
          <w:t>СП 2.6.1.799-99"</w:t>
        </w:r>
      </w:hyperlink>
      <w:hyperlink w:anchor="sub_4444" w:history="1">
        <w:r>
          <w:rPr>
            <w:rStyle w:val="a4"/>
          </w:rPr>
          <w:t>**</w:t>
        </w:r>
      </w:hyperlink>
      <w:r>
        <w:t>.</w:t>
      </w:r>
    </w:p>
    <w:p w:rsidR="00000000" w:rsidRDefault="00B2148E">
      <w:bookmarkStart w:id="8" w:name="sub_12"/>
      <w:bookmarkEnd w:id="7"/>
      <w:r>
        <w:lastRenderedPageBreak/>
        <w:t>1.2. Правила регламентируют гигиенические требовани</w:t>
      </w:r>
      <w:r>
        <w:t>я к обеспечению радиационной безопасности при подготовке и проведении геофизических работ на буровых скважинах с использованием закрытых радионуклидных источников ионизирующего излучения (далее по тексту - источники), определяют необходимый объем производс</w:t>
      </w:r>
      <w:r>
        <w:t>твенного контроля и мероприятия при возможных радиационных авариях.</w:t>
      </w:r>
    </w:p>
    <w:p w:rsidR="00000000" w:rsidRDefault="00B2148E">
      <w:bookmarkStart w:id="9" w:name="sub_13"/>
      <w:bookmarkEnd w:id="8"/>
      <w:r>
        <w:t>1.3. Требования правил являются обязательными на территории Российской Федерации для всех юридических лиц (далее по тексту - организации) и физических лиц, занимающихся подгото</w:t>
      </w:r>
      <w:r>
        <w:t>вкой и проведением геофизических работ на буровых скважинах с использованием источников, осуществляющих проектирование и изготовление используемых при этом устройств, а также осуществляющих надзор и контроль за обеспечением радиационной безопасности при пр</w:t>
      </w:r>
      <w:r>
        <w:t>оведении такого рода работ.</w:t>
      </w:r>
    </w:p>
    <w:p w:rsidR="00000000" w:rsidRDefault="00B2148E">
      <w:bookmarkStart w:id="10" w:name="sub_14"/>
      <w:bookmarkEnd w:id="9"/>
      <w:r>
        <w:t>1.4. Настоящие правила не распространяются на работы с использованием открытых и генерирующих источников ионизирующего излучения.</w:t>
      </w:r>
    </w:p>
    <w:bookmarkEnd w:id="10"/>
    <w:p w:rsidR="00000000" w:rsidRDefault="00B2148E"/>
    <w:p w:rsidR="00000000" w:rsidRDefault="00B2148E">
      <w:pPr>
        <w:pStyle w:val="1"/>
      </w:pPr>
      <w:bookmarkStart w:id="11" w:name="sub_10200"/>
      <w:r>
        <w:t>II. Общие положения</w:t>
      </w:r>
    </w:p>
    <w:bookmarkEnd w:id="11"/>
    <w:p w:rsidR="00000000" w:rsidRDefault="00B2148E"/>
    <w:p w:rsidR="00000000" w:rsidRDefault="00B2148E">
      <w:bookmarkStart w:id="12" w:name="sub_21"/>
      <w:r>
        <w:t>2.1. Все работы, связанные с приме</w:t>
      </w:r>
      <w:r>
        <w:t>нением, хранением и транспортировкой источников, осуществляются под надзором органа государственной санитарно-эпидемиологической службы Российской Федерации, осуществляющего государственный санитарно-эпидемиологический надзор в субъекте Российской Федераци</w:t>
      </w:r>
      <w:r>
        <w:t>и (далее по тексту - территориальный орган госсанэпиднадзора), на территории которого расположена организация, при наличии санитарно-эпидемиологического заключения на соответствие условий труда санитарно-эпидемиологическим требованиям. При планировании про</w:t>
      </w:r>
      <w:r>
        <w:t>ведения работ вне территории, на которую распространяется действие санитарно-эпидемиологического заключения, организация обязана поставить в известность (в письменной форме) территориальный орган госсанэпиднадзора, осуществляющий надзор на территории, на к</w:t>
      </w:r>
      <w:r>
        <w:t>оторой предполагается проведение работ с источниками, предоставив полную информацию о характере, продолжительности и месте планируемого проведения работ, необходимую для оценки условий радиационной безопасности персонала и населения. Оформление нового сани</w:t>
      </w:r>
      <w:r>
        <w:t>тарно-эпидемиологического заключения при этом требуется только в случае, если предусмотрена организация временного хранилища источника или планируется его временное хранение в транспортном контейнере на срок более 1 суток.</w:t>
      </w:r>
    </w:p>
    <w:p w:rsidR="00000000" w:rsidRDefault="00B2148E">
      <w:bookmarkStart w:id="13" w:name="sub_22"/>
      <w:bookmarkEnd w:id="12"/>
      <w:r>
        <w:t>2.2. Для радиометриче</w:t>
      </w:r>
      <w:r>
        <w:t>ских исследований разрезов буровых скважин разрешается применять закрытые радионуклидные источники ионизирующего излучения, выпускаемые по техническим условиям, утвержденным в установленном порядке.</w:t>
      </w:r>
    </w:p>
    <w:bookmarkEnd w:id="13"/>
    <w:p w:rsidR="00000000" w:rsidRDefault="00B2148E">
      <w:r>
        <w:t>Используемая для работы с источниками геофизическая</w:t>
      </w:r>
      <w:r>
        <w:t xml:space="preserve"> аппаратура должна исключать возможность установки в нее и извлечения из нее источников без использования специальных манипуляторов и иметь санитарно-эпидемиологическое заключение Федерального органа исполнительной власти, уполномоченного осуществлять госу</w:t>
      </w:r>
      <w:r>
        <w:t>дарственный санитарно-эпидемиологический надзор в Российской Федерации, на соответствие санитарно-эпидемиологическим требованиям.</w:t>
      </w:r>
    </w:p>
    <w:p w:rsidR="00000000" w:rsidRDefault="00B2148E">
      <w:bookmarkStart w:id="14" w:name="sub_23"/>
      <w:r>
        <w:t>2.3. Хранение источников и проведение работ с ними допускается только при наличии у организации лицензии, выдаваемой в у</w:t>
      </w:r>
      <w:r>
        <w:t>становленном законодательством Российской Федерации порядке. Не требуется разрешение на работу с источниками излучения, если используемый источник имеет соответствующее санитарно-эпидемиологическое заключение органов госсанэпиднадзора (создает на расстояни</w:t>
      </w:r>
      <w:r>
        <w:t>и 0,1 м от его поверхности мощность дозы не более 1,0 мкЗв/ч, обеспечена надежная герметизация радиоактивных веществ, находящихся внутри источника, при всех возможных режимах его использования) и суммарная активность всех используемых в организации источни</w:t>
      </w:r>
      <w:r>
        <w:t xml:space="preserve">ков не превышает 10 МЗА (См. </w:t>
      </w:r>
      <w:hyperlink r:id="rId15" w:history="1">
        <w:r>
          <w:rPr>
            <w:rStyle w:val="a4"/>
          </w:rPr>
          <w:t>таблицу П4</w:t>
        </w:r>
      </w:hyperlink>
      <w:r>
        <w:t xml:space="preserve"> НРБ-99).</w:t>
      </w:r>
    </w:p>
    <w:p w:rsidR="00000000" w:rsidRDefault="00B2148E">
      <w:bookmarkStart w:id="15" w:name="sub_24"/>
      <w:bookmarkEnd w:id="14"/>
      <w:r>
        <w:t xml:space="preserve">2.4. Категория радиационных объектов должна устанавливаться на этапе их проектирования </w:t>
      </w:r>
      <w:r>
        <w:lastRenderedPageBreak/>
        <w:t>по согласованию с органами государственно</w:t>
      </w:r>
      <w:r>
        <w:t>го надзора в области обеспечения радиационной безопасности. Для действующих объектов категория устанавливается администрацией организаций по согласованию с органами госсанэпиднадзора.</w:t>
      </w:r>
    </w:p>
    <w:p w:rsidR="00000000" w:rsidRDefault="00B2148E">
      <w:bookmarkStart w:id="16" w:name="sub_25"/>
      <w:bookmarkEnd w:id="15"/>
      <w:r>
        <w:t>2.5. При проведении геофизических работ на буровых скважинах</w:t>
      </w:r>
      <w:r>
        <w:t xml:space="preserve"> могут использоваться закрытые радионуклидные нейтронные и гамма-источники. В условиях нормальной эксплуатации таких источников основными факторами вредности являются нейтронное и гамма-излучения. Годовая эффективная доза техногенного облучения при этом не</w:t>
      </w:r>
      <w:r>
        <w:t xml:space="preserve"> должна превышать основные пределы доз, установленные </w:t>
      </w:r>
      <w:hyperlink r:id="rId16" w:history="1">
        <w:r>
          <w:rPr>
            <w:rStyle w:val="a4"/>
          </w:rPr>
          <w:t>НРБ-99</w:t>
        </w:r>
      </w:hyperlink>
      <w:r>
        <w:t xml:space="preserve"> для персонала групп А и Б, соответственно. Годовая эффективная доза облучения населения (лиц, не отнесенных к персоналу) за счет </w:t>
      </w:r>
      <w:r>
        <w:t>использования таких источников не должна превышать 0,3 мЗв/год.</w:t>
      </w:r>
    </w:p>
    <w:p w:rsidR="00000000" w:rsidRDefault="00B2148E">
      <w:bookmarkStart w:id="17" w:name="sub_26"/>
      <w:bookmarkEnd w:id="16"/>
      <w:r>
        <w:t>2.6. Защита персонала и населения от нейтронного и гамма-излучений должна обеспечиваться:</w:t>
      </w:r>
    </w:p>
    <w:p w:rsidR="00000000" w:rsidRDefault="00B2148E">
      <w:bookmarkStart w:id="18" w:name="sub_261"/>
      <w:bookmarkEnd w:id="17"/>
      <w:r>
        <w:t>а) использованием источников с минимальной активностью, необходимой для прове</w:t>
      </w:r>
      <w:r>
        <w:t>дения данного вида работ;</w:t>
      </w:r>
    </w:p>
    <w:p w:rsidR="00000000" w:rsidRDefault="00B2148E">
      <w:bookmarkStart w:id="19" w:name="sub_262"/>
      <w:bookmarkEnd w:id="18"/>
      <w:r>
        <w:t>б) максимальным сокращением времени проведения рабочих операций;</w:t>
      </w:r>
    </w:p>
    <w:p w:rsidR="00000000" w:rsidRDefault="00B2148E">
      <w:bookmarkStart w:id="20" w:name="sub_263"/>
      <w:bookmarkEnd w:id="19"/>
      <w:r>
        <w:t>в) максимально возможным удалением работающих от источника;</w:t>
      </w:r>
    </w:p>
    <w:p w:rsidR="00000000" w:rsidRDefault="00B2148E">
      <w:bookmarkStart w:id="21" w:name="sub_264"/>
      <w:bookmarkEnd w:id="20"/>
      <w:r>
        <w:t>г) применением защитных средств (защитных контейнеров, экранов,</w:t>
      </w:r>
      <w:r>
        <w:t xml:space="preserve"> дистанционного инструмента, манипуляторов и т.п.).</w:t>
      </w:r>
    </w:p>
    <w:p w:rsidR="00000000" w:rsidRDefault="00B2148E">
      <w:bookmarkStart w:id="22" w:name="sub_27"/>
      <w:bookmarkEnd w:id="21"/>
      <w:r>
        <w:t>2.7. К работе с источниками (персонал группы А) допускаются лица не моложе 18 лет, не имеющие медицинских противопоказаний. Перед допуском к работе с источниками персонал должен пройти обучен</w:t>
      </w:r>
      <w:r>
        <w:t>ие с тренировкой на макетах-имитаторах источников, инструктаж и проверку знаний правил безопасности ведения работ и действующих в организации инструкций. Проверка знаний правил безопасности ведения работ в организации проводится периодически, не реже 1 раз</w:t>
      </w:r>
      <w:r>
        <w:t>а в год.</w:t>
      </w:r>
    </w:p>
    <w:p w:rsidR="00000000" w:rsidRDefault="00B2148E">
      <w:bookmarkStart w:id="23" w:name="sub_28"/>
      <w:bookmarkEnd w:id="22"/>
      <w:r>
        <w:t>2.8. Женщины освобождаются от работы с источниками на весь период беременности и грудного вскармливания ребенка.</w:t>
      </w:r>
    </w:p>
    <w:p w:rsidR="00000000" w:rsidRDefault="00B2148E">
      <w:bookmarkStart w:id="24" w:name="sub_29"/>
      <w:bookmarkEnd w:id="23"/>
      <w:r>
        <w:t>2.9. При изменении характера работ с источниками, а также при использовании источников более высокой активност</w:t>
      </w:r>
      <w:r>
        <w:t>и проводятся внеочередной инструктаж работающих и проверка знаний правил радиационной безопасности. Результаты этой проверки регистрируются в журнале.</w:t>
      </w:r>
    </w:p>
    <w:p w:rsidR="00000000" w:rsidRDefault="00B2148E">
      <w:bookmarkStart w:id="25" w:name="sub_210"/>
      <w:bookmarkEnd w:id="24"/>
      <w:r>
        <w:t xml:space="preserve">2.10. Организация несет ответственность за проведение инструктажей по правилам радиационной </w:t>
      </w:r>
      <w:r>
        <w:t>безопасности, обучение персонала и за проведение предварительного и периодических медицинских осмотров.</w:t>
      </w:r>
    </w:p>
    <w:p w:rsidR="00000000" w:rsidRDefault="00B2148E">
      <w:bookmarkStart w:id="26" w:name="sub_211"/>
      <w:bookmarkEnd w:id="25"/>
      <w:r>
        <w:t xml:space="preserve">2.11. Лица, работающие с источниками, обязаны знать и выполнять требования </w:t>
      </w:r>
      <w:hyperlink r:id="rId17" w:history="1">
        <w:r>
          <w:rPr>
            <w:rStyle w:val="a4"/>
          </w:rPr>
          <w:t>НР</w:t>
        </w:r>
        <w:r>
          <w:rPr>
            <w:rStyle w:val="a4"/>
          </w:rPr>
          <w:t>Б-99</w:t>
        </w:r>
      </w:hyperlink>
      <w:r>
        <w:t xml:space="preserve">, </w:t>
      </w:r>
      <w:hyperlink r:id="rId18" w:history="1">
        <w:r>
          <w:rPr>
            <w:rStyle w:val="a4"/>
          </w:rPr>
          <w:t>ОСПОРБ-99</w:t>
        </w:r>
      </w:hyperlink>
      <w:r>
        <w:t>, настоящих правил и действующих в организации инструкций, регламентирующих эти работы.</w:t>
      </w:r>
    </w:p>
    <w:p w:rsidR="00000000" w:rsidRDefault="00B2148E">
      <w:bookmarkStart w:id="27" w:name="sub_212"/>
      <w:bookmarkEnd w:id="26"/>
      <w:r>
        <w:t>2.12. В инструкциях, утвержденных администрацией организации, отражаются:</w:t>
      </w:r>
      <w:r>
        <w:t xml:space="preserve"> порядок проведения работ, учета, хранения, выдачи и транспортировки источников, содержания помещений, сбора и удаления радиоактивных отходов, меры личной безопасности. При изменении условий работы в инструкции вносятся соответствующие изменения.</w:t>
      </w:r>
    </w:p>
    <w:p w:rsidR="00000000" w:rsidRDefault="00B2148E">
      <w:bookmarkStart w:id="28" w:name="sub_213"/>
      <w:bookmarkEnd w:id="27"/>
      <w:r>
        <w:t>2.13. Администрация организаций, использующих источники для проведения геофизических работ на скважинах, осуществляет обеспечение условий выполнения настоящих правил.</w:t>
      </w:r>
    </w:p>
    <w:bookmarkEnd w:id="28"/>
    <w:p w:rsidR="00000000" w:rsidRDefault="00B2148E"/>
    <w:p w:rsidR="00000000" w:rsidRDefault="00B2148E">
      <w:pPr>
        <w:pStyle w:val="1"/>
      </w:pPr>
      <w:bookmarkStart w:id="29" w:name="sub_10300"/>
      <w:r>
        <w:t>III. Получение, учет, выдача и списание источников</w:t>
      </w:r>
    </w:p>
    <w:bookmarkEnd w:id="29"/>
    <w:p w:rsidR="00000000" w:rsidRDefault="00B2148E"/>
    <w:p w:rsidR="00000000" w:rsidRDefault="00B2148E">
      <w:bookmarkStart w:id="30" w:name="sub_31"/>
      <w:r>
        <w:t xml:space="preserve">3.1. Поставка организациям источников и передача их из одной организации в другую производятся с соблюдением требований </w:t>
      </w:r>
      <w:hyperlink r:id="rId19" w:history="1">
        <w:r>
          <w:rPr>
            <w:rStyle w:val="a4"/>
          </w:rPr>
          <w:t>п.3.5</w:t>
        </w:r>
      </w:hyperlink>
      <w:r>
        <w:t xml:space="preserve"> ОСПОРБ-99. При этом передающая и получающая источники организации </w:t>
      </w:r>
      <w:r>
        <w:t>информируют об этом территориальные органы госсанэпиднадзора, осуществляющие за ними надзор.</w:t>
      </w:r>
    </w:p>
    <w:p w:rsidR="00000000" w:rsidRDefault="00B2148E">
      <w:bookmarkStart w:id="31" w:name="sub_32"/>
      <w:bookmarkEnd w:id="30"/>
      <w:r>
        <w:t xml:space="preserve">3.2. Поступившие в организацию источники принимаются назначенным приказом </w:t>
      </w:r>
      <w:r>
        <w:lastRenderedPageBreak/>
        <w:t>руководителя учреждения лицом, ответственным за учет и хранение источников, и</w:t>
      </w:r>
      <w:r>
        <w:t xml:space="preserve"> фиксируются в приходно-расходном журнале, подлежащем постоянному хранению. Лицо, ответственное за учет и хранение источников, ведет учет их наличия, выдачи и возврата.</w:t>
      </w:r>
    </w:p>
    <w:p w:rsidR="00000000" w:rsidRDefault="00B2148E">
      <w:bookmarkStart w:id="32" w:name="sub_33"/>
      <w:bookmarkEnd w:id="31"/>
      <w:r>
        <w:t>3.3. Выдача источников из мест хранения на рабочие места производится лицом</w:t>
      </w:r>
      <w:r>
        <w:t>, ответственным за их учет и хранение, только по требованию, подписанному руководителем организации или лицом, им уполномоченным. Прием и возврат источников регистрируются в приходно-расходном журнале (</w:t>
      </w:r>
      <w:hyperlink r:id="rId20" w:history="1">
        <w:r>
          <w:rPr>
            <w:rStyle w:val="a4"/>
          </w:rPr>
          <w:t>приложение 7</w:t>
        </w:r>
      </w:hyperlink>
      <w:r>
        <w:t xml:space="preserve"> к ОСПОРБ-99).</w:t>
      </w:r>
    </w:p>
    <w:bookmarkEnd w:id="32"/>
    <w:p w:rsidR="00000000" w:rsidRDefault="00B2148E">
      <w:r>
        <w:t>В случае увольнения (перевода) лиц, допущенных к работам с источниками, администрация по акту принимает все числящиеся за ними источники.</w:t>
      </w:r>
    </w:p>
    <w:p w:rsidR="00000000" w:rsidRDefault="00B2148E">
      <w:bookmarkStart w:id="33" w:name="sub_34"/>
      <w:r>
        <w:t>3.4. Источники с истекшим установленным сроком эксплуатации, неприг</w:t>
      </w:r>
      <w:r>
        <w:t>одные к дальнейшему использованию, хранятся отдельно от используемых источников в специально оборудованных помещениях в защитных устройствах и подлежат списанию и сдаче на пункты временного хранения или захоронения радиоактивных отходов. Списание таких ист</w:t>
      </w:r>
      <w:r>
        <w:t>очников производят по акту, копия которого передается в территориальный орган госсанэпиднадзора.</w:t>
      </w:r>
    </w:p>
    <w:bookmarkEnd w:id="33"/>
    <w:p w:rsidR="00000000" w:rsidRDefault="00B2148E"/>
    <w:p w:rsidR="00000000" w:rsidRDefault="00B2148E">
      <w:pPr>
        <w:pStyle w:val="1"/>
      </w:pPr>
      <w:bookmarkStart w:id="34" w:name="sub_10400"/>
      <w:r>
        <w:t>IV. Хранение источников</w:t>
      </w:r>
    </w:p>
    <w:bookmarkEnd w:id="34"/>
    <w:p w:rsidR="00000000" w:rsidRDefault="00B2148E"/>
    <w:p w:rsidR="00000000" w:rsidRDefault="00B2148E">
      <w:bookmarkStart w:id="35" w:name="sub_41"/>
      <w:r>
        <w:t>4.1. Имеющиеся в организации источники, не находящиеся в работе, должны храниться в отдельных специальн</w:t>
      </w:r>
      <w:r>
        <w:t>о оборудованных хранилищах, обеспечивающих их сохранность и исключающих доступ к ним посторонних лиц. Хранилища должны, как правило, размещаться на уровне нижних отметок здания (незатопляемый подвал, 1 этаж), расположенного на охраняемой территории. Устрой</w:t>
      </w:r>
      <w:r>
        <w:t>ство хранилищ в жилых и общественных зданиях запрещается.</w:t>
      </w:r>
    </w:p>
    <w:p w:rsidR="00000000" w:rsidRDefault="00B2148E">
      <w:bookmarkStart w:id="36" w:name="sub_42"/>
      <w:bookmarkEnd w:id="35"/>
      <w:r>
        <w:t>4.2. Доступ посторонних лиц в хранилище и совместное хранение источников с взрывоопасными, горючими и другими подобными материалами не допускается. На период полевых или разовых работ, п</w:t>
      </w:r>
      <w:r>
        <w:t>ри необходимости, организуются временные хранилища.</w:t>
      </w:r>
    </w:p>
    <w:p w:rsidR="00000000" w:rsidRDefault="00B2148E">
      <w:bookmarkStart w:id="37" w:name="sub_43"/>
      <w:bookmarkEnd w:id="36"/>
      <w:r>
        <w:t>4.3. Активность источников, находящихся в хранилище, не должна превышать значений, указанных в санитарно-эпидемиологическом заключении.</w:t>
      </w:r>
    </w:p>
    <w:p w:rsidR="00000000" w:rsidRDefault="00B2148E">
      <w:bookmarkStart w:id="38" w:name="sub_44"/>
      <w:bookmarkEnd w:id="37"/>
      <w:r>
        <w:t xml:space="preserve">4.4. Планировка хранилища, площадь и защита </w:t>
      </w:r>
      <w:r>
        <w:t>помещений определяются с учетом количества, активности и характеристик излучения источников, подлежащих хранению. В хранилище предусматриваются следующие помещения:</w:t>
      </w:r>
    </w:p>
    <w:bookmarkEnd w:id="38"/>
    <w:p w:rsidR="00000000" w:rsidRDefault="00B2148E">
      <w:r>
        <w:t>- помещения для хранения источников с необходимыми защитными устройствами (колодцы, н</w:t>
      </w:r>
      <w:r>
        <w:t>иши, защитные контейнеры, сейфы и т.п.);</w:t>
      </w:r>
    </w:p>
    <w:p w:rsidR="00000000" w:rsidRDefault="00B2148E">
      <w:r>
        <w:t>- вспомогательные помещения для дистанционного инструмента, транспортных контейнеров, аппаратуры радиационного контроля, средств индивидуальной защиты, средств дезактивации, различной документации и т.п.</w:t>
      </w:r>
    </w:p>
    <w:p w:rsidR="00000000" w:rsidRDefault="00B2148E">
      <w:r>
        <w:t>В помещения</w:t>
      </w:r>
      <w:r>
        <w:t>х хранилища должен быть размещен пожарный инвентарь.</w:t>
      </w:r>
    </w:p>
    <w:p w:rsidR="00000000" w:rsidRDefault="00B2148E">
      <w:bookmarkStart w:id="39" w:name="sub_45"/>
      <w:r>
        <w:t>4.5. В наружной стене помещения хранилища предусматривается запираемый проем в виде окна или двери для подачи в хранилище и выдачи из него контейнеров с источниками.</w:t>
      </w:r>
    </w:p>
    <w:p w:rsidR="00000000" w:rsidRDefault="00B2148E">
      <w:bookmarkStart w:id="40" w:name="sub_46"/>
      <w:bookmarkEnd w:id="39"/>
      <w:r>
        <w:t>4.6. На наружные по</w:t>
      </w:r>
      <w:r>
        <w:t>верхности входной двери для персонала и защитной дверцы проема для контейнеров наносится знак радиационной опасности. По окончании рабочего дня двери закрываются и опечатываются.</w:t>
      </w:r>
    </w:p>
    <w:p w:rsidR="00000000" w:rsidRDefault="00B2148E">
      <w:bookmarkStart w:id="41" w:name="sub_47"/>
      <w:bookmarkEnd w:id="40"/>
      <w:r>
        <w:t xml:space="preserve">4.7. Защитные устройства для хранения источников (ниши, колодцы, </w:t>
      </w:r>
      <w:r>
        <w:t>сейфы, контейнеры и т.п.) выполняются так, чтобы при закладке или извлечении отдельных источников персонал не подвергался облучению от остальных источников.</w:t>
      </w:r>
    </w:p>
    <w:bookmarkEnd w:id="41"/>
    <w:p w:rsidR="00000000" w:rsidRDefault="00B2148E">
      <w:r>
        <w:t>Мощность эквивалентной дозы на внешней поверхности защитных устройств для хранения источников</w:t>
      </w:r>
      <w:r>
        <w:t xml:space="preserve"> не должна превышать 12,0 мкЗв/ч.</w:t>
      </w:r>
    </w:p>
    <w:p w:rsidR="00000000" w:rsidRDefault="00B2148E">
      <w:bookmarkStart w:id="42" w:name="sub_48"/>
      <w:r>
        <w:t>4.8. Число защитных устройств для хранения источников выбирается с учетом количества находящихся в пользовании источников, включая два запасных (по одному для нейтронных и гамма-источников).</w:t>
      </w:r>
    </w:p>
    <w:p w:rsidR="00000000" w:rsidRDefault="00B2148E">
      <w:bookmarkStart w:id="43" w:name="sub_49"/>
      <w:bookmarkEnd w:id="42"/>
      <w:r>
        <w:lastRenderedPageBreak/>
        <w:t>4.9. Мощность</w:t>
      </w:r>
      <w:r>
        <w:t xml:space="preserve"> эквивалентной дозы на наружной поверхности стен, закрытых дверей и проемов хранилища или его ограждения, исключающего доступ посторонних лиц, не должна превышать 1,0 мкЗв/ч. Расчет толщины стен производится с учетом возможного извлечения из защитного устр</w:t>
      </w:r>
      <w:r>
        <w:t>ойства одного нейтронного или одного гамма-источника, создающего наибольшую мощность дозы на внешней поверхности стен с учетом активности источника и энергии его излучения. Полы помещений хранилища должны быть ровными и прочными. Каких-либо специальных тре</w:t>
      </w:r>
      <w:r>
        <w:t>бований к отделке помещений не предъявляется. Вентиляция, водоснабжение, отопление и освещение помещений хранилища должны удовлетворять требованиям соответствующих разделов санитарных норм проектирования промышленных предприятий.</w:t>
      </w:r>
    </w:p>
    <w:p w:rsidR="00000000" w:rsidRDefault="00B2148E">
      <w:bookmarkStart w:id="44" w:name="sub_410"/>
      <w:bookmarkEnd w:id="43"/>
      <w:r>
        <w:t>4.10. Защитны</w:t>
      </w:r>
      <w:r>
        <w:t>е колодцы в хранилище рекомендуется располагать, соблюдая рядность. Расстояние между рядами колодцев должно быть не менее 2 м, между колодцами в ряду - не менее 1 м и между колодцами и стенками хранилища - не менее 0,5 м.</w:t>
      </w:r>
    </w:p>
    <w:bookmarkEnd w:id="44"/>
    <w:p w:rsidR="00000000" w:rsidRDefault="00B2148E">
      <w:r>
        <w:t>Глубина колодцев должна быт</w:t>
      </w:r>
      <w:r>
        <w:t>ь не менее 2 м, и они должны быть обсажены водонепроницаемыми трубами-стаканами с дном. Контакт труб-стаканов с грунтовыми водами должен быть исключен. Верх труб-стаканов должен выступать над уровнем пола, но не более чем на 5 см. Трубы-стаканы должны закр</w:t>
      </w:r>
      <w:r>
        <w:t>ываться защитными крышками: для нейтронных источников - из водородсодержащих материалов (парафин, полиэтилен и т.п.), для гамма-источников - из металлов (чугун, сталь, свинец и т.п.).</w:t>
      </w:r>
    </w:p>
    <w:p w:rsidR="00000000" w:rsidRDefault="00B2148E">
      <w:bookmarkStart w:id="45" w:name="sub_411"/>
      <w:r>
        <w:t>4.11. В хранилище источники могут храниться в специальных пеналах</w:t>
      </w:r>
      <w:r>
        <w:t xml:space="preserve"> или в переносных контейнерах, помещаемых в защитные устройства для хранения.</w:t>
      </w:r>
    </w:p>
    <w:p w:rsidR="00000000" w:rsidRDefault="00B2148E">
      <w:bookmarkStart w:id="46" w:name="sub_412"/>
      <w:bookmarkEnd w:id="45"/>
      <w:r>
        <w:t>4.12. Устройства для хранения источников легко открываются и имеют четкую маркировку на наружной поверхности с указанием радионуклида, вида источника и его активнос</w:t>
      </w:r>
      <w:r>
        <w:t>ти.</w:t>
      </w:r>
    </w:p>
    <w:bookmarkEnd w:id="46"/>
    <w:p w:rsidR="00000000" w:rsidRDefault="00B2148E">
      <w:r>
        <w:t>Карта-схема размещения источников в хранилище хранится у лица, ответственного за учет и хранение источников.</w:t>
      </w:r>
    </w:p>
    <w:p w:rsidR="00000000" w:rsidRDefault="00B2148E">
      <w:bookmarkStart w:id="47" w:name="sub_413"/>
      <w:r>
        <w:t>4.13. Закладку пеналов и контейнеров с источниками в защитные устройства и их извлечение следует выполнять дистанционно при помощи тельфера или другого приспособления.</w:t>
      </w:r>
    </w:p>
    <w:p w:rsidR="00000000" w:rsidRDefault="00B2148E">
      <w:bookmarkStart w:id="48" w:name="sub_414"/>
      <w:bookmarkEnd w:id="47"/>
      <w:r>
        <w:t>4.14. Порядок и условия организации временного хранения источников в полев</w:t>
      </w:r>
      <w:r>
        <w:t>ых условиях согласуются с территориальным органом госсанэпиднадзора, осуществляющим надзор на территории, на которой предполагается разместить временное хранилище.</w:t>
      </w:r>
    </w:p>
    <w:p w:rsidR="00000000" w:rsidRDefault="00B2148E">
      <w:bookmarkStart w:id="49" w:name="sub_415"/>
      <w:bookmarkEnd w:id="48"/>
      <w:r>
        <w:t>4.15. Для временного хранения источников в полевых условиях рекомендуется испо</w:t>
      </w:r>
      <w:r>
        <w:t>льзовать транспортные или переносные контейнеры, помещаемые в будку, фургон, сарай и т.п., которые по окончании рабочего дня следует запирать и опечатывать. Место для временного хранения источников оборудуется техническими средствами, исключающими возможно</w:t>
      </w:r>
      <w:r>
        <w:t>сть доступа к ним посторонних лиц и их несанкционированного использования.</w:t>
      </w:r>
    </w:p>
    <w:bookmarkEnd w:id="49"/>
    <w:p w:rsidR="00000000" w:rsidRDefault="00B2148E">
      <w:r>
        <w:t>Временное хранение источников допускается в закрытом кузове транспортного средства на охраняемой территории хранилища, если они доставлены туда в нерабочее время. Транспортно</w:t>
      </w:r>
      <w:r>
        <w:t>е средство в этом случае сдается охране в опечатанном виде. В случае невозможности выполнения этого требования должна быть организована круглосуточная охрана источников.</w:t>
      </w:r>
    </w:p>
    <w:p w:rsidR="00000000" w:rsidRDefault="00B2148E">
      <w:bookmarkStart w:id="50" w:name="sub_416"/>
      <w:r>
        <w:t>4.16. Временное хранение источников может также осуществляться в специальных пе</w:t>
      </w:r>
      <w:r>
        <w:t>налах, помещаемых на прочном тросе (шнуре и т.п.) в обсаженные скважины. Дно скважин должно находиться выше уровня стояния грунтовых вод, а их устья необходимо закрывать крышками, исключающими возможность попадания посторонних предметов и влаги. Над устьям</w:t>
      </w:r>
      <w:r>
        <w:t>и скважин рекомендуется устраивать навес. Скважины должны иметь ограждение, исключающее доступ к ним посторонних лиц.</w:t>
      </w:r>
    </w:p>
    <w:p w:rsidR="00000000" w:rsidRDefault="00B2148E">
      <w:bookmarkStart w:id="51" w:name="sub_417"/>
      <w:bookmarkEnd w:id="50"/>
      <w:r>
        <w:t>4.17. Мощность эквивалентной дозы излучения на наружных поверхностях мест для временного хранения источников (будки, фургона</w:t>
      </w:r>
      <w:r>
        <w:t>, сарая, закрытого кузова транспортного средства и т.п.) или ограждений, исключающих доступ посторонних лиц к месту временного хранения источников, не должна превышать 1,0 мкЗв/ч. На наружных поверхностях мест хранения (ограждения) должны устанавливаться з</w:t>
      </w:r>
      <w:r>
        <w:t>наки радиационной опасности, отчетливо видимые с расстояния не менее 3 м.</w:t>
      </w:r>
    </w:p>
    <w:bookmarkEnd w:id="51"/>
    <w:p w:rsidR="00000000" w:rsidRDefault="00B2148E"/>
    <w:p w:rsidR="00000000" w:rsidRDefault="00B2148E">
      <w:pPr>
        <w:pStyle w:val="1"/>
      </w:pPr>
      <w:bookmarkStart w:id="52" w:name="sub_10500"/>
      <w:r>
        <w:t>V. Транспортирование источников</w:t>
      </w:r>
    </w:p>
    <w:bookmarkEnd w:id="52"/>
    <w:p w:rsidR="00000000" w:rsidRDefault="00B2148E"/>
    <w:p w:rsidR="00000000" w:rsidRDefault="00B2148E">
      <w:bookmarkStart w:id="53" w:name="sub_51"/>
      <w:r>
        <w:t>5.1. Транспортирование источников осуществляется в специальных защитных, транспортных или переносных контейнерах, доп</w:t>
      </w:r>
      <w:r>
        <w:t>ущенных в установленном порядке для транспортирования источников данного типа, в специально оборудованной для этих целей автомашине (автоприцепе), имеющей санитарно-эпидемиологическое заключение органов госсанэпиднадзора о соответствии санитарным правилам.</w:t>
      </w:r>
      <w:r>
        <w:t xml:space="preserve"> Транспортирование источников должно производиться с соблюдением требований </w:t>
      </w:r>
      <w:hyperlink r:id="rId21" w:history="1">
        <w:r>
          <w:rPr>
            <w:rStyle w:val="a4"/>
          </w:rPr>
          <w:t>ОСПОРБ-99</w:t>
        </w:r>
      </w:hyperlink>
      <w:r>
        <w:t xml:space="preserve"> и специальных санитарных правил обеспечения радиационной безопасности при транспортировании радиоактивных м</w:t>
      </w:r>
      <w:r>
        <w:t>атериалов.</w:t>
      </w:r>
    </w:p>
    <w:bookmarkEnd w:id="53"/>
    <w:p w:rsidR="00000000" w:rsidRDefault="00B2148E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2148E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22" w:history="1">
        <w:r>
          <w:rPr>
            <w:rStyle w:val="a4"/>
            <w:shd w:val="clear" w:color="auto" w:fill="F0F0F0"/>
          </w:rPr>
          <w:t>санитарно-эпидемиологические правила и нормативы</w:t>
        </w:r>
      </w:hyperlink>
      <w:r>
        <w:rPr>
          <w:shd w:val="clear" w:color="auto" w:fill="F0F0F0"/>
        </w:rPr>
        <w:t xml:space="preserve"> СанПиН 2.6.1.1281-03 "Санитарные правила по радиационной безопасности персонала и населения при транспортирова</w:t>
      </w:r>
      <w:r>
        <w:rPr>
          <w:shd w:val="clear" w:color="auto" w:fill="F0F0F0"/>
        </w:rPr>
        <w:t>нии радиоактивных материалов (веществ)", утвержденные Главным государственным санитарным врачом РФ 17 апреля 2003 г.</w:t>
      </w:r>
    </w:p>
    <w:p w:rsidR="00000000" w:rsidRDefault="00B2148E">
      <w:pPr>
        <w:pStyle w:val="a6"/>
        <w:rPr>
          <w:shd w:val="clear" w:color="auto" w:fill="F0F0F0"/>
        </w:rPr>
      </w:pPr>
      <w:r>
        <w:t xml:space="preserve"> </w:t>
      </w:r>
    </w:p>
    <w:p w:rsidR="00000000" w:rsidRDefault="00B2148E">
      <w:bookmarkStart w:id="54" w:name="sub_52"/>
      <w:r>
        <w:t xml:space="preserve">5.2. Источники, активность которых не превышает величин, приведенных в </w:t>
      </w:r>
      <w:hyperlink w:anchor="sub_1000" w:history="1">
        <w:r>
          <w:rPr>
            <w:rStyle w:val="a4"/>
          </w:rPr>
          <w:t>приложении N 1</w:t>
        </w:r>
      </w:hyperlink>
      <w:r>
        <w:t>, могут перевозиться</w:t>
      </w:r>
      <w:r>
        <w:t xml:space="preserve"> в транспортных упаковочных комплектах (далее - радиационная упаковка) типа А. При большей активности источников они должны перевозиться в радиационной упаковке типа В.</w:t>
      </w:r>
    </w:p>
    <w:p w:rsidR="00000000" w:rsidRDefault="00B2148E">
      <w:bookmarkStart w:id="55" w:name="sub_53"/>
      <w:bookmarkEnd w:id="54"/>
      <w:r>
        <w:t>5.3. В зависимости от значений мощности эквивалентной дозы излучения на пов</w:t>
      </w:r>
      <w:r>
        <w:t xml:space="preserve">ерхности радиационной упаковки и на расстоянии 1 м от нее радиационные упаковки делятся на 4 транспортные категории (см. </w:t>
      </w:r>
      <w:hyperlink w:anchor="sub_10551" w:history="1">
        <w:r>
          <w:rPr>
            <w:rStyle w:val="a4"/>
          </w:rPr>
          <w:t>таблицу 5.1</w:t>
        </w:r>
      </w:hyperlink>
      <w:r>
        <w:t>). При радиометрических исследованиях разрезов буровых скважин источники, как правило, транспорти</w:t>
      </w:r>
      <w:r>
        <w:t>руются в радиационных упаковках II транспортной категории, но не выше III.</w:t>
      </w:r>
    </w:p>
    <w:bookmarkEnd w:id="55"/>
    <w:p w:rsidR="00000000" w:rsidRDefault="00B2148E"/>
    <w:p w:rsidR="00000000" w:rsidRDefault="00B2148E">
      <w:pPr>
        <w:ind w:left="2376" w:hanging="1678"/>
        <w:jc w:val="right"/>
      </w:pPr>
      <w:bookmarkStart w:id="56" w:name="sub_10551"/>
      <w:r>
        <w:rPr>
          <w:rStyle w:val="a3"/>
        </w:rPr>
        <w:t>Таблица 5.1</w:t>
      </w:r>
    </w:p>
    <w:bookmarkEnd w:id="56"/>
    <w:p w:rsidR="00000000" w:rsidRDefault="00B2148E"/>
    <w:p w:rsidR="00000000" w:rsidRDefault="00B2148E">
      <w:pPr>
        <w:pStyle w:val="1"/>
      </w:pPr>
      <w:r>
        <w:t>Транспортные категории радиационных упаковок</w:t>
      </w:r>
    </w:p>
    <w:p w:rsidR="00000000" w:rsidRDefault="00B2148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1"/>
        <w:gridCol w:w="3403"/>
        <w:gridCol w:w="3403"/>
      </w:tblGrid>
      <w:tr w:rsidR="00000000" w:rsidRPr="00B2148E">
        <w:tblPrEx>
          <w:tblCellMar>
            <w:top w:w="0" w:type="dxa"/>
            <w:bottom w:w="0" w:type="dxa"/>
          </w:tblCellMar>
        </w:tblPrEx>
        <w:tc>
          <w:tcPr>
            <w:tcW w:w="3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Максимальное значение мощности дозы излучения в любой точке внешней поверхности, мЗв/ч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Максимальн</w:t>
            </w:r>
            <w:r w:rsidRPr="00B2148E">
              <w:t>ое значение мощности дозы излучения в любой точке на расстоянии 1,0 м от поверхности, мкЗв/ч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Транспортная категория</w:t>
            </w:r>
          </w:p>
        </w:tc>
      </w:tr>
      <w:tr w:rsidR="00000000" w:rsidRPr="00B2148E">
        <w:tblPrEx>
          <w:tblCellMar>
            <w:top w:w="0" w:type="dxa"/>
            <w:bottom w:w="0" w:type="dxa"/>
          </w:tblCellMar>
        </w:tblPrEx>
        <w:tc>
          <w:tcPr>
            <w:tcW w:w="3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&lt;= 0,005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&lt;= 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I</w:t>
            </w:r>
          </w:p>
        </w:tc>
      </w:tr>
      <w:tr w:rsidR="00000000" w:rsidRPr="00B2148E">
        <w:tblPrEx>
          <w:tblCellMar>
            <w:top w:w="0" w:type="dxa"/>
            <w:bottom w:w="0" w:type="dxa"/>
          </w:tblCellMar>
        </w:tblPrEx>
        <w:tc>
          <w:tcPr>
            <w:tcW w:w="3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&gt; 0,005-0,5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&gt; 1-10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II</w:t>
            </w:r>
          </w:p>
        </w:tc>
      </w:tr>
      <w:tr w:rsidR="00000000" w:rsidRPr="00B2148E">
        <w:tblPrEx>
          <w:tblCellMar>
            <w:top w:w="0" w:type="dxa"/>
            <w:bottom w:w="0" w:type="dxa"/>
          </w:tblCellMar>
        </w:tblPrEx>
        <w:tc>
          <w:tcPr>
            <w:tcW w:w="3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&gt; 0,5-2,0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&gt; 10-100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III</w:t>
            </w:r>
          </w:p>
        </w:tc>
      </w:tr>
      <w:tr w:rsidR="00000000" w:rsidRPr="00B2148E">
        <w:tblPrEx>
          <w:tblCellMar>
            <w:top w:w="0" w:type="dxa"/>
            <w:bottom w:w="0" w:type="dxa"/>
          </w:tblCellMar>
        </w:tblPrEx>
        <w:tc>
          <w:tcPr>
            <w:tcW w:w="3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&gt; 2,0-10,0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&gt; 100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III - на условиях исключительного использования</w:t>
            </w:r>
          </w:p>
        </w:tc>
      </w:tr>
    </w:tbl>
    <w:p w:rsidR="00000000" w:rsidRDefault="00B2148E"/>
    <w:p w:rsidR="00000000" w:rsidRDefault="00B2148E">
      <w:bookmarkStart w:id="57" w:name="sub_54"/>
      <w:r>
        <w:t>5.4. Транспортирование источников производится с учетом требований специальных санитарных правил обеспечения радиационной безопасности при транспортировании радиоактивных материалов. На каждую радиационную упаковку наносится знак радиационной опасности, об</w:t>
      </w:r>
      <w:r>
        <w:t>означение типа упаковочного комплекта и этикетка транспортной категории.</w:t>
      </w:r>
    </w:p>
    <w:p w:rsidR="00000000" w:rsidRDefault="00B2148E">
      <w:bookmarkStart w:id="58" w:name="sub_55"/>
      <w:bookmarkEnd w:id="57"/>
      <w:r>
        <w:t>5.5. На внешней поверхности радиационной упаковки следует предусмотреть устройства для установки пломбы, расположенные таким образом, чтобы исключалась возможность вскрыти</w:t>
      </w:r>
      <w:r>
        <w:t>я упаковки без повреждения пломбы, а также срыва ее при транспортировании.</w:t>
      </w:r>
    </w:p>
    <w:p w:rsidR="00000000" w:rsidRDefault="00B2148E">
      <w:bookmarkStart w:id="59" w:name="sub_56"/>
      <w:bookmarkEnd w:id="58"/>
      <w:r>
        <w:lastRenderedPageBreak/>
        <w:t>5.6. Транспортирование источников внутри помещений, а также по территории организации, на которую распространяется действие санитарно-эпидемиологического заключения, сле</w:t>
      </w:r>
      <w:r>
        <w:t xml:space="preserve">дует производить в транспортных или переносных защитных контейнерах на специальных транспортных устройствах (тележках, автокарах и т.п.) с соблюдением требований </w:t>
      </w:r>
      <w:hyperlink r:id="rId23" w:history="1">
        <w:r>
          <w:rPr>
            <w:rStyle w:val="a4"/>
          </w:rPr>
          <w:t>НРБ-99</w:t>
        </w:r>
      </w:hyperlink>
      <w:r>
        <w:t xml:space="preserve"> и </w:t>
      </w:r>
      <w:hyperlink r:id="rId24" w:history="1">
        <w:r>
          <w:rPr>
            <w:rStyle w:val="a4"/>
          </w:rPr>
          <w:t>ОСПОРБ-99</w:t>
        </w:r>
      </w:hyperlink>
      <w:r>
        <w:t>.</w:t>
      </w:r>
    </w:p>
    <w:p w:rsidR="00000000" w:rsidRDefault="00B2148E">
      <w:bookmarkStart w:id="60" w:name="sub_57"/>
      <w:bookmarkEnd w:id="59"/>
      <w:r>
        <w:t>5.7. Транспортирование источника на расстояние до 100 м может осуществляться в переносном контейнере двумя лицами (персонал группы А) на штанге длиной не менее 1 м. Штанга должна иметь приспо</w:t>
      </w:r>
      <w:r>
        <w:t>собления, препятствующие соскальзыванию контейнера при его переноске.</w:t>
      </w:r>
    </w:p>
    <w:p w:rsidR="00000000" w:rsidRDefault="00B2148E">
      <w:bookmarkStart w:id="61" w:name="sub_58"/>
      <w:bookmarkEnd w:id="60"/>
      <w:r>
        <w:t xml:space="preserve">5.8. При перевозке радиационных упаковок на автомобилях без специального оборудования мощность эквивалентной дозы техногенного излучения (за вычетом природного радиационного </w:t>
      </w:r>
      <w:r>
        <w:t>фона) в кабине водителя не должна превышать 2,5 мкЗв/ч. Водитель при этом должен быть отнесен к персоналу группы Б, и годовая эффективная доза его техногенного облучения не должна превышать 5 мЗв. При перевозке радиационных упаковок на специально оборудова</w:t>
      </w:r>
      <w:r>
        <w:t>нных для этой цели автомобилях мощность эквивалентной дозы техногенного излучения (за вычетом природного радиационного фона) в кабине водителя и в специальном отсеке кузова, предназначенном для размещения персонала группы А, не должна превышать 12,0 мкЗв/ч</w:t>
      </w:r>
      <w:r>
        <w:t>. Водитель при этом должен быть отнесен к персоналу группы А, и годовая эффективная доза его техногенного облучения не должна превышать 20 мЗв.</w:t>
      </w:r>
    </w:p>
    <w:p w:rsidR="00000000" w:rsidRDefault="00B2148E">
      <w:bookmarkStart w:id="62" w:name="sub_59"/>
      <w:bookmarkEnd w:id="61"/>
      <w:r>
        <w:t>5.9. Радиационные упаковки при перевозке должны быть размещены и экранированы таким образом, чтобы м</w:t>
      </w:r>
      <w:r>
        <w:t>ощность эквивалентной дозы в любой точке наружной поверхности кузова автомобиля не превышала 2,0 мЗв/ч, а на расстоянии 1 м от этих поверхностей - 0,1 мЗв/ч.</w:t>
      </w:r>
    </w:p>
    <w:p w:rsidR="00000000" w:rsidRDefault="00B2148E">
      <w:bookmarkStart w:id="63" w:name="sub_510"/>
      <w:bookmarkEnd w:id="62"/>
      <w:r>
        <w:t>5.10. Совместная перевозка источников и людей в кузове автомашины запрещена, за исклю</w:t>
      </w:r>
      <w:r>
        <w:t xml:space="preserve">чением случая, когда в кузове оборудован отдельный специальный отсек для размещения персонала с соблюдением требований </w:t>
      </w:r>
      <w:hyperlink w:anchor="sub_58" w:history="1">
        <w:r>
          <w:rPr>
            <w:rStyle w:val="a4"/>
          </w:rPr>
          <w:t>п.5.8</w:t>
        </w:r>
      </w:hyperlink>
      <w:r>
        <w:t xml:space="preserve"> настоящих правил.</w:t>
      </w:r>
    </w:p>
    <w:p w:rsidR="00000000" w:rsidRDefault="00B2148E">
      <w:bookmarkStart w:id="64" w:name="sub_511"/>
      <w:bookmarkEnd w:id="63"/>
      <w:r>
        <w:t>5.11. При перевозке радиационных упаковок для снижения доз облучения людей,</w:t>
      </w:r>
      <w:r>
        <w:t xml:space="preserve"> находящихся в кабине автомобиля или в отдельном отсеке кузова, между местом размещения людей и радиационными упаковками (при перевозке источников в кузове) целесообразно размещать обычные грузы в несгораемой таре. Допустимое значение мощности дозы в места</w:t>
      </w:r>
      <w:r>
        <w:t>х нахождения людей при перевозке радиационных упаковок зависит от категории работников. Мощность эквивалентной дозы техногенного излучения (за вычетом природного радиационного фона) не должна превышать:</w:t>
      </w:r>
    </w:p>
    <w:bookmarkEnd w:id="64"/>
    <w:p w:rsidR="00000000" w:rsidRDefault="00B2148E">
      <w:r>
        <w:t>12,0 мкЗв/ч - в местах нахождения персонала гр</w:t>
      </w:r>
      <w:r>
        <w:t>уппы А,</w:t>
      </w:r>
    </w:p>
    <w:p w:rsidR="00000000" w:rsidRDefault="00B2148E">
      <w:r>
        <w:t>2,5 мкЗв/ч - в местах нахождения персонала группы Б,</w:t>
      </w:r>
    </w:p>
    <w:p w:rsidR="00000000" w:rsidRDefault="00B2148E">
      <w:r>
        <w:t>0,12 мкЗв/ч - в местах нахождения лиц из населения.</w:t>
      </w:r>
    </w:p>
    <w:p w:rsidR="00000000" w:rsidRDefault="00B2148E">
      <w:r>
        <w:t>Те же значения мощности дозы не должны превышаться при одновременной перевозке людей в кузове автомобиля и радиационных упаковок в автоприцепе.</w:t>
      </w:r>
    </w:p>
    <w:p w:rsidR="00000000" w:rsidRDefault="00B2148E">
      <w:bookmarkStart w:id="65" w:name="sub_512"/>
      <w:r>
        <w:t>5.12. При перевозке радиационных упаковок их сопровождает лицо из числа персонала.</w:t>
      </w:r>
    </w:p>
    <w:p w:rsidR="00000000" w:rsidRDefault="00B2148E">
      <w:bookmarkStart w:id="66" w:name="sub_513"/>
      <w:bookmarkEnd w:id="65"/>
      <w:r>
        <w:t>5.13. Перед погрузкой подготовленных и опломбированных радиационных упаковок отправитель измеряет мощность эквивалентной дозы излучения каждой упаковки</w:t>
      </w:r>
      <w:r>
        <w:t xml:space="preserve"> для определения транспортного индекса.</w:t>
      </w:r>
    </w:p>
    <w:p w:rsidR="00000000" w:rsidRDefault="00B2148E">
      <w:bookmarkStart w:id="67" w:name="sub_514"/>
      <w:bookmarkEnd w:id="66"/>
      <w:r>
        <w:t xml:space="preserve">5.14. Радиационные упаковки размещаются так, чтобы выполнялись требования </w:t>
      </w:r>
      <w:hyperlink w:anchor="sub_58" w:history="1">
        <w:r>
          <w:rPr>
            <w:rStyle w:val="a4"/>
          </w:rPr>
          <w:t>п.п.5.8 - 5.11</w:t>
        </w:r>
      </w:hyperlink>
      <w:r>
        <w:t xml:space="preserve"> настоящих правил. Крепление упаковок для исключения возможности их перемещения во время д</w:t>
      </w:r>
      <w:r>
        <w:t>вижения, при торможении, на поворотах и т.д. проводится под контролем водителя.</w:t>
      </w:r>
    </w:p>
    <w:p w:rsidR="00000000" w:rsidRDefault="00B2148E">
      <w:bookmarkStart w:id="68" w:name="sub_515"/>
      <w:bookmarkEnd w:id="67"/>
      <w:r>
        <w:t>5.15. Результаты проверки правильности определения транспортной категории и транспортного индекса отправитель должен записать на этикетках транспортной категории.</w:t>
      </w:r>
    </w:p>
    <w:bookmarkEnd w:id="68"/>
    <w:p w:rsidR="00000000" w:rsidRDefault="00B2148E">
      <w:r>
        <w:t>В сопроводительной накладной следует указать наименование источника, транспортную категорию, транспортный индекс и массу радиационной упаковки, а также результаты определения уровней мощностей доз.</w:t>
      </w:r>
    </w:p>
    <w:p w:rsidR="00000000" w:rsidRDefault="00B2148E">
      <w:bookmarkStart w:id="69" w:name="sub_516"/>
      <w:r>
        <w:t>5.16. Перед выездом на линию транспортных с</w:t>
      </w:r>
      <w:r>
        <w:t xml:space="preserve">редств, выделенных для перевозки источников, руководитель работ, связанных с необходимостью транспортирования источников, </w:t>
      </w:r>
      <w:r>
        <w:lastRenderedPageBreak/>
        <w:t>обязан провести подробный инструктаж водителей и сопровождающих лиц в объеме действующей в организации инструкции по мерам радиационно</w:t>
      </w:r>
      <w:r>
        <w:t>й безопасности. Во время инструктажа каждому водителю должны быть названы обязательный наиболее безопасный оптимальный маршрут движения и пункты, в которые следует обращаться при аварии. Водитель обязан иметь маршрутный лист, подписанный руководителем рабо</w:t>
      </w:r>
      <w:r>
        <w:t>т, и точно следовать указаниям, зафиксированным в маршрутном листе.</w:t>
      </w:r>
    </w:p>
    <w:p w:rsidR="00000000" w:rsidRDefault="00B2148E">
      <w:bookmarkStart w:id="70" w:name="sub_517"/>
      <w:bookmarkEnd w:id="69"/>
      <w:r>
        <w:t>5.17. Во время движения транспортного средства, загруженного радиационными упаковками, водитель (или сопровождающее лицо) должен соблюдать установленную для опасных грузов ск</w:t>
      </w:r>
      <w:r>
        <w:t xml:space="preserve">орость транспортного средства. Он обязан периодически проверять наличие пломб, а также правильность крепления и положения упаковок и в случае их смещения или ослабления крепления немедленно принять меры к восстановлению нормального положения или крепления </w:t>
      </w:r>
      <w:r>
        <w:t>радиационных упаковок.</w:t>
      </w:r>
    </w:p>
    <w:p w:rsidR="00000000" w:rsidRDefault="00B2148E">
      <w:bookmarkStart w:id="71" w:name="sub_518"/>
      <w:bookmarkEnd w:id="70"/>
      <w:r>
        <w:t>5.18. Запрещается стоянка транспортных средств с радиационными упаковками в местах постоянного пребывания людей, а также рядом с другими транспортными средствами, перевозящими людей или опасные грузы.</w:t>
      </w:r>
    </w:p>
    <w:p w:rsidR="00000000" w:rsidRDefault="00B2148E">
      <w:bookmarkStart w:id="72" w:name="sub_519"/>
      <w:bookmarkEnd w:id="71"/>
      <w:r>
        <w:t>5.19</w:t>
      </w:r>
      <w:r>
        <w:t xml:space="preserve">. При транспортировании радиационных упаковок на воздушных и водных транспортных средствах без специального оборудования (вертолетах, катерах и т.п.) радиационные упаковки должны быть размещены только внутри транспортных средств с соблюдением требований </w:t>
      </w:r>
      <w:hyperlink w:anchor="sub_58" w:history="1">
        <w:r>
          <w:rPr>
            <w:rStyle w:val="a4"/>
          </w:rPr>
          <w:t>пп.5.8 - 5.11</w:t>
        </w:r>
      </w:hyperlink>
      <w:r>
        <w:t xml:space="preserve"> настоящих правил.</w:t>
      </w:r>
    </w:p>
    <w:bookmarkEnd w:id="72"/>
    <w:p w:rsidR="00000000" w:rsidRDefault="00B2148E"/>
    <w:p w:rsidR="00000000" w:rsidRDefault="00B2148E">
      <w:pPr>
        <w:pStyle w:val="1"/>
      </w:pPr>
      <w:bookmarkStart w:id="73" w:name="sub_10600"/>
      <w:r>
        <w:t>VI. Работа с источниками на буровых скважинах</w:t>
      </w:r>
    </w:p>
    <w:bookmarkEnd w:id="73"/>
    <w:p w:rsidR="00000000" w:rsidRDefault="00B2148E"/>
    <w:p w:rsidR="00000000" w:rsidRDefault="00B2148E">
      <w:bookmarkStart w:id="74" w:name="sub_61"/>
      <w:r>
        <w:t xml:space="preserve">6.1. К работам с источниками допускаются только лица, удовлетворяющие требованиям </w:t>
      </w:r>
      <w:hyperlink w:anchor="sub_27" w:history="1">
        <w:r>
          <w:rPr>
            <w:rStyle w:val="a4"/>
          </w:rPr>
          <w:t>п.2.7</w:t>
        </w:r>
      </w:hyperlink>
      <w:r>
        <w:t xml:space="preserve"> настоящих правил. Все работы с источниками необходимо выполнять в минимально короткие сроки и распределять их между работающими так, чтобы дозы облучения каждого были минимальными.</w:t>
      </w:r>
    </w:p>
    <w:p w:rsidR="00000000" w:rsidRDefault="00B2148E">
      <w:bookmarkStart w:id="75" w:name="sub_62"/>
      <w:bookmarkEnd w:id="74"/>
      <w:r>
        <w:t>6.2. До начала работ с источниками скважина подготавливается т</w:t>
      </w:r>
      <w:r>
        <w:t>аким образом, чтобы обеспечивалось свободное прохождение скважинного прибора по ее стволу без прихвата.</w:t>
      </w:r>
    </w:p>
    <w:p w:rsidR="00000000" w:rsidRDefault="00B2148E">
      <w:bookmarkStart w:id="76" w:name="sub_63"/>
      <w:bookmarkEnd w:id="75"/>
      <w:r>
        <w:t>6.3. Все операции с источниками на буровых скважинах выполняются с помощью устройств и приспособлений для дистанционной работы в строгой тех</w:t>
      </w:r>
      <w:r>
        <w:t>нологической последовательности, определяемой инструкцией по радиационной безопасности.</w:t>
      </w:r>
    </w:p>
    <w:p w:rsidR="00000000" w:rsidRDefault="00B2148E">
      <w:bookmarkStart w:id="77" w:name="sub_64"/>
      <w:bookmarkEnd w:id="76"/>
      <w:r>
        <w:t>6.4. Устройства и приспособления для дистанционной работы обеспечивают захват и удержание источника при извлечении из защитных устройств, помещение и закреп</w:t>
      </w:r>
      <w:r>
        <w:t>ление его в зондовом устройстве, подсоединение зондового устройства к скважинному прибору, поддержание и направление скважинного прибора в устье скважины, а также выполнение обратных операций.</w:t>
      </w:r>
    </w:p>
    <w:p w:rsidR="00000000" w:rsidRDefault="00B2148E">
      <w:bookmarkStart w:id="78" w:name="sub_65"/>
      <w:bookmarkEnd w:id="77"/>
      <w:r>
        <w:t>6.5. После доставки источника или зондового устройс</w:t>
      </w:r>
      <w:r>
        <w:t xml:space="preserve">тва (хвостовика скважинного прибора с источником) на буровую площадку немедленно приступают к работе с источником на скважине или помещают его в место временного хранения с учетом требований </w:t>
      </w:r>
      <w:hyperlink w:anchor="sub_414" w:history="1">
        <w:r>
          <w:rPr>
            <w:rStyle w:val="a4"/>
          </w:rPr>
          <w:t>пп.4.14 - 4.17</w:t>
        </w:r>
      </w:hyperlink>
      <w:r>
        <w:t xml:space="preserve"> настоящих правил.</w:t>
      </w:r>
    </w:p>
    <w:p w:rsidR="00000000" w:rsidRDefault="00B2148E">
      <w:bookmarkStart w:id="79" w:name="sub_66"/>
      <w:bookmarkEnd w:id="78"/>
      <w:r>
        <w:t>6.6. Установка источника в зондовое устройство и подсоединение его к скважинному прибору производится только после предварительной очистки зондового устройства и места его подсоединения к скважинному прибору от песка, глины и других загрязнений.</w:t>
      </w:r>
    </w:p>
    <w:p w:rsidR="00000000" w:rsidRDefault="00B2148E">
      <w:bookmarkStart w:id="80" w:name="sub_67"/>
      <w:bookmarkEnd w:id="79"/>
      <w:r>
        <w:t>6.7. Подъем и опускание скважинного прибора в устье скважины, а также извлечение его из скважины должны производиться с помощью буровой, автомобильной или ручной лебедок.</w:t>
      </w:r>
    </w:p>
    <w:p w:rsidR="00000000" w:rsidRDefault="00B2148E">
      <w:bookmarkStart w:id="81" w:name="sub_68"/>
      <w:bookmarkEnd w:id="80"/>
      <w:r>
        <w:t>6.8. После окончания всех работ с источником на скважине он извле</w:t>
      </w:r>
      <w:r>
        <w:t xml:space="preserve">кается из скважинного прибора и хранится в соответствии с требованиями </w:t>
      </w:r>
      <w:hyperlink w:anchor="sub_414" w:history="1">
        <w:r>
          <w:rPr>
            <w:rStyle w:val="a4"/>
          </w:rPr>
          <w:t>пунктов 4.14 - 4.17</w:t>
        </w:r>
      </w:hyperlink>
      <w:r>
        <w:t xml:space="preserve"> настоящих правил до момента отправки к месту хранения.</w:t>
      </w:r>
    </w:p>
    <w:bookmarkEnd w:id="81"/>
    <w:p w:rsidR="00000000" w:rsidRDefault="00B2148E"/>
    <w:p w:rsidR="00000000" w:rsidRDefault="00B2148E">
      <w:pPr>
        <w:pStyle w:val="1"/>
      </w:pPr>
      <w:bookmarkStart w:id="82" w:name="sub_10700"/>
      <w:r>
        <w:t>VII. Производственный контроль</w:t>
      </w:r>
    </w:p>
    <w:bookmarkEnd w:id="82"/>
    <w:p w:rsidR="00000000" w:rsidRDefault="00B2148E"/>
    <w:p w:rsidR="00000000" w:rsidRDefault="00B2148E">
      <w:bookmarkStart w:id="83" w:name="sub_71"/>
      <w:r>
        <w:t>7.1. В организации, пр</w:t>
      </w:r>
      <w:r>
        <w:t xml:space="preserve">оводящей работы с источниками, должен осуществляться производственный радиационный контроль, основной целью которого является контроль за соблюдением требований </w:t>
      </w:r>
      <w:hyperlink r:id="rId25" w:history="1">
        <w:r>
          <w:rPr>
            <w:rStyle w:val="a4"/>
          </w:rPr>
          <w:t>НРБ-99</w:t>
        </w:r>
      </w:hyperlink>
      <w:r>
        <w:t xml:space="preserve">, </w:t>
      </w:r>
      <w:hyperlink r:id="rId26" w:history="1">
        <w:r>
          <w:rPr>
            <w:rStyle w:val="a4"/>
          </w:rPr>
          <w:t>ОСПОРБ-99</w:t>
        </w:r>
      </w:hyperlink>
      <w:r>
        <w:t>, настоящих правил и получение информации о дозах облучения персонала.</w:t>
      </w:r>
    </w:p>
    <w:bookmarkEnd w:id="83"/>
    <w:p w:rsidR="00000000" w:rsidRDefault="00B2148E">
      <w:r>
        <w:t>Программа производственного радиационного контроля разрабатывается до начала работ с источниками с учетом конкретных методов и тех</w:t>
      </w:r>
      <w:r>
        <w:t>нологии их использования и согласовывается с главным врачом (заместителем главного врача) центра госсанэпиднадзора, осуществляющего государственный санитарно-эпидемиологический надзор за деятельностью организации, и утверждается руководителем организации.</w:t>
      </w:r>
    </w:p>
    <w:p w:rsidR="00000000" w:rsidRDefault="00B2148E">
      <w:bookmarkStart w:id="84" w:name="sub_72"/>
      <w:r>
        <w:t>7.2. В зависимости от объема и характера работ с источниками производственный радиационный контроль осуществляется службой радиационной безопасности или специально назначенным администрацией организации лицом, ответственным за радиационную безопаснос</w:t>
      </w:r>
      <w:r>
        <w:t>ть. При планировании работы службы радиационной безопасности следует предусматривать необходимость обеспечения радиационного контроля при всех потенциально радиационно опасных операциях. Численность службы радиационной безопасности устанавливается таким об</w:t>
      </w:r>
      <w:r>
        <w:t>разом, чтобы обеспечить эффективный радиационный контроль при всех радиационно опасных работах.</w:t>
      </w:r>
    </w:p>
    <w:p w:rsidR="00000000" w:rsidRDefault="00B2148E">
      <w:bookmarkStart w:id="85" w:name="sub_73"/>
      <w:bookmarkEnd w:id="84"/>
      <w:r>
        <w:t>7.3. Производственному радиационному контролю подлежат радиационная обстановка на объекте (буровой площадке, местах хранения источников и др.) и инд</w:t>
      </w:r>
      <w:r>
        <w:t>ивидуальные дозы облучения персонала.</w:t>
      </w:r>
    </w:p>
    <w:p w:rsidR="00000000" w:rsidRDefault="00B2148E">
      <w:bookmarkStart w:id="86" w:name="sub_74"/>
      <w:bookmarkEnd w:id="85"/>
      <w:r>
        <w:t>7.4. Производственный радиационный контроль должен включать:</w:t>
      </w:r>
    </w:p>
    <w:p w:rsidR="00000000" w:rsidRDefault="00B2148E">
      <w:bookmarkStart w:id="87" w:name="sub_741"/>
      <w:bookmarkEnd w:id="86"/>
      <w:r>
        <w:t>а) периодический контроль за мощностью дозы гамма-излучения и плотностью потока нейтронов на рабочих местах, на поверхности транспор</w:t>
      </w:r>
      <w:r>
        <w:t>тных средств и защитных устройств, в смежных помещениях и на прилегающих участках территории объекта - не реже одного раза в квартал и при каждом изменении характера работ;</w:t>
      </w:r>
    </w:p>
    <w:p w:rsidR="00000000" w:rsidRDefault="00B2148E">
      <w:bookmarkStart w:id="88" w:name="sub_742"/>
      <w:bookmarkEnd w:id="87"/>
      <w:r>
        <w:t>б) постоянный индивидуальный дозиметрический контроль персонала групп</w:t>
      </w:r>
      <w:r>
        <w:t>ы А, в том числе и при проведении разовых работ и при транспортировке источников (при отсутствии приборов для индивидуального дозиметрического контроля персонала, работающего с нейтронными источниками, допускается оценивать дозы их облучения расчетным мето</w:t>
      </w:r>
      <w:r>
        <w:t>дом);</w:t>
      </w:r>
    </w:p>
    <w:p w:rsidR="00000000" w:rsidRDefault="00B2148E">
      <w:bookmarkStart w:id="89" w:name="sub_743"/>
      <w:bookmarkEnd w:id="88"/>
      <w:r>
        <w:t>в) периодический контроль радиоактивного загрязнения внутренних поверхностей контейнеров для переноски, транспортирования и хранения источников;</w:t>
      </w:r>
    </w:p>
    <w:p w:rsidR="00000000" w:rsidRDefault="00B2148E">
      <w:bookmarkStart w:id="90" w:name="sub_744"/>
      <w:bookmarkEnd w:id="89"/>
      <w:r>
        <w:t>г) проверку наличия источников в контейнерах и в приборах при их выдаче, возв</w:t>
      </w:r>
      <w:r>
        <w:t>рате и поступлении в хранилище.</w:t>
      </w:r>
    </w:p>
    <w:p w:rsidR="00000000" w:rsidRDefault="00B2148E">
      <w:bookmarkStart w:id="91" w:name="sub_75"/>
      <w:bookmarkEnd w:id="90"/>
      <w:r>
        <w:t>7.5. При проведении индивидуального дозиметрического контроля персонала группы А ведется учет квартальных доз, годовой эффективной дозы и суммарной дозы производственного облучения техногенными источниками за ве</w:t>
      </w:r>
      <w:r>
        <w:t xml:space="preserve">сь период профессиональной деятельности. Индивидуальные годовые эффективные дозы персонала фиксируются в карточках учета индивидуальных доз (рекомендуемая форма приведена в </w:t>
      </w:r>
      <w:hyperlink w:anchor="sub_2000" w:history="1">
        <w:r>
          <w:rPr>
            <w:rStyle w:val="a4"/>
          </w:rPr>
          <w:t>приложении N 2</w:t>
        </w:r>
      </w:hyperlink>
      <w:r>
        <w:t>). Карточки следует хранить в течение 50 ле</w:t>
      </w:r>
      <w:r>
        <w:t>т после увольнения работника. Учет ведется также в Единой государственной системе контроля и учета индивидуальных доз облучения населения Российской Федерации.</w:t>
      </w:r>
    </w:p>
    <w:bookmarkEnd w:id="91"/>
    <w:p w:rsidR="00000000" w:rsidRDefault="00B2148E">
      <w:r>
        <w:t>Копия данных об облучении работника в случае его перехода в другую организацию, где провод</w:t>
      </w:r>
      <w:r>
        <w:t>ятся работы с применением источников, должна передаваться на новое место работы; оригинал должен храниться на прежнем месте работы.</w:t>
      </w:r>
    </w:p>
    <w:p w:rsidR="00000000" w:rsidRDefault="00B2148E">
      <w:r>
        <w:t>Данные о дозах облучения прикомандированных лиц должны сообщаться по месту их постоянной работы.</w:t>
      </w:r>
    </w:p>
    <w:p w:rsidR="00000000" w:rsidRDefault="00B2148E">
      <w:bookmarkStart w:id="92" w:name="sub_76"/>
      <w:r>
        <w:t>7.6. С целью оператив</w:t>
      </w:r>
      <w:r>
        <w:t>ного контроля за радиационной обстановкой и для планирования мероприятий по защите персонала должны устанавливаться контрольные уровни мощности дозы гамма-излучения, плотности потока нейтронов и дозы внешнего облучения.</w:t>
      </w:r>
    </w:p>
    <w:p w:rsidR="00000000" w:rsidRDefault="00B2148E">
      <w:bookmarkStart w:id="93" w:name="sub_77"/>
      <w:bookmarkEnd w:id="92"/>
      <w:r>
        <w:t>7.7. Значения контрольны</w:t>
      </w:r>
      <w:r>
        <w:t xml:space="preserve">х уровней должны гарантировать ограничение доз облучения </w:t>
      </w:r>
      <w:r>
        <w:lastRenderedPageBreak/>
        <w:t xml:space="preserve">персонала в соответствии с </w:t>
      </w:r>
      <w:hyperlink r:id="rId27" w:history="1">
        <w:r>
          <w:rPr>
            <w:rStyle w:val="a4"/>
          </w:rPr>
          <w:t>НРБ-99</w:t>
        </w:r>
      </w:hyperlink>
      <w:r>
        <w:t>.</w:t>
      </w:r>
    </w:p>
    <w:bookmarkEnd w:id="93"/>
    <w:p w:rsidR="00000000" w:rsidRDefault="00B2148E"/>
    <w:p w:rsidR="00000000" w:rsidRDefault="00B2148E">
      <w:pPr>
        <w:pStyle w:val="1"/>
      </w:pPr>
      <w:bookmarkStart w:id="94" w:name="sub_10800"/>
      <w:r>
        <w:t>VIII. Мероприятия при радиационных авариях</w:t>
      </w:r>
    </w:p>
    <w:bookmarkEnd w:id="94"/>
    <w:p w:rsidR="00000000" w:rsidRDefault="00B2148E"/>
    <w:p w:rsidR="00000000" w:rsidRDefault="00B2148E">
      <w:bookmarkStart w:id="95" w:name="sub_81"/>
      <w:r>
        <w:t>8.1. Радиационной аварией</w:t>
      </w:r>
      <w:r>
        <w:t xml:space="preserve"> следует считать любую потерю управления источником, вызванную неисправностью оборудования, неправильными действиями работников (персонала), стихийными бедствиями или иными причинами, которые могли привести или привели к облучению людей выше установленных </w:t>
      </w:r>
      <w:r>
        <w:t>норм или радиоактивному загрязнению окружающей среды. К радиационным авариям относятся, в частности, утеря или разгерметизация источников, их оставление в скважине в результате обрыва кабеля скважинного прибора.</w:t>
      </w:r>
    </w:p>
    <w:p w:rsidR="00000000" w:rsidRDefault="00B2148E">
      <w:bookmarkStart w:id="96" w:name="sub_82"/>
      <w:bookmarkEnd w:id="95"/>
      <w:r>
        <w:t xml:space="preserve">8.2. На объекте, где проводятся </w:t>
      </w:r>
      <w:r>
        <w:t>работы с источниками, должна быть инструкция по действиям персонала в аварийных ситуациях, в которой перечисляются возможные аварийные ситуации при проведении работ и мероприятия по их ликвидации.</w:t>
      </w:r>
    </w:p>
    <w:p w:rsidR="00000000" w:rsidRDefault="00B2148E">
      <w:bookmarkStart w:id="97" w:name="sub_83"/>
      <w:bookmarkEnd w:id="96"/>
      <w:r>
        <w:t>8.3. При радиационной аварии принимаются все не</w:t>
      </w:r>
      <w:r>
        <w:t>обходимые меры по ее локализации, выявлению пострадавших и оказанию им необходимой помощи.</w:t>
      </w:r>
    </w:p>
    <w:p w:rsidR="00000000" w:rsidRDefault="00B2148E">
      <w:bookmarkStart w:id="98" w:name="sub_84"/>
      <w:bookmarkEnd w:id="97"/>
      <w:r>
        <w:t>8.4. Во всех случаях установления факта радиационной аварии администрация организации обязана проинформировать органы государственной власти, в том числе</w:t>
      </w:r>
      <w:r>
        <w:t xml:space="preserve"> федеральные органы исполнительной власти, осуществляющие государственный надзор и контроль в области обеспечения радиационной безопасности, а также органы местного самоуправления и территориальный орган госсанэпиднадзора.</w:t>
      </w:r>
    </w:p>
    <w:p w:rsidR="00000000" w:rsidRDefault="00B2148E">
      <w:bookmarkStart w:id="99" w:name="sub_85"/>
      <w:bookmarkEnd w:id="98"/>
      <w:r>
        <w:t>8.5. Комиссия по ликв</w:t>
      </w:r>
      <w:r>
        <w:t>идации последствий аварии обязана оценить возможные дозы облучения персонала и других лиц в результате радиационной аварии. Лица, у которых ожидаемая годовая эффективная доза превышает 200 мЗв, должны быть направлены на стационарное медицинское обследовани</w:t>
      </w:r>
      <w:r>
        <w:t>е в лечебное учреждение по указанию территориального органа госсанэпиднадзора.</w:t>
      </w:r>
    </w:p>
    <w:p w:rsidR="00000000" w:rsidRDefault="00B2148E">
      <w:bookmarkStart w:id="100" w:name="sub_86"/>
      <w:bookmarkEnd w:id="99"/>
      <w:r>
        <w:t xml:space="preserve">8.6. При обнаружении факта утраты источника или использования его для целей, не предусмотренных технологией работы, администрация организации проводит расследование </w:t>
      </w:r>
      <w:r>
        <w:t>и принимает меры к поиску утраченного источника.</w:t>
      </w:r>
    </w:p>
    <w:p w:rsidR="00000000" w:rsidRDefault="00B2148E">
      <w:bookmarkStart w:id="101" w:name="sub_87"/>
      <w:bookmarkEnd w:id="100"/>
      <w:r>
        <w:t>8.7. В случае обнаружения повреждения или отсутствия пломбы на радиационной упаковке с источниками во время ее транспортирования необходимо с помощью дозиметрических приборов убедиться в наличии источника в радиационной упаковке. При наличии источника прод</w:t>
      </w:r>
      <w:r>
        <w:t>олжать движение к месту назначения. В случае пропажи источника лицо, сопровождающее источник, оповещает о происшествии руководителя работ, территориальные органы госсанэпиднадзора и соответствующие органы.</w:t>
      </w:r>
    </w:p>
    <w:p w:rsidR="00000000" w:rsidRDefault="00B2148E">
      <w:bookmarkStart w:id="102" w:name="sub_88"/>
      <w:bookmarkEnd w:id="101"/>
      <w:r>
        <w:t>8.8. В случае прихвата скважинного при</w:t>
      </w:r>
      <w:r>
        <w:t>бора с источником работы на скважине необходимо прекратить и поставить в известность о случившемся администрацию организации, проводившей работы с источником, и заказчика работ, которые составляют план и принимают меры по освобождению скважинного прибора (</w:t>
      </w:r>
      <w:r>
        <w:t>расхаживание прибора, работы по освобождению кабеля с использованием бурового инструмента и т.д.). В дальнейшем действовать в соответствии с составленным планом для извлечения скважинного прибора с источником из скважины.</w:t>
      </w:r>
    </w:p>
    <w:p w:rsidR="00000000" w:rsidRDefault="00B2148E">
      <w:bookmarkStart w:id="103" w:name="sub_89"/>
      <w:bookmarkEnd w:id="102"/>
      <w:r>
        <w:t xml:space="preserve">8.9. При установлении </w:t>
      </w:r>
      <w:r>
        <w:t>факта невозможности извлечения прибора администрация организации, проводившей работы с источником, и заказчик работ составляют план работы по захоронению источника в скважине. В нем кроме методов досылки прибора на забой и цементирования скважины, намечают</w:t>
      </w:r>
      <w:r>
        <w:t>ся конкретные мероприятия, исключающие возможность загрязнения радиоактивными веществами оборудования и территории буровой, пройденных скважиной подземных горизонтов, в особенности водоносных, а также облучения персонала и отдельных лиц из населения. По ок</w:t>
      </w:r>
      <w:r>
        <w:t xml:space="preserve">ончании указанных работ администрацией организации, проводившей работы с источником, и заказчиком работ составляется в 5-ти экземплярах акт об окончании аварийных работ. К каждому экземпляру акта прилагается заполненная </w:t>
      </w:r>
      <w:r>
        <w:lastRenderedPageBreak/>
        <w:t>санитарно-эпидемиологическая характе</w:t>
      </w:r>
      <w:r>
        <w:t xml:space="preserve">ристика захоронения для скважины с захороненным радионуклидным источником (СЗРИ), содержащая полную информацию о захоронении в ней источника, прогноз возможности выхода активности в водяные пласты и рекомендации по ограничению отдельных видов работ в зоне </w:t>
      </w:r>
      <w:r>
        <w:t xml:space="preserve">захоронения. Форма санитарно-эпидемиологической характеристики захоронения приведена в </w:t>
      </w:r>
      <w:hyperlink w:anchor="sub_3000" w:history="1">
        <w:r>
          <w:rPr>
            <w:rStyle w:val="a4"/>
          </w:rPr>
          <w:t>приложении N 3</w:t>
        </w:r>
      </w:hyperlink>
      <w:r>
        <w:t>. По одному экземпляру акта (с приложением) представляются владельцу скважины, организации, проводившей работы с источником, в те</w:t>
      </w:r>
      <w:r>
        <w:t>рриториальный орган госсанэпиднадзора, в администрацию территории и в территориальный орган госатомнадзора. Все такие случаи ежегодно отражаются в радиационно-гигиеническом паспорте территории.</w:t>
      </w:r>
    </w:p>
    <w:p w:rsidR="00000000" w:rsidRDefault="00B2148E">
      <w:bookmarkStart w:id="104" w:name="sub_810"/>
      <w:bookmarkEnd w:id="103"/>
      <w:r>
        <w:t>8.10. В случае разгерметизации источника в скважи</w:t>
      </w:r>
      <w:r>
        <w:t>не и радиоактивного загрязнения выходящего из скважины бурового раствора все работы на скважине прекращаются. Лица, не связанные с ликвидацией последствий аварии, удаляются за пределы зоны возможного распространения радиоактивного загрязнения. Проводится р</w:t>
      </w:r>
      <w:r>
        <w:t>адиометрическое обследование места аварии и устанавливается граница зоны радиоактивного загрязнения, которая затем ограждается. На ограждении устанавливаются знаки радиационной опасности, отчетливо видимые с расстояния не менее 3 м.</w:t>
      </w:r>
    </w:p>
    <w:bookmarkEnd w:id="104"/>
    <w:p w:rsidR="00000000" w:rsidRDefault="00B2148E">
      <w:r>
        <w:t>Весь персонал, н</w:t>
      </w:r>
      <w:r>
        <w:t>аходившийся в зоне радиоактивного загрязнения, должен быть подвергнут тщательному радиометрическому контролю, и для него должны быть оценены дозы облучения.</w:t>
      </w:r>
    </w:p>
    <w:p w:rsidR="00000000" w:rsidRDefault="00B2148E">
      <w:bookmarkStart w:id="105" w:name="sub_811"/>
      <w:r>
        <w:t>8.11. При подготовке котлована для локализации загрязненного бурового раствора следует исклю</w:t>
      </w:r>
      <w:r>
        <w:t>чать контакт бурового раствора с грунтовыми водами. Объем котлована следует рассчитывать так, чтобы при заполнении его буровым раствором уровень последнего находился не ближе 1,5 м от верхней отметки котлована. По окончании работ котлован должен быть засып</w:t>
      </w:r>
      <w:r>
        <w:t>ан глинистым грунтом, утрамбован и огражден. На месте захоронения радиоактивного раствора должны быть установлены знаки радиационной опасности. Ограждение и знаки радиационной опасности сохраняются до снижения мощности дозы излучения техногенных радионукли</w:t>
      </w:r>
      <w:r>
        <w:t>дов (над природным фоном) на поверхности котлована до 0,12 мкЗв/ч. Расположение котлована выбирается в местах, удаленных от мест проживания и нахождения людей. О месте расположения котлована оповещаются органы местного самоуправления.</w:t>
      </w:r>
    </w:p>
    <w:p w:rsidR="00000000" w:rsidRDefault="00B2148E">
      <w:bookmarkStart w:id="106" w:name="sub_812"/>
      <w:bookmarkEnd w:id="105"/>
      <w:r>
        <w:t>8.12. В</w:t>
      </w:r>
      <w:r>
        <w:t xml:space="preserve"> случае обнаружения разгерметизации источника вне скважины необходимо упаковать его в пленочную или другую герметичную тару, поместить в отдельное защитное устройство и направить в специализированный пункт захоронения. Необходимо также выполнить мероприяти</w:t>
      </w:r>
      <w:r>
        <w:t xml:space="preserve">я, предусмотренные в </w:t>
      </w:r>
      <w:hyperlink w:anchor="sub_810" w:history="1">
        <w:r>
          <w:rPr>
            <w:rStyle w:val="a4"/>
          </w:rPr>
          <w:t>п.8.10</w:t>
        </w:r>
      </w:hyperlink>
      <w:r>
        <w:t xml:space="preserve"> настоящих правил.</w:t>
      </w:r>
    </w:p>
    <w:p w:rsidR="00000000" w:rsidRDefault="00B2148E">
      <w:bookmarkStart w:id="107" w:name="sub_813"/>
      <w:bookmarkEnd w:id="106"/>
      <w:r>
        <w:t>8.13. При обнаружении радиоактивного загрязнения места аварии, оборудования, инструмента и т.п. необходимо провести его дезактивацию.</w:t>
      </w:r>
    </w:p>
    <w:p w:rsidR="00000000" w:rsidRDefault="00B2148E">
      <w:bookmarkStart w:id="108" w:name="sub_814"/>
      <w:bookmarkEnd w:id="107"/>
      <w:r>
        <w:t>8.14. При обнаружении р</w:t>
      </w:r>
      <w:r>
        <w:t>адиоактивного загрязнения внутренней поверхности контейнера принимаются меры к обнаружению источника, потерявшего герметичность, и установлению причин, приведших к его разгерметизации, а также обнаружению возможного радиоактивного загрязнения рабочих повер</w:t>
      </w:r>
      <w:r>
        <w:t>хностей, транспортных средств, оборудования и одежды. О факте разгерметизации источника оповещается территориальный орган госсанэпиднадзора.</w:t>
      </w:r>
    </w:p>
    <w:bookmarkEnd w:id="108"/>
    <w:p w:rsidR="00000000" w:rsidRDefault="00B2148E"/>
    <w:p w:rsidR="00000000" w:rsidRDefault="00B2148E">
      <w:pPr>
        <w:ind w:firstLine="0"/>
      </w:pPr>
      <w:r>
        <w:t>_____________________________</w:t>
      </w:r>
    </w:p>
    <w:p w:rsidR="00000000" w:rsidRDefault="00B2148E">
      <w:bookmarkStart w:id="109" w:name="sub_3333"/>
      <w:r>
        <w:t>* Не нуждаются в государственной регистрации (Письмо Минюста России о</w:t>
      </w:r>
      <w:r>
        <w:t>т 29.07.99 N 6014-ЭР)</w:t>
      </w:r>
    </w:p>
    <w:p w:rsidR="00000000" w:rsidRDefault="00B2148E">
      <w:bookmarkStart w:id="110" w:name="sub_4444"/>
      <w:bookmarkEnd w:id="109"/>
      <w:r>
        <w:t>** Не нуждаются в государственной регистрации (Письмо Минюста России от 01.06.2000 N 4214-ЭР)</w:t>
      </w:r>
    </w:p>
    <w:bookmarkEnd w:id="110"/>
    <w:p w:rsidR="00000000" w:rsidRDefault="00B2148E"/>
    <w:p w:rsidR="00000000" w:rsidRDefault="00B2148E">
      <w:pPr>
        <w:ind w:firstLine="698"/>
        <w:jc w:val="right"/>
      </w:pPr>
      <w:bookmarkStart w:id="111" w:name="sub_1000"/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0000" w:history="1">
        <w:r>
          <w:rPr>
            <w:rStyle w:val="a4"/>
          </w:rPr>
          <w:t>СанПиН 2.6.1.1202-03</w:t>
        </w:r>
      </w:hyperlink>
    </w:p>
    <w:bookmarkEnd w:id="111"/>
    <w:p w:rsidR="00000000" w:rsidRDefault="00B2148E"/>
    <w:p w:rsidR="00000000" w:rsidRDefault="00B2148E">
      <w:pPr>
        <w:pStyle w:val="1"/>
      </w:pPr>
      <w:r>
        <w:t>Минимально значимая активность (М</w:t>
      </w:r>
      <w:r>
        <w:t xml:space="preserve">ЗА) и максимальная активность радионуклидов в </w:t>
      </w:r>
      <w:r>
        <w:lastRenderedPageBreak/>
        <w:t>источниках, допускаемых к перевозке в транспортных упаковочных комплектах типа A (A1)</w:t>
      </w:r>
    </w:p>
    <w:p w:rsidR="00000000" w:rsidRDefault="00B2148E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┌───────────────────────┬───────────────────────┬───────────────────────┐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Радионуклид      │       МЗА, МБк</w:t>
      </w:r>
      <w:hyperlink w:anchor="sub_5555" w:history="1">
        <w:r>
          <w:rPr>
            <w:rStyle w:val="a4"/>
            <w:sz w:val="22"/>
            <w:szCs w:val="22"/>
          </w:rPr>
          <w:t>*</w:t>
        </w:r>
      </w:hyperlink>
      <w:r>
        <w:rPr>
          <w:sz w:val="22"/>
          <w:szCs w:val="22"/>
        </w:rPr>
        <w:t xml:space="preserve">       │       A(1), ТБк</w:t>
      </w:r>
      <w:hyperlink w:anchor="sub_6666" w:history="1">
        <w:r>
          <w:rPr>
            <w:rStyle w:val="a4"/>
            <w:sz w:val="22"/>
            <w:szCs w:val="22"/>
          </w:rPr>
          <w:t>**</w:t>
        </w:r>
      </w:hyperlink>
      <w:r>
        <w:rPr>
          <w:sz w:val="22"/>
          <w:szCs w:val="22"/>
        </w:rPr>
        <w:t xml:space="preserve">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├───────────────────────┼───────────────────────┼───────────────────────┤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55            │                       │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│           Fe          │      </w:t>
      </w:r>
      <w:r>
        <w:rPr>
          <w:sz w:val="22"/>
          <w:szCs w:val="22"/>
        </w:rPr>
        <w:t xml:space="preserve">     1           │           40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├───────────────────────┼───────────────────────┼───────────────────────┤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57            │                       │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│           Со          │           1           │          0,5   </w:t>
      </w:r>
      <w:r>
        <w:rPr>
          <w:sz w:val="22"/>
          <w:szCs w:val="22"/>
        </w:rPr>
        <w:t xml:space="preserve">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├───────────────────────┼───────────────────────┼───────────────────────┤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60            │                       │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  Со          │          0,1          │          0,4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├───────────────────────┼</w:t>
      </w:r>
      <w:r>
        <w:rPr>
          <w:sz w:val="22"/>
          <w:szCs w:val="22"/>
        </w:rPr>
        <w:t>───────────────────────┼───────────────────────┤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65            │                       │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  Zn          │           1           │           2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├───────────────────────┼───────────────────────┼──────────</w:t>
      </w:r>
      <w:r>
        <w:rPr>
          <w:sz w:val="22"/>
          <w:szCs w:val="22"/>
        </w:rPr>
        <w:t>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75            │                       │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  Se          │           1           │           3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├───────────────────────┼───────────────────────┼───────────────────────┤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│         109      </w:t>
      </w:r>
      <w:r>
        <w:rPr>
          <w:sz w:val="22"/>
          <w:szCs w:val="22"/>
        </w:rPr>
        <w:t xml:space="preserve">     │                       │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   Cd         │           1           │           30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├───────────────────────┼───────────────────────┼───────────────────────┤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│         124           │                       │    </w:t>
      </w:r>
      <w:r>
        <w:rPr>
          <w:sz w:val="22"/>
          <w:szCs w:val="22"/>
        </w:rPr>
        <w:t xml:space="preserve">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   Sb         │           1           │          0,6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├───────────────────────┼───────────────────────┼───────────────────────┤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134           │                       │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│            </w:t>
      </w:r>
      <w:r>
        <w:rPr>
          <w:sz w:val="22"/>
          <w:szCs w:val="22"/>
        </w:rPr>
        <w:t>Cs         │         0,01          │          0,7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├───────────────────────┼───────────────────────┼───────────────────────┤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137           │                       │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│            Cs         │         0,01         </w:t>
      </w:r>
      <w:r>
        <w:rPr>
          <w:sz w:val="22"/>
          <w:szCs w:val="22"/>
        </w:rPr>
        <w:t xml:space="preserve"> │          0,5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├───────────────────────┼───────────────────────┼───────────────────────┤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139           │                       │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   Ce         │           1           │           7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</w:t>
      </w:r>
      <w:r>
        <w:rPr>
          <w:sz w:val="22"/>
          <w:szCs w:val="22"/>
        </w:rPr>
        <w:t>─────────────────┼───────────────────────┼───────────────────────┤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144           │                       │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   Ce         │          0,1          │          0,2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├───────────────────────┼────────────────</w:t>
      </w:r>
      <w:r>
        <w:rPr>
          <w:sz w:val="22"/>
          <w:szCs w:val="22"/>
        </w:rPr>
        <w:t>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147           │                       │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   Pm         │          10           │           40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├───────────────────────┼───────────────────────┼───────────────────────┤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</w:t>
      </w:r>
      <w:r>
        <w:rPr>
          <w:sz w:val="22"/>
          <w:szCs w:val="22"/>
        </w:rPr>
        <w:t xml:space="preserve">         153           │                       │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   Gd         │          10           │           10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├───────────────────────┼───────────────────────┼───────────────────────┤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│         170           │          </w:t>
      </w:r>
      <w:r>
        <w:rPr>
          <w:sz w:val="22"/>
          <w:szCs w:val="22"/>
        </w:rPr>
        <w:t xml:space="preserve">             │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   Tm         │           1           │           3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├───────────────────────┼───────────────────────┼───────────────────────┤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│         181           │                       │                    </w:t>
      </w:r>
      <w:r>
        <w:rPr>
          <w:sz w:val="22"/>
          <w:szCs w:val="22"/>
        </w:rPr>
        <w:t xml:space="preserve">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   W          │          10           │           30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├───────────────────────┼───────────────────────┼───────────────────────┤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210           │                       │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│            Po         │    </w:t>
      </w:r>
      <w:r>
        <w:rPr>
          <w:sz w:val="22"/>
          <w:szCs w:val="22"/>
        </w:rPr>
        <w:t xml:space="preserve">     0,01          │           40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├───────────────────────┼───────────────────────┼───────────────────────┤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238           │                       │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│            Pu         │         0,01          │           10 </w:t>
      </w:r>
      <w:r>
        <w:rPr>
          <w:sz w:val="22"/>
          <w:szCs w:val="22"/>
        </w:rPr>
        <w:t xml:space="preserve">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lastRenderedPageBreak/>
        <w:t>├───────────────────────┼───────────────────────┼───────────────────────┤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241           │                       │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   Am         │         0,01          │           10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</w:t>
      </w:r>
      <w:r>
        <w:rPr>
          <w:sz w:val="22"/>
          <w:szCs w:val="22"/>
        </w:rPr>
        <w:t>─┼───────────────────────┼───────────────────────┤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252           │                       │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   Cf         │         0,01          │          0,05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└───────────────────────┴───────────────────────┴────────</w:t>
      </w:r>
      <w:r>
        <w:rPr>
          <w:sz w:val="22"/>
          <w:szCs w:val="22"/>
        </w:rPr>
        <w:t>───────────────┘</w:t>
      </w:r>
    </w:p>
    <w:p w:rsidR="00000000" w:rsidRDefault="00B2148E">
      <w:pPr>
        <w:ind w:firstLine="0"/>
      </w:pPr>
      <w:r>
        <w:t>_____________________________</w:t>
      </w:r>
    </w:p>
    <w:p w:rsidR="00000000" w:rsidRDefault="00B2148E">
      <w:bookmarkStart w:id="112" w:name="sub_5555"/>
      <w:r>
        <w:t>* - 1 МБк = 10(6) Бк</w:t>
      </w:r>
    </w:p>
    <w:p w:rsidR="00000000" w:rsidRDefault="00B2148E">
      <w:bookmarkStart w:id="113" w:name="sub_6666"/>
      <w:bookmarkEnd w:id="112"/>
      <w:r>
        <w:t>** - 1 ТБк = 10(12) Бк</w:t>
      </w:r>
    </w:p>
    <w:bookmarkEnd w:id="113"/>
    <w:p w:rsidR="00000000" w:rsidRDefault="00B2148E"/>
    <w:p w:rsidR="00000000" w:rsidRDefault="00B2148E"/>
    <w:p w:rsidR="00000000" w:rsidRDefault="00B2148E">
      <w:pPr>
        <w:ind w:firstLine="698"/>
        <w:jc w:val="right"/>
      </w:pPr>
      <w:bookmarkStart w:id="114" w:name="sub_2000"/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10000" w:history="1">
        <w:r>
          <w:rPr>
            <w:rStyle w:val="a4"/>
          </w:rPr>
          <w:t>СанПиН 2.6.1.1202-03</w:t>
        </w:r>
      </w:hyperlink>
    </w:p>
    <w:bookmarkEnd w:id="114"/>
    <w:p w:rsidR="00000000" w:rsidRDefault="00B2148E"/>
    <w:p w:rsidR="00000000" w:rsidRDefault="00B2148E">
      <w:pPr>
        <w:pStyle w:val="1"/>
      </w:pPr>
      <w:r>
        <w:t>Карточка учета индивидуальных доз облучения персонала</w:t>
      </w:r>
    </w:p>
    <w:p w:rsidR="00000000" w:rsidRDefault="00B2148E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   _______________________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(наименование учреждения, подразделения)           (дата заполнения)</w:t>
      </w:r>
    </w:p>
    <w:p w:rsidR="00000000" w:rsidRDefault="00B2148E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Карточка учета индивидуальных доз N ___</w:t>
      </w:r>
      <w:r>
        <w:rPr>
          <w:sz w:val="22"/>
          <w:szCs w:val="22"/>
        </w:rPr>
        <w:t>___</w:t>
      </w:r>
    </w:p>
    <w:p w:rsidR="00000000" w:rsidRDefault="00B2148E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1. ____________________________  2. ____________    3. _____________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фамилия, имя, отчество        год рождения            пол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4. _________________________________________________________________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должность, дома</w:t>
      </w:r>
      <w:r>
        <w:rPr>
          <w:sz w:val="22"/>
          <w:szCs w:val="22"/>
        </w:rPr>
        <w:t>шний адрес, телефон</w:t>
      </w:r>
    </w:p>
    <w:p w:rsidR="00000000" w:rsidRDefault="00B2148E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Стаж работы в радиационно опасных условиях _________________________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Общая доза облучения на момент заполнения карты ____________________</w:t>
      </w:r>
    </w:p>
    <w:p w:rsidR="00000000" w:rsidRDefault="00B2148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1891"/>
        <w:gridCol w:w="600"/>
        <w:gridCol w:w="600"/>
        <w:gridCol w:w="580"/>
        <w:gridCol w:w="723"/>
        <w:gridCol w:w="1135"/>
        <w:gridCol w:w="1135"/>
        <w:gridCol w:w="1135"/>
        <w:gridCol w:w="1701"/>
      </w:tblGrid>
      <w:tr w:rsidR="00000000" w:rsidRPr="00B2148E">
        <w:tblPrEx>
          <w:tblCellMar>
            <w:top w:w="0" w:type="dxa"/>
            <w:bottom w:w="0" w:type="dxa"/>
          </w:tblCellMar>
        </w:tblPrEx>
        <w:tc>
          <w:tcPr>
            <w:tcW w:w="8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Год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Характер работы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Квартальные дозы, мЗв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Годовая доза, мЗв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Примечание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Подписи</w:t>
            </w:r>
          </w:p>
        </w:tc>
      </w:tr>
      <w:tr w:rsidR="00000000" w:rsidRPr="00B2148E">
        <w:tblPrEx>
          <w:tblCellMar>
            <w:top w:w="0" w:type="dxa"/>
            <w:bottom w:w="0" w:type="dxa"/>
          </w:tblCellMar>
        </w:tblPrEx>
        <w:tc>
          <w:tcPr>
            <w:tcW w:w="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II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III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IV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Дозиметрист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2148E" w:rsidRDefault="00B2148E">
            <w:pPr>
              <w:pStyle w:val="a7"/>
              <w:jc w:val="center"/>
            </w:pPr>
            <w:r w:rsidRPr="00B2148E">
              <w:t>Начальник службы радиационной безопасности</w:t>
            </w:r>
          </w:p>
        </w:tc>
      </w:tr>
      <w:tr w:rsidR="00000000" w:rsidRPr="00B2148E">
        <w:tblPrEx>
          <w:tblCellMar>
            <w:top w:w="0" w:type="dxa"/>
            <w:bottom w:w="0" w:type="dxa"/>
          </w:tblCellMar>
        </w:tblPrEx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</w:tr>
      <w:tr w:rsidR="00000000" w:rsidRPr="00B2148E">
        <w:tblPrEx>
          <w:tblCellMar>
            <w:top w:w="0" w:type="dxa"/>
            <w:bottom w:w="0" w:type="dxa"/>
          </w:tblCellMar>
        </w:tblPrEx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</w:tr>
      <w:tr w:rsidR="00000000" w:rsidRPr="00B2148E">
        <w:tblPrEx>
          <w:tblCellMar>
            <w:top w:w="0" w:type="dxa"/>
            <w:bottom w:w="0" w:type="dxa"/>
          </w:tblCellMar>
        </w:tblPrEx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</w:tr>
      <w:tr w:rsidR="00000000" w:rsidRPr="00B2148E">
        <w:tblPrEx>
          <w:tblCellMar>
            <w:top w:w="0" w:type="dxa"/>
            <w:bottom w:w="0" w:type="dxa"/>
          </w:tblCellMar>
        </w:tblPrEx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</w:tr>
      <w:tr w:rsidR="00000000" w:rsidRPr="00B2148E">
        <w:tblPrEx>
          <w:tblCellMar>
            <w:top w:w="0" w:type="dxa"/>
            <w:bottom w:w="0" w:type="dxa"/>
          </w:tblCellMar>
        </w:tblPrEx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</w:tr>
      <w:tr w:rsidR="00000000" w:rsidRPr="00B2148E">
        <w:tblPrEx>
          <w:tblCellMar>
            <w:top w:w="0" w:type="dxa"/>
            <w:bottom w:w="0" w:type="dxa"/>
          </w:tblCellMar>
        </w:tblPrEx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2148E" w:rsidRDefault="00B2148E">
            <w:pPr>
              <w:pStyle w:val="a7"/>
            </w:pPr>
          </w:p>
        </w:tc>
      </w:tr>
    </w:tbl>
    <w:p w:rsidR="00000000" w:rsidRDefault="00B2148E"/>
    <w:p w:rsidR="00000000" w:rsidRDefault="00B2148E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15" w:name="sub_3000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15"/>
    <w:p w:rsidR="00000000" w:rsidRDefault="00B2148E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данную форму в редакторе MS-Excel</w:t>
      </w:r>
    </w:p>
    <w:p w:rsidR="00000000" w:rsidRDefault="00B2148E">
      <w:pPr>
        <w:ind w:firstLine="698"/>
        <w:jc w:val="right"/>
      </w:pPr>
      <w:r>
        <w:rPr>
          <w:rStyle w:val="a3"/>
        </w:rPr>
        <w:t>Приложение N 3</w:t>
      </w:r>
      <w:r>
        <w:rPr>
          <w:rStyle w:val="a3"/>
        </w:rPr>
        <w:br/>
        <w:t xml:space="preserve">к </w:t>
      </w:r>
      <w:hyperlink w:anchor="sub_10000" w:history="1">
        <w:r>
          <w:rPr>
            <w:rStyle w:val="a4"/>
          </w:rPr>
          <w:t>СанПиН 2.6.1.1202-03</w:t>
        </w:r>
      </w:hyperlink>
    </w:p>
    <w:p w:rsidR="00000000" w:rsidRDefault="00B2148E"/>
    <w:p w:rsidR="00000000" w:rsidRDefault="00B2148E">
      <w:pPr>
        <w:pStyle w:val="1"/>
      </w:pPr>
      <w:r>
        <w:t>Санитарно-эпидемиологическая характеристика захоронения</w:t>
      </w:r>
    </w:p>
    <w:p w:rsidR="00000000" w:rsidRDefault="00B2148E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│        </w:t>
      </w:r>
      <w:r>
        <w:rPr>
          <w:rStyle w:val="a3"/>
          <w:sz w:val="22"/>
          <w:szCs w:val="22"/>
        </w:rPr>
        <w:t>Санитарно-эпидемиологическая характеристика захоронения</w:t>
      </w:r>
      <w:r>
        <w:rPr>
          <w:sz w:val="22"/>
          <w:szCs w:val="22"/>
        </w:rPr>
        <w:t xml:space="preserve">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│                         </w:t>
      </w:r>
      <w:r>
        <w:rPr>
          <w:sz w:val="22"/>
          <w:szCs w:val="22"/>
        </w:rPr>
        <w:t xml:space="preserve">                              ┌───────────────┤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bookmarkStart w:id="116" w:name="sub_3100"/>
      <w:r>
        <w:rPr>
          <w:sz w:val="22"/>
          <w:szCs w:val="22"/>
        </w:rPr>
        <w:t xml:space="preserve">│                                                       │  </w:t>
      </w:r>
      <w:r>
        <w:rPr>
          <w:rStyle w:val="a3"/>
          <w:sz w:val="22"/>
          <w:szCs w:val="22"/>
        </w:rPr>
        <w:t>Лист 1 из 2</w:t>
      </w:r>
      <w:r>
        <w:rPr>
          <w:sz w:val="22"/>
          <w:szCs w:val="22"/>
        </w:rPr>
        <w:t xml:space="preserve">  │</w:t>
      </w:r>
    </w:p>
    <w:bookmarkEnd w:id="116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├───────────────────────────────────────────────────────┴───────────────┤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bookmarkStart w:id="117" w:name="sub_3101"/>
      <w:r>
        <w:rPr>
          <w:sz w:val="22"/>
          <w:szCs w:val="22"/>
        </w:rPr>
        <w:t>│1. Организация, допустившая обрыв и</w:t>
      </w:r>
      <w:r>
        <w:rPr>
          <w:sz w:val="22"/>
          <w:szCs w:val="22"/>
        </w:rPr>
        <w:t>сточника                            │</w:t>
      </w:r>
    </w:p>
    <w:p w:rsidR="00000000" w:rsidRDefault="00B2148E">
      <w:pPr>
        <w:pStyle w:val="a8"/>
        <w:rPr>
          <w:sz w:val="22"/>
          <w:szCs w:val="22"/>
        </w:rPr>
      </w:pPr>
      <w:bookmarkStart w:id="118" w:name="sub_31011"/>
      <w:bookmarkEnd w:id="117"/>
      <w:r>
        <w:rPr>
          <w:sz w:val="22"/>
          <w:szCs w:val="22"/>
        </w:rPr>
        <w:t>│1.1. Наименование организации (предприятия) ___________________________│</w:t>
      </w:r>
    </w:p>
    <w:p w:rsidR="00000000" w:rsidRDefault="00B2148E">
      <w:pPr>
        <w:pStyle w:val="a8"/>
        <w:rPr>
          <w:sz w:val="22"/>
          <w:szCs w:val="22"/>
        </w:rPr>
      </w:pPr>
      <w:bookmarkStart w:id="119" w:name="sub_31012"/>
      <w:bookmarkEnd w:id="118"/>
      <w:r>
        <w:rPr>
          <w:sz w:val="22"/>
          <w:szCs w:val="22"/>
        </w:rPr>
        <w:t>│1.2. Ведомственная принадлежность 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bookmarkStart w:id="120" w:name="sub_31013"/>
      <w:bookmarkEnd w:id="119"/>
      <w:r>
        <w:rPr>
          <w:sz w:val="22"/>
          <w:szCs w:val="22"/>
        </w:rPr>
        <w:t>│1.3. Индекс ____</w:t>
      </w:r>
      <w:r>
        <w:rPr>
          <w:sz w:val="22"/>
          <w:szCs w:val="22"/>
        </w:rPr>
        <w:t>_________ 1.4. Область 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bookmarkStart w:id="121" w:name="sub_31015"/>
      <w:bookmarkEnd w:id="120"/>
      <w:r>
        <w:rPr>
          <w:sz w:val="22"/>
          <w:szCs w:val="22"/>
        </w:rPr>
        <w:t>│1.5. Район ___________________ 1.6. Населенный пункт __________________│</w:t>
      </w:r>
    </w:p>
    <w:p w:rsidR="00000000" w:rsidRDefault="00B2148E">
      <w:pPr>
        <w:pStyle w:val="a8"/>
        <w:rPr>
          <w:sz w:val="22"/>
          <w:szCs w:val="22"/>
        </w:rPr>
      </w:pPr>
      <w:bookmarkStart w:id="122" w:name="sub_31017"/>
      <w:bookmarkEnd w:id="121"/>
      <w:r>
        <w:rPr>
          <w:sz w:val="22"/>
          <w:szCs w:val="22"/>
        </w:rPr>
        <w:t>│1.7. Улица __________________________________ 1.8. Дом ________________│</w:t>
      </w:r>
    </w:p>
    <w:bookmarkEnd w:id="122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│* Инф</w:t>
      </w:r>
      <w:r>
        <w:rPr>
          <w:sz w:val="22"/>
          <w:szCs w:val="22"/>
        </w:rPr>
        <w:t>ормация этого раздела заполняется по состоянию на  момент  обрыва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источника                                     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bookmarkStart w:id="123" w:name="sub_3102"/>
      <w:r>
        <w:rPr>
          <w:sz w:val="22"/>
          <w:szCs w:val="22"/>
        </w:rPr>
        <w:t>│2. Организация, во владении (ра</w:t>
      </w:r>
      <w:r>
        <w:rPr>
          <w:sz w:val="22"/>
          <w:szCs w:val="22"/>
        </w:rPr>
        <w:t>споряжении) которой находится СЗРИ      │</w:t>
      </w:r>
    </w:p>
    <w:p w:rsidR="00000000" w:rsidRDefault="00B2148E">
      <w:pPr>
        <w:pStyle w:val="a8"/>
        <w:rPr>
          <w:sz w:val="22"/>
          <w:szCs w:val="22"/>
        </w:rPr>
      </w:pPr>
      <w:bookmarkStart w:id="124" w:name="sub_31021"/>
      <w:bookmarkEnd w:id="123"/>
      <w:r>
        <w:rPr>
          <w:sz w:val="22"/>
          <w:szCs w:val="22"/>
        </w:rPr>
        <w:t>│2.1. Наименование организации (предприятия) ___________________________│</w:t>
      </w:r>
    </w:p>
    <w:p w:rsidR="00000000" w:rsidRDefault="00B2148E">
      <w:pPr>
        <w:pStyle w:val="a8"/>
        <w:rPr>
          <w:sz w:val="22"/>
          <w:szCs w:val="22"/>
        </w:rPr>
      </w:pPr>
      <w:bookmarkStart w:id="125" w:name="sub_31022"/>
      <w:bookmarkEnd w:id="124"/>
      <w:r>
        <w:rPr>
          <w:sz w:val="22"/>
          <w:szCs w:val="22"/>
        </w:rPr>
        <w:t>│2.2. Ведомственная принадлежность 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bookmarkStart w:id="126" w:name="sub_31023"/>
      <w:bookmarkEnd w:id="125"/>
      <w:r>
        <w:rPr>
          <w:sz w:val="22"/>
          <w:szCs w:val="22"/>
        </w:rPr>
        <w:t xml:space="preserve">│2.3. Индекс </w:t>
      </w:r>
      <w:r>
        <w:rPr>
          <w:sz w:val="22"/>
          <w:szCs w:val="22"/>
        </w:rPr>
        <w:t>_____________ 2.4. Область 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bookmarkStart w:id="127" w:name="sub_31025"/>
      <w:bookmarkEnd w:id="126"/>
      <w:r>
        <w:rPr>
          <w:sz w:val="22"/>
          <w:szCs w:val="22"/>
        </w:rPr>
        <w:t>│2.5. Район ___________________ 2.6. Населенный пункт __________________│</w:t>
      </w:r>
    </w:p>
    <w:p w:rsidR="00000000" w:rsidRDefault="00B2148E">
      <w:pPr>
        <w:pStyle w:val="a8"/>
        <w:rPr>
          <w:sz w:val="22"/>
          <w:szCs w:val="22"/>
        </w:rPr>
      </w:pPr>
      <w:bookmarkStart w:id="128" w:name="sub_31027"/>
      <w:bookmarkEnd w:id="127"/>
      <w:r>
        <w:rPr>
          <w:sz w:val="22"/>
          <w:szCs w:val="22"/>
        </w:rPr>
        <w:t>│2.7. Улица __________________________________ 2.8. Дом ________________│</w:t>
      </w:r>
    </w:p>
    <w:p w:rsidR="00000000" w:rsidRDefault="00B2148E">
      <w:pPr>
        <w:pStyle w:val="a8"/>
        <w:rPr>
          <w:sz w:val="22"/>
          <w:szCs w:val="22"/>
        </w:rPr>
      </w:pPr>
      <w:bookmarkStart w:id="129" w:name="sub_31029"/>
      <w:bookmarkEnd w:id="128"/>
      <w:r>
        <w:rPr>
          <w:sz w:val="22"/>
          <w:szCs w:val="22"/>
        </w:rPr>
        <w:t>│2.9. Телефон администрации  ________________ 2.10. Факс  ______________│</w:t>
      </w:r>
    </w:p>
    <w:p w:rsidR="00000000" w:rsidRDefault="00B2148E">
      <w:pPr>
        <w:pStyle w:val="a8"/>
        <w:rPr>
          <w:sz w:val="22"/>
          <w:szCs w:val="22"/>
        </w:rPr>
      </w:pPr>
      <w:bookmarkStart w:id="130" w:name="sub_310211"/>
      <w:bookmarkEnd w:id="129"/>
      <w:r>
        <w:rPr>
          <w:sz w:val="22"/>
          <w:szCs w:val="22"/>
        </w:rPr>
        <w:t>│2.11. Продолжительность владения (распоряжения) участком с СЗРИ ___ лет│</w:t>
      </w:r>
    </w:p>
    <w:bookmarkEnd w:id="130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│*   информация этого раздела заполняется по  состоянию на момент       </w:t>
      </w:r>
      <w:r>
        <w:rPr>
          <w:sz w:val="22"/>
          <w:szCs w:val="22"/>
        </w:rPr>
        <w:t>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заполнения                                  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bookmarkStart w:id="131" w:name="sub_3103"/>
      <w:r>
        <w:rPr>
          <w:sz w:val="22"/>
          <w:szCs w:val="22"/>
        </w:rPr>
        <w:t>│3. Местоположение СЗРИ                                                 │</w:t>
      </w:r>
    </w:p>
    <w:p w:rsidR="00000000" w:rsidRDefault="00B2148E">
      <w:pPr>
        <w:pStyle w:val="a8"/>
        <w:rPr>
          <w:sz w:val="22"/>
          <w:szCs w:val="22"/>
        </w:rPr>
      </w:pPr>
      <w:bookmarkStart w:id="132" w:name="sub_31031"/>
      <w:bookmarkEnd w:id="131"/>
      <w:r>
        <w:rPr>
          <w:sz w:val="22"/>
          <w:szCs w:val="22"/>
        </w:rPr>
        <w:t>│3.1. Н</w:t>
      </w:r>
      <w:r>
        <w:rPr>
          <w:sz w:val="22"/>
          <w:szCs w:val="22"/>
        </w:rPr>
        <w:t>аименование месторождения  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bookmarkStart w:id="133" w:name="sub_31032"/>
      <w:bookmarkEnd w:id="132"/>
      <w:r>
        <w:rPr>
          <w:sz w:val="22"/>
          <w:szCs w:val="22"/>
        </w:rPr>
        <w:t>│3.2. Скважина N _______________________ 3.3. Куст N ___________________│</w:t>
      </w:r>
    </w:p>
    <w:p w:rsidR="00000000" w:rsidRDefault="00B2148E">
      <w:pPr>
        <w:pStyle w:val="a8"/>
        <w:rPr>
          <w:sz w:val="22"/>
          <w:szCs w:val="22"/>
        </w:rPr>
      </w:pPr>
      <w:bookmarkStart w:id="134" w:name="sub_31034"/>
      <w:bookmarkEnd w:id="133"/>
      <w:r>
        <w:rPr>
          <w:sz w:val="22"/>
          <w:szCs w:val="22"/>
        </w:rPr>
        <w:t>│3.4. Географические координаты скважины:                               │</w:t>
      </w:r>
    </w:p>
    <w:bookmarkEnd w:id="134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______ градусов ______ минут ______ секунд северной широты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______ градусов ______ минут ______ секунд восточной долготы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bookmarkStart w:id="135" w:name="sub_3104"/>
      <w:r>
        <w:rPr>
          <w:sz w:val="22"/>
          <w:szCs w:val="22"/>
        </w:rPr>
        <w:t>│4. Параметры обо</w:t>
      </w:r>
      <w:r>
        <w:rPr>
          <w:sz w:val="22"/>
          <w:szCs w:val="22"/>
        </w:rPr>
        <w:t>рванного радионуклидного источника                     │</w:t>
      </w:r>
    </w:p>
    <w:p w:rsidR="00000000" w:rsidRDefault="00B2148E">
      <w:pPr>
        <w:pStyle w:val="a8"/>
        <w:rPr>
          <w:sz w:val="22"/>
          <w:szCs w:val="22"/>
        </w:rPr>
      </w:pPr>
      <w:bookmarkStart w:id="136" w:name="sub_31041"/>
      <w:bookmarkEnd w:id="135"/>
      <w:r>
        <w:rPr>
          <w:sz w:val="22"/>
          <w:szCs w:val="22"/>
        </w:rPr>
        <w:t>│4.1. Тип (марка) источника ______________ 4.2. Заводской номер ________│</w:t>
      </w:r>
    </w:p>
    <w:p w:rsidR="00000000" w:rsidRDefault="00B2148E">
      <w:pPr>
        <w:pStyle w:val="a8"/>
        <w:rPr>
          <w:sz w:val="22"/>
          <w:szCs w:val="22"/>
        </w:rPr>
      </w:pPr>
      <w:bookmarkStart w:id="137" w:name="sub_31043"/>
      <w:bookmarkEnd w:id="136"/>
      <w:r>
        <w:rPr>
          <w:sz w:val="22"/>
          <w:szCs w:val="22"/>
        </w:rPr>
        <w:t>│4.3. Радионуклид ___ 4.4. Активность* __ МБк 4.4. Период полураспада __│</w:t>
      </w:r>
    </w:p>
    <w:p w:rsidR="00000000" w:rsidRDefault="00B2148E">
      <w:pPr>
        <w:pStyle w:val="a8"/>
        <w:rPr>
          <w:sz w:val="22"/>
          <w:szCs w:val="22"/>
        </w:rPr>
      </w:pPr>
      <w:bookmarkStart w:id="138" w:name="sub_31045"/>
      <w:bookmarkEnd w:id="137"/>
      <w:r>
        <w:rPr>
          <w:sz w:val="22"/>
          <w:szCs w:val="22"/>
        </w:rPr>
        <w:t>│4.5. Дата изготовления источника ___ 4.6. Дата захоронения источника __│</w:t>
      </w:r>
    </w:p>
    <w:p w:rsidR="00000000" w:rsidRDefault="00B2148E">
      <w:pPr>
        <w:pStyle w:val="a8"/>
        <w:rPr>
          <w:sz w:val="22"/>
          <w:szCs w:val="22"/>
        </w:rPr>
      </w:pPr>
      <w:bookmarkStart w:id="139" w:name="sub_31047"/>
      <w:bookmarkEnd w:id="138"/>
      <w:r>
        <w:rPr>
          <w:sz w:val="22"/>
          <w:szCs w:val="22"/>
        </w:rPr>
        <w:t>│4.7. Назначенный срок эксплуатации источника _________ лет             │</w:t>
      </w:r>
    </w:p>
    <w:bookmarkEnd w:id="139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│*   Активность    источника   приводится   по   паспорту   (на   момент│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│    </w:t>
      </w:r>
      <w:r>
        <w:rPr>
          <w:sz w:val="22"/>
          <w:szCs w:val="22"/>
        </w:rPr>
        <w:t>изготовления)                               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bookmarkStart w:id="140" w:name="sub_3105"/>
      <w:r>
        <w:rPr>
          <w:sz w:val="22"/>
          <w:szCs w:val="22"/>
        </w:rPr>
        <w:t>│5. Геофизический снаряд, содержащий радионуклидный источник            │</w:t>
      </w:r>
    </w:p>
    <w:p w:rsidR="00000000" w:rsidRDefault="00B2148E">
      <w:pPr>
        <w:pStyle w:val="a8"/>
        <w:rPr>
          <w:sz w:val="22"/>
          <w:szCs w:val="22"/>
        </w:rPr>
      </w:pPr>
      <w:bookmarkStart w:id="141" w:name="sub_31051"/>
      <w:bookmarkEnd w:id="140"/>
      <w:r>
        <w:rPr>
          <w:sz w:val="22"/>
          <w:szCs w:val="22"/>
        </w:rPr>
        <w:t>│5.1. Тип (мар</w:t>
      </w:r>
      <w:r>
        <w:rPr>
          <w:sz w:val="22"/>
          <w:szCs w:val="22"/>
        </w:rPr>
        <w:t>ка) ________________ 5.2. Заводской номер ________________│</w:t>
      </w:r>
    </w:p>
    <w:p w:rsidR="00000000" w:rsidRDefault="00B2148E">
      <w:pPr>
        <w:pStyle w:val="a8"/>
        <w:rPr>
          <w:sz w:val="22"/>
          <w:szCs w:val="22"/>
        </w:rPr>
      </w:pPr>
      <w:bookmarkStart w:id="142" w:name="sub_31053"/>
      <w:bookmarkEnd w:id="141"/>
      <w:r>
        <w:rPr>
          <w:sz w:val="22"/>
          <w:szCs w:val="22"/>
        </w:rPr>
        <w:t>│5.3. Дата изготовления ________ 5.4. Паспортный срок эксплуатации _____│</w:t>
      </w:r>
    </w:p>
    <w:p w:rsidR="00000000" w:rsidRDefault="00B2148E">
      <w:pPr>
        <w:pStyle w:val="a8"/>
        <w:rPr>
          <w:sz w:val="22"/>
          <w:szCs w:val="22"/>
        </w:rPr>
      </w:pPr>
      <w:bookmarkStart w:id="143" w:name="sub_31055"/>
      <w:bookmarkEnd w:id="142"/>
      <w:r>
        <w:rPr>
          <w:sz w:val="22"/>
          <w:szCs w:val="22"/>
        </w:rPr>
        <w:t>│5.5. Характеристика износа ____________________________________________│</w:t>
      </w:r>
    </w:p>
    <w:bookmarkEnd w:id="143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</w:t>
      </w:r>
      <w:r>
        <w:rPr>
          <w:sz w:val="22"/>
          <w:szCs w:val="22"/>
        </w:rPr>
        <w:t>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└───────────────────────────────────────────────────────────────────────┘</w:t>
      </w:r>
    </w:p>
    <w:p w:rsidR="00000000" w:rsidRDefault="00B2148E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┌───────────────────────────────────</w:t>
      </w:r>
      <w:r>
        <w:rPr>
          <w:sz w:val="22"/>
          <w:szCs w:val="22"/>
        </w:rPr>
        <w:t>────────────────────────────────────┐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│        </w:t>
      </w:r>
      <w:r>
        <w:rPr>
          <w:rStyle w:val="a3"/>
          <w:sz w:val="22"/>
          <w:szCs w:val="22"/>
        </w:rPr>
        <w:t>Санитарно-эпидемиологическая характеристика захоронения</w:t>
      </w:r>
      <w:r>
        <w:rPr>
          <w:sz w:val="22"/>
          <w:szCs w:val="22"/>
        </w:rPr>
        <w:t xml:space="preserve">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                                              ┌───────────────┤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bookmarkStart w:id="144" w:name="sub_3200"/>
      <w:r>
        <w:rPr>
          <w:sz w:val="22"/>
          <w:szCs w:val="22"/>
        </w:rPr>
        <w:t xml:space="preserve">│                                                       │  </w:t>
      </w:r>
      <w:r>
        <w:rPr>
          <w:rStyle w:val="a3"/>
          <w:sz w:val="22"/>
          <w:szCs w:val="22"/>
        </w:rPr>
        <w:t>Лис</w:t>
      </w:r>
      <w:r>
        <w:rPr>
          <w:rStyle w:val="a3"/>
          <w:sz w:val="22"/>
          <w:szCs w:val="22"/>
        </w:rPr>
        <w:t>т 2 из 2</w:t>
      </w:r>
      <w:r>
        <w:rPr>
          <w:sz w:val="22"/>
          <w:szCs w:val="22"/>
        </w:rPr>
        <w:t xml:space="preserve">  │</w:t>
      </w:r>
    </w:p>
    <w:bookmarkEnd w:id="144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├───────────────────────────────────────────────────────┴───────────────┤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bookmarkStart w:id="145" w:name="sub_3206"/>
      <w:r>
        <w:rPr>
          <w:sz w:val="22"/>
          <w:szCs w:val="22"/>
        </w:rPr>
        <w:t>│6. Параметры захоронения источника                                     │</w:t>
      </w:r>
    </w:p>
    <w:p w:rsidR="00000000" w:rsidRDefault="00B2148E">
      <w:pPr>
        <w:pStyle w:val="a8"/>
        <w:rPr>
          <w:sz w:val="22"/>
          <w:szCs w:val="22"/>
        </w:rPr>
      </w:pPr>
      <w:bookmarkStart w:id="146" w:name="sub_32061"/>
      <w:bookmarkEnd w:id="145"/>
      <w:r>
        <w:rPr>
          <w:sz w:val="22"/>
          <w:szCs w:val="22"/>
        </w:rPr>
        <w:lastRenderedPageBreak/>
        <w:t xml:space="preserve">│6.1. Глубина захоронения источника ___ м                      </w:t>
      </w:r>
      <w:r>
        <w:rPr>
          <w:sz w:val="22"/>
          <w:szCs w:val="22"/>
        </w:rPr>
        <w:t xml:space="preserve">         │</w:t>
      </w:r>
    </w:p>
    <w:p w:rsidR="00000000" w:rsidRDefault="00B2148E">
      <w:pPr>
        <w:pStyle w:val="a8"/>
        <w:rPr>
          <w:sz w:val="22"/>
          <w:szCs w:val="22"/>
        </w:rPr>
      </w:pPr>
      <w:bookmarkStart w:id="147" w:name="sub_32062"/>
      <w:bookmarkEnd w:id="146"/>
      <w:r>
        <w:rPr>
          <w:sz w:val="22"/>
          <w:szCs w:val="22"/>
        </w:rPr>
        <w:t>│6.2. Высота цементного моста ____ м                                    │</w:t>
      </w:r>
    </w:p>
    <w:p w:rsidR="00000000" w:rsidRDefault="00B2148E">
      <w:pPr>
        <w:pStyle w:val="a8"/>
        <w:rPr>
          <w:sz w:val="22"/>
          <w:szCs w:val="22"/>
        </w:rPr>
      </w:pPr>
      <w:bookmarkStart w:id="148" w:name="sub_32063"/>
      <w:bookmarkEnd w:id="147"/>
      <w:r>
        <w:rPr>
          <w:sz w:val="22"/>
          <w:szCs w:val="22"/>
        </w:rPr>
        <w:t>│6.3. Расстояние до продуктивного пласта _ м скважина не эксплуатируется│</w:t>
      </w:r>
    </w:p>
    <w:p w:rsidR="00000000" w:rsidRDefault="00B2148E">
      <w:pPr>
        <w:pStyle w:val="a8"/>
        <w:rPr>
          <w:sz w:val="22"/>
          <w:szCs w:val="22"/>
        </w:rPr>
      </w:pPr>
      <w:bookmarkStart w:id="149" w:name="sub_32064"/>
      <w:bookmarkEnd w:id="148"/>
      <w:r>
        <w:rPr>
          <w:sz w:val="22"/>
          <w:szCs w:val="22"/>
        </w:rPr>
        <w:t>│6.4. Расстояние до водоносного горизонта _</w:t>
      </w:r>
      <w:r>
        <w:rPr>
          <w:sz w:val="22"/>
          <w:szCs w:val="22"/>
        </w:rPr>
        <w:t xml:space="preserve"> м горизонт не используется  │</w:t>
      </w:r>
    </w:p>
    <w:bookmarkEnd w:id="149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для водоснабжения                          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bookmarkStart w:id="150" w:name="sub_3207"/>
      <w:r>
        <w:rPr>
          <w:sz w:val="22"/>
          <w:szCs w:val="22"/>
        </w:rPr>
        <w:t xml:space="preserve">│7. Геологические характеристики зоны захоронения           </w:t>
      </w:r>
      <w:r>
        <w:rPr>
          <w:sz w:val="22"/>
          <w:szCs w:val="22"/>
        </w:rPr>
        <w:t xml:space="preserve">            │</w:t>
      </w:r>
    </w:p>
    <w:bookmarkEnd w:id="150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</w:t>
      </w:r>
      <w:r>
        <w:rPr>
          <w:sz w:val="22"/>
          <w:szCs w:val="22"/>
        </w:rPr>
        <w:t>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</w:t>
      </w:r>
      <w:r>
        <w:rPr>
          <w:sz w:val="22"/>
          <w:szCs w:val="22"/>
        </w:rPr>
        <w:t>──────────────────────────┤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bookmarkStart w:id="151" w:name="sub_3208"/>
      <w:r>
        <w:rPr>
          <w:sz w:val="22"/>
          <w:szCs w:val="22"/>
        </w:rPr>
        <w:t>│8. Краткое описание технологии захоронения                             │</w:t>
      </w:r>
    </w:p>
    <w:bookmarkEnd w:id="151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</w:t>
      </w:r>
      <w:r>
        <w:rPr>
          <w:sz w:val="22"/>
          <w:szCs w:val="22"/>
        </w:rPr>
        <w:t>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</w:t>
      </w:r>
      <w:r>
        <w:rPr>
          <w:sz w:val="22"/>
          <w:szCs w:val="22"/>
        </w:rPr>
        <w:t>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bookmarkStart w:id="152" w:name="sub_3209"/>
      <w:r>
        <w:rPr>
          <w:sz w:val="22"/>
          <w:szCs w:val="22"/>
        </w:rPr>
        <w:t xml:space="preserve">│9. Дополнительная информация                     </w:t>
      </w:r>
      <w:r>
        <w:rPr>
          <w:sz w:val="22"/>
          <w:szCs w:val="22"/>
        </w:rPr>
        <w:t xml:space="preserve">                      │</w:t>
      </w:r>
    </w:p>
    <w:bookmarkEnd w:id="152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</w:t>
      </w:r>
      <w:r>
        <w:rPr>
          <w:sz w:val="22"/>
          <w:szCs w:val="22"/>
        </w:rPr>
        <w:t>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bookmarkStart w:id="153" w:name="sub_3210"/>
      <w:r>
        <w:rPr>
          <w:sz w:val="22"/>
          <w:szCs w:val="22"/>
        </w:rPr>
        <w:t>│10. Долгосрочный прогноз и эксплуатационные ограничения                │</w:t>
      </w:r>
    </w:p>
    <w:bookmarkEnd w:id="153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</w:t>
      </w:r>
      <w:r>
        <w:rPr>
          <w:sz w:val="22"/>
          <w:szCs w:val="22"/>
        </w:rPr>
        <w:t>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</w:t>
      </w:r>
      <w:r>
        <w:rPr>
          <w:sz w:val="22"/>
          <w:szCs w:val="22"/>
        </w:rPr>
        <w:t>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├───────────────────────────────────────────────────────────────────────┤</w:t>
      </w:r>
    </w:p>
    <w:p w:rsidR="00000000" w:rsidRDefault="00B2148E">
      <w:pPr>
        <w:pStyle w:val="a8"/>
        <w:rPr>
          <w:sz w:val="22"/>
          <w:szCs w:val="22"/>
        </w:rPr>
      </w:pPr>
      <w:bookmarkStart w:id="154" w:name="sub_3211"/>
      <w:r>
        <w:rPr>
          <w:sz w:val="22"/>
          <w:szCs w:val="22"/>
        </w:rPr>
        <w:t>│11. Подписи и печать организации                                       │</w:t>
      </w:r>
    </w:p>
    <w:bookmarkEnd w:id="154"/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│                                                                       </w:t>
      </w:r>
      <w:r>
        <w:rPr>
          <w:sz w:val="22"/>
          <w:szCs w:val="22"/>
        </w:rPr>
        <w:t>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│(Должность лица, заполнявшего характеристику) (Подпись) (Фамилия И.О.)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│_______________________________________________________________________│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│(Должность руководителя организ</w:t>
      </w:r>
      <w:r>
        <w:rPr>
          <w:sz w:val="22"/>
          <w:szCs w:val="22"/>
        </w:rPr>
        <w:t>ации)          (Подпись) (Фамилия И.О.)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                                                   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│                                 М.П.                 (Дата)           │</w:t>
      </w:r>
    </w:p>
    <w:p w:rsidR="00000000" w:rsidRDefault="00B2148E">
      <w:pPr>
        <w:pStyle w:val="a8"/>
        <w:rPr>
          <w:sz w:val="22"/>
          <w:szCs w:val="22"/>
        </w:rPr>
      </w:pPr>
      <w:r>
        <w:rPr>
          <w:sz w:val="22"/>
          <w:szCs w:val="22"/>
        </w:rPr>
        <w:t>└─────────────────────────────────────────────────────────────────</w:t>
      </w:r>
      <w:r>
        <w:rPr>
          <w:sz w:val="22"/>
          <w:szCs w:val="22"/>
        </w:rPr>
        <w:t>──────┘</w:t>
      </w:r>
    </w:p>
    <w:p w:rsidR="00B2148E" w:rsidRDefault="00B2148E"/>
    <w:sectPr w:rsidR="00B2148E">
      <w:headerReference w:type="default" r:id="rId28"/>
      <w:footerReference w:type="default" r:id="rId29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48E" w:rsidRDefault="00B2148E">
      <w:r>
        <w:separator/>
      </w:r>
    </w:p>
  </w:endnote>
  <w:endnote w:type="continuationSeparator" w:id="0">
    <w:p w:rsidR="00B2148E" w:rsidRDefault="00B21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B2148E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B2148E" w:rsidRDefault="00B2148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B2148E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B2148E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</w:instrText>
          </w:r>
          <w:r w:rsidRPr="00B2148E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B2148E">
            <w:rPr>
              <w:rFonts w:ascii="Times New Roman" w:hAnsi="Times New Roman" w:cs="Times New Roman"/>
              <w:sz w:val="20"/>
              <w:szCs w:val="20"/>
            </w:rPr>
            <w:t>31.01.2024</w:t>
          </w:r>
          <w:r w:rsidRPr="00B2148E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B2148E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B2148E" w:rsidRDefault="00B2148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B2148E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B2148E" w:rsidRDefault="00B2148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B2148E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B2148E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3F4261" w:rsidRPr="00B2148E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3F4261" w:rsidRPr="00B2148E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B2148E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B2148E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B2148E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B2148E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3F4261" w:rsidRPr="00B2148E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3F4261" w:rsidRPr="00B2148E">
            <w:rPr>
              <w:rFonts w:ascii="Times New Roman" w:hAnsi="Times New Roman" w:cs="Times New Roman"/>
              <w:noProof/>
              <w:sz w:val="20"/>
              <w:szCs w:val="20"/>
            </w:rPr>
            <w:t>15</w:t>
          </w:r>
          <w:r w:rsidRPr="00B2148E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48E" w:rsidRDefault="00B2148E">
      <w:r>
        <w:separator/>
      </w:r>
    </w:p>
  </w:footnote>
  <w:footnote w:type="continuationSeparator" w:id="0">
    <w:p w:rsidR="00B2148E" w:rsidRDefault="00B21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2148E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Главного государственного санитарного врача РФ от 12 марта 2003 г. N 17 "О введении в…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4261"/>
    <w:rsid w:val="003F4261"/>
    <w:rsid w:val="00B2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8A2AC52-E60B-431D-B41D-EF478801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9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a">
    <w:name w:val="head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2120314/2000" TargetMode="External"/><Relationship Id="rId13" Type="http://schemas.openxmlformats.org/officeDocument/2006/relationships/hyperlink" Target="http://ivo.garant.ru/document/redirect/12119739/0" TargetMode="External"/><Relationship Id="rId18" Type="http://schemas.openxmlformats.org/officeDocument/2006/relationships/hyperlink" Target="http://ivo.garant.ru/document/redirect/4177141/0" TargetMode="External"/><Relationship Id="rId26" Type="http://schemas.openxmlformats.org/officeDocument/2006/relationships/hyperlink" Target="http://ivo.garant.ru/document/redirect/4177141/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vo.garant.ru/document/redirect/4177141/0" TargetMode="External"/><Relationship Id="rId7" Type="http://schemas.openxmlformats.org/officeDocument/2006/relationships/hyperlink" Target="http://ivo.garant.ru/document/redirect/12115118/0" TargetMode="External"/><Relationship Id="rId12" Type="http://schemas.openxmlformats.org/officeDocument/2006/relationships/hyperlink" Target="http://ivo.garant.ru/document/redirect/12120314/0" TargetMode="External"/><Relationship Id="rId17" Type="http://schemas.openxmlformats.org/officeDocument/2006/relationships/hyperlink" Target="http://ivo.garant.ru/document/redirect/12119739/0" TargetMode="External"/><Relationship Id="rId25" Type="http://schemas.openxmlformats.org/officeDocument/2006/relationships/hyperlink" Target="http://ivo.garant.ru/document/redirect/12119739/0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12119739/301" TargetMode="External"/><Relationship Id="rId20" Type="http://schemas.openxmlformats.org/officeDocument/2006/relationships/hyperlink" Target="http://ivo.garant.ru/document/redirect/4177141/7000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document/redirect/10108778/0" TargetMode="External"/><Relationship Id="rId24" Type="http://schemas.openxmlformats.org/officeDocument/2006/relationships/hyperlink" Target="http://ivo.garant.ru/document/redirect/4177141/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/redirect/12119739/4000" TargetMode="External"/><Relationship Id="rId23" Type="http://schemas.openxmlformats.org/officeDocument/2006/relationships/hyperlink" Target="http://ivo.garant.ru/document/redirect/12119739/0" TargetMode="External"/><Relationship Id="rId28" Type="http://schemas.openxmlformats.org/officeDocument/2006/relationships/header" Target="header1.xml"/><Relationship Id="rId10" Type="http://schemas.openxmlformats.org/officeDocument/2006/relationships/hyperlink" Target="http://ivo.garant.ru/document/redirect/12115118/0" TargetMode="External"/><Relationship Id="rId19" Type="http://schemas.openxmlformats.org/officeDocument/2006/relationships/hyperlink" Target="http://ivo.garant.ru/document/redirect/4177141/35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2120314/0" TargetMode="External"/><Relationship Id="rId14" Type="http://schemas.openxmlformats.org/officeDocument/2006/relationships/hyperlink" Target="http://ivo.garant.ru/document/redirect/4177141/37" TargetMode="External"/><Relationship Id="rId22" Type="http://schemas.openxmlformats.org/officeDocument/2006/relationships/hyperlink" Target="http://ivo.garant.ru/document/redirect/4179203/10000" TargetMode="External"/><Relationship Id="rId27" Type="http://schemas.openxmlformats.org/officeDocument/2006/relationships/hyperlink" Target="http://ivo.garant.ru/document/redirect/12119739/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7804</Words>
  <Characters>44486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2024-01-31T15:18:00Z</dcterms:created>
  <dcterms:modified xsi:type="dcterms:W3CDTF">2024-01-31T15:18:00Z</dcterms:modified>
</cp:coreProperties>
</file>