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027" w:rsidRPr="008C7027" w:rsidRDefault="008C7027" w:rsidP="008C7027">
      <w:pPr>
        <w:spacing w:after="0" w:line="240" w:lineRule="auto"/>
        <w:jc w:val="center"/>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000000"/>
          <w:spacing w:val="4"/>
          <w:sz w:val="24"/>
          <w:szCs w:val="24"/>
          <w:lang w:eastAsia="ru-RU"/>
        </w:rPr>
        <w:br/>
      </w:r>
      <w:r w:rsidRPr="008C702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2FF9B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C7027" w:rsidRPr="008C7027" w:rsidRDefault="008C7027" w:rsidP="008C7027">
      <w:pPr>
        <w:spacing w:after="0" w:line="240" w:lineRule="auto"/>
        <w:jc w:val="center"/>
        <w:rPr>
          <w:rFonts w:ascii="Inter" w:eastAsia="Times New Roman" w:hAnsi="Inter" w:cs="Times New Roman"/>
          <w:color w:val="000000"/>
          <w:spacing w:val="4"/>
          <w:sz w:val="24"/>
          <w:szCs w:val="24"/>
          <w:lang w:eastAsia="ru-RU"/>
        </w:rPr>
      </w:pPr>
      <w:r w:rsidRPr="008C7027">
        <w:rPr>
          <w:rFonts w:ascii="Inter" w:eastAsia="Times New Roman" w:hAnsi="Inter" w:cs="Times New Roman"/>
          <w:b/>
          <w:bCs/>
          <w:color w:val="575756"/>
          <w:spacing w:val="4"/>
          <w:sz w:val="27"/>
          <w:szCs w:val="27"/>
          <w:lang w:eastAsia="ru-RU"/>
        </w:rPr>
        <w:t>Министерство</w:t>
      </w:r>
      <w:r w:rsidRPr="008C7027">
        <w:rPr>
          <w:rFonts w:ascii="Inter" w:eastAsia="Times New Roman" w:hAnsi="Inter" w:cs="Times New Roman"/>
          <w:b/>
          <w:bCs/>
          <w:color w:val="575756"/>
          <w:spacing w:val="4"/>
          <w:sz w:val="27"/>
          <w:szCs w:val="27"/>
          <w:lang w:eastAsia="ru-RU"/>
        </w:rPr>
        <w:br/>
        <w:t>Здравоохранения</w:t>
      </w:r>
      <w:r w:rsidRPr="008C7027">
        <w:rPr>
          <w:rFonts w:ascii="Inter" w:eastAsia="Times New Roman" w:hAnsi="Inter" w:cs="Times New Roman"/>
          <w:b/>
          <w:bCs/>
          <w:color w:val="575756"/>
          <w:spacing w:val="4"/>
          <w:sz w:val="27"/>
          <w:szCs w:val="27"/>
          <w:lang w:eastAsia="ru-RU"/>
        </w:rPr>
        <w:br/>
        <w:t>Российской Федерации</w:t>
      </w:r>
    </w:p>
    <w:p w:rsidR="008C7027" w:rsidRPr="008C7027" w:rsidRDefault="008C7027" w:rsidP="008C7027">
      <w:pPr>
        <w:spacing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808080"/>
          <w:spacing w:val="4"/>
          <w:sz w:val="24"/>
          <w:szCs w:val="24"/>
          <w:lang w:eastAsia="ru-RU"/>
        </w:rPr>
        <w:t>Клинические рекомендации</w:t>
      </w:r>
      <w:r w:rsidRPr="008C7027">
        <w:rPr>
          <w:rFonts w:ascii="Inter" w:eastAsia="Times New Roman" w:hAnsi="Inter" w:cs="Times New Roman"/>
          <w:b/>
          <w:bCs/>
          <w:color w:val="008000"/>
          <w:spacing w:val="4"/>
          <w:sz w:val="42"/>
          <w:szCs w:val="42"/>
          <w:lang w:eastAsia="ru-RU"/>
        </w:rPr>
        <w:t>Рак ободочной кишки и ректосигмоидного перехода</w:t>
      </w:r>
    </w:p>
    <w:p w:rsidR="008C7027" w:rsidRPr="008C7027" w:rsidRDefault="008C7027" w:rsidP="008C7027">
      <w:pPr>
        <w:spacing w:after="0"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C7027">
        <w:rPr>
          <w:rFonts w:ascii="Inter" w:eastAsia="Times New Roman" w:hAnsi="Inter" w:cs="Times New Roman"/>
          <w:b/>
          <w:bCs/>
          <w:color w:val="000000"/>
          <w:spacing w:val="4"/>
          <w:sz w:val="27"/>
          <w:szCs w:val="27"/>
          <w:lang w:eastAsia="ru-RU"/>
        </w:rPr>
        <w:t>C18, C19, D01.0</w:t>
      </w:r>
    </w:p>
    <w:p w:rsidR="008C7027" w:rsidRPr="008C7027" w:rsidRDefault="008C7027" w:rsidP="008C7027">
      <w:pPr>
        <w:spacing w:after="0"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9E9E9E"/>
          <w:spacing w:val="4"/>
          <w:sz w:val="27"/>
          <w:szCs w:val="27"/>
          <w:lang w:eastAsia="ru-RU"/>
        </w:rPr>
        <w:t>Год утверждения (частота пересмотра):</w:t>
      </w:r>
      <w:r w:rsidRPr="008C7027">
        <w:rPr>
          <w:rFonts w:ascii="Inter" w:eastAsia="Times New Roman" w:hAnsi="Inter" w:cs="Times New Roman"/>
          <w:b/>
          <w:bCs/>
          <w:color w:val="000000"/>
          <w:spacing w:val="4"/>
          <w:sz w:val="27"/>
          <w:szCs w:val="27"/>
          <w:lang w:eastAsia="ru-RU"/>
        </w:rPr>
        <w:t>2025</w:t>
      </w:r>
      <w:r w:rsidRPr="008C7027">
        <w:rPr>
          <w:rFonts w:ascii="Inter" w:eastAsia="Times New Roman" w:hAnsi="Inter" w:cs="Times New Roman"/>
          <w:color w:val="9E9E9E"/>
          <w:spacing w:val="4"/>
          <w:sz w:val="27"/>
          <w:szCs w:val="27"/>
          <w:lang w:eastAsia="ru-RU"/>
        </w:rPr>
        <w:t>Пересмотр не позднее:</w:t>
      </w:r>
      <w:r w:rsidRPr="008C7027">
        <w:rPr>
          <w:rFonts w:ascii="Inter" w:eastAsia="Times New Roman" w:hAnsi="Inter" w:cs="Times New Roman"/>
          <w:b/>
          <w:bCs/>
          <w:color w:val="000000"/>
          <w:spacing w:val="4"/>
          <w:sz w:val="27"/>
          <w:szCs w:val="27"/>
          <w:lang w:eastAsia="ru-RU"/>
        </w:rPr>
        <w:t>2027</w:t>
      </w:r>
    </w:p>
    <w:p w:rsidR="008C7027" w:rsidRPr="008C7027" w:rsidRDefault="008C7027" w:rsidP="008C7027">
      <w:pPr>
        <w:spacing w:after="0"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9E9E9E"/>
          <w:spacing w:val="4"/>
          <w:sz w:val="27"/>
          <w:szCs w:val="27"/>
          <w:lang w:eastAsia="ru-RU"/>
        </w:rPr>
        <w:t>ID:</w:t>
      </w:r>
      <w:r w:rsidRPr="008C7027">
        <w:rPr>
          <w:rFonts w:ascii="Inter" w:eastAsia="Times New Roman" w:hAnsi="Inter" w:cs="Times New Roman"/>
          <w:b/>
          <w:bCs/>
          <w:color w:val="000000"/>
          <w:spacing w:val="4"/>
          <w:sz w:val="27"/>
          <w:szCs w:val="27"/>
          <w:lang w:eastAsia="ru-RU"/>
        </w:rPr>
        <w:t>396_4</w:t>
      </w:r>
    </w:p>
    <w:p w:rsidR="008C7027" w:rsidRPr="008C7027" w:rsidRDefault="008C7027" w:rsidP="008C7027">
      <w:pPr>
        <w:spacing w:after="0"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9E9E9E"/>
          <w:spacing w:val="4"/>
          <w:sz w:val="27"/>
          <w:szCs w:val="27"/>
          <w:lang w:eastAsia="ru-RU"/>
        </w:rPr>
        <w:t>Возрастная категория:</w:t>
      </w:r>
      <w:r w:rsidRPr="008C7027">
        <w:rPr>
          <w:rFonts w:ascii="Inter" w:eastAsia="Times New Roman" w:hAnsi="Inter" w:cs="Times New Roman"/>
          <w:b/>
          <w:bCs/>
          <w:color w:val="000000"/>
          <w:spacing w:val="4"/>
          <w:sz w:val="27"/>
          <w:szCs w:val="27"/>
          <w:lang w:eastAsia="ru-RU"/>
        </w:rPr>
        <w:t>Взрослые</w:t>
      </w:r>
    </w:p>
    <w:p w:rsidR="008C7027" w:rsidRPr="008C7027" w:rsidRDefault="008C7027" w:rsidP="008C7027">
      <w:pPr>
        <w:spacing w:after="0"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9E9E9E"/>
          <w:spacing w:val="4"/>
          <w:sz w:val="27"/>
          <w:szCs w:val="27"/>
          <w:lang w:eastAsia="ru-RU"/>
        </w:rPr>
        <w:t>Специальность:</w:t>
      </w:r>
    </w:p>
    <w:p w:rsidR="008C7027" w:rsidRPr="008C7027" w:rsidRDefault="008C7027" w:rsidP="008C7027">
      <w:pPr>
        <w:spacing w:after="0"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808080"/>
          <w:spacing w:val="4"/>
          <w:sz w:val="27"/>
          <w:szCs w:val="27"/>
          <w:lang w:eastAsia="ru-RU"/>
        </w:rPr>
        <w:t>Разработчик клинической рекомендации</w:t>
      </w:r>
      <w:r w:rsidRPr="008C7027">
        <w:rPr>
          <w:rFonts w:ascii="Inter" w:eastAsia="Times New Roman" w:hAnsi="Inter" w:cs="Times New Roman"/>
          <w:b/>
          <w:bCs/>
          <w:color w:val="000000"/>
          <w:spacing w:val="4"/>
          <w:sz w:val="27"/>
          <w:szCs w:val="27"/>
          <w:lang w:eastAsia="ru-RU"/>
        </w:rPr>
        <w:t>Общероссийская общественная организация "Ассоциация колопроктологов России", Ассоциация онкологов России, Общероссийская общественная организация «Российское общество клинической онкологии», Российское общество специалистов по колоректальному раку</w:t>
      </w:r>
    </w:p>
    <w:p w:rsidR="008C7027" w:rsidRPr="008C7027" w:rsidRDefault="008C7027" w:rsidP="008C7027">
      <w:pPr>
        <w:spacing w:line="240" w:lineRule="auto"/>
        <w:rPr>
          <w:rFonts w:ascii="Inter" w:eastAsia="Times New Roman" w:hAnsi="Inter" w:cs="Times New Roman"/>
          <w:color w:val="000000"/>
          <w:spacing w:val="4"/>
          <w:sz w:val="24"/>
          <w:szCs w:val="24"/>
          <w:lang w:eastAsia="ru-RU"/>
        </w:rPr>
      </w:pPr>
      <w:r w:rsidRPr="008C702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Оглавление</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Список сокращений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Термины и определения</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2.1 Жалобы и анамнез</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lastRenderedPageBreak/>
        <w:t>2.2 Физикальное обследование</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2.3 Лабораторные диагностические исследования</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2.4 Инструментальные диагностические исследования</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2.5 Иные диагностические исследования</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6. Организация оказания медицинской помощи</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Критерии оценки качества медицинской помощи</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Список литературы</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Приложение Б. Алгоритмы действий врача</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Приложение В. Информация для пациента</w:t>
      </w:r>
    </w:p>
    <w:p w:rsidR="008C7027" w:rsidRPr="008C7027" w:rsidRDefault="008C7027" w:rsidP="008C70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C702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Список сокращений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БДУ </w:t>
      </w:r>
      <w:r w:rsidRPr="008C7027">
        <w:rPr>
          <w:rFonts w:ascii="Times New Roman" w:eastAsia="Times New Roman" w:hAnsi="Times New Roman" w:cs="Times New Roman"/>
          <w:color w:val="222222"/>
          <w:spacing w:val="4"/>
          <w:sz w:val="27"/>
          <w:szCs w:val="27"/>
          <w:lang w:eastAsia="ru-RU"/>
        </w:rPr>
        <w:t>–</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без дополнительного уточнения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в/в</w:t>
      </w:r>
      <w:r w:rsidRPr="008C7027">
        <w:rPr>
          <w:rFonts w:ascii="Times New Roman" w:eastAsia="Times New Roman" w:hAnsi="Times New Roman" w:cs="Times New Roman"/>
          <w:color w:val="222222"/>
          <w:spacing w:val="4"/>
          <w:sz w:val="27"/>
          <w:szCs w:val="27"/>
          <w:lang w:eastAsia="ru-RU"/>
        </w:rPr>
        <w:t> – внутривенно</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ВОЗ</w:t>
      </w:r>
      <w:r w:rsidRPr="008C7027">
        <w:rPr>
          <w:rFonts w:ascii="Times New Roman" w:eastAsia="Times New Roman" w:hAnsi="Times New Roman" w:cs="Times New Roman"/>
          <w:color w:val="222222"/>
          <w:spacing w:val="4"/>
          <w:sz w:val="27"/>
          <w:szCs w:val="27"/>
          <w:lang w:eastAsia="ru-RU"/>
        </w:rPr>
        <w:t> – Всемирная организация здравоохранения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КТ</w:t>
      </w:r>
      <w:r w:rsidRPr="008C7027">
        <w:rPr>
          <w:rFonts w:ascii="Times New Roman" w:eastAsia="Times New Roman" w:hAnsi="Times New Roman" w:cs="Times New Roman"/>
          <w:color w:val="222222"/>
          <w:spacing w:val="4"/>
          <w:sz w:val="27"/>
          <w:szCs w:val="27"/>
          <w:lang w:eastAsia="ru-RU"/>
        </w:rPr>
        <w:t> – компьютерная томография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ЛФК</w:t>
      </w:r>
      <w:r w:rsidRPr="008C7027">
        <w:rPr>
          <w:rFonts w:ascii="Times New Roman" w:eastAsia="Times New Roman" w:hAnsi="Times New Roman" w:cs="Times New Roman"/>
          <w:color w:val="222222"/>
          <w:spacing w:val="4"/>
          <w:sz w:val="27"/>
          <w:szCs w:val="27"/>
          <w:lang w:eastAsia="ru-RU"/>
        </w:rPr>
        <w:t> – лечебная физкультура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МКА</w:t>
      </w:r>
      <w:r w:rsidRPr="008C7027">
        <w:rPr>
          <w:rFonts w:ascii="Times New Roman" w:eastAsia="Times New Roman" w:hAnsi="Times New Roman" w:cs="Times New Roman"/>
          <w:color w:val="222222"/>
          <w:spacing w:val="4"/>
          <w:sz w:val="27"/>
          <w:szCs w:val="27"/>
          <w:lang w:eastAsia="ru-RU"/>
        </w:rPr>
        <w:t> – моноклональные антитела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МКБ</w:t>
      </w:r>
      <w:r w:rsidRPr="008C7027">
        <w:rPr>
          <w:rFonts w:ascii="Times New Roman" w:eastAsia="Times New Roman" w:hAnsi="Times New Roman" w:cs="Times New Roman"/>
          <w:color w:val="222222"/>
          <w:spacing w:val="4"/>
          <w:sz w:val="27"/>
          <w:szCs w:val="27"/>
          <w:lang w:eastAsia="ru-RU"/>
        </w:rPr>
        <w:t> – Международная статистическая классификация болезней и проблем, связанных со здоровьем</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МКБ-О</w:t>
      </w:r>
      <w:r w:rsidRPr="008C7027">
        <w:rPr>
          <w:rFonts w:ascii="Times New Roman" w:eastAsia="Times New Roman" w:hAnsi="Times New Roman" w:cs="Times New Roman"/>
          <w:color w:val="222222"/>
          <w:spacing w:val="4"/>
          <w:sz w:val="27"/>
          <w:szCs w:val="27"/>
          <w:lang w:eastAsia="ru-RU"/>
        </w:rPr>
        <w:t> – Международная классификация онкологических заболеваний, специальное тематическое расширение МКБ</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МРТ</w:t>
      </w:r>
      <w:r w:rsidRPr="008C7027">
        <w:rPr>
          <w:rFonts w:ascii="Times New Roman" w:eastAsia="Times New Roman" w:hAnsi="Times New Roman" w:cs="Times New Roman"/>
          <w:color w:val="222222"/>
          <w:spacing w:val="4"/>
          <w:sz w:val="27"/>
          <w:szCs w:val="27"/>
          <w:lang w:eastAsia="ru-RU"/>
        </w:rPr>
        <w:t> – магнитно-резонансная томография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ПЦР</w:t>
      </w:r>
      <w:r w:rsidRPr="008C7027">
        <w:rPr>
          <w:rFonts w:ascii="Times New Roman" w:eastAsia="Times New Roman" w:hAnsi="Times New Roman" w:cs="Times New Roman"/>
          <w:color w:val="222222"/>
          <w:spacing w:val="4"/>
          <w:sz w:val="27"/>
          <w:szCs w:val="27"/>
          <w:lang w:eastAsia="ru-RU"/>
        </w:rPr>
        <w:t> – полимеразная цепная реакция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ПЭТ</w:t>
      </w:r>
      <w:r w:rsidRPr="008C7027">
        <w:rPr>
          <w:rFonts w:ascii="Times New Roman" w:eastAsia="Times New Roman" w:hAnsi="Times New Roman" w:cs="Times New Roman"/>
          <w:color w:val="222222"/>
          <w:spacing w:val="4"/>
          <w:sz w:val="27"/>
          <w:szCs w:val="27"/>
          <w:lang w:eastAsia="ru-RU"/>
        </w:rPr>
        <w:t> – позитронно-эмиссионная томография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ПЭТ-КТ</w:t>
      </w:r>
      <w:r w:rsidRPr="008C7027">
        <w:rPr>
          <w:rFonts w:ascii="Times New Roman" w:eastAsia="Times New Roman" w:hAnsi="Times New Roman" w:cs="Times New Roman"/>
          <w:color w:val="222222"/>
          <w:spacing w:val="4"/>
          <w:sz w:val="27"/>
          <w:szCs w:val="27"/>
          <w:lang w:eastAsia="ru-RU"/>
        </w:rPr>
        <w:t> – позитронно-эмиссионная томография, совмещенная с компьютерной томографией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РЭА</w:t>
      </w:r>
      <w:r w:rsidRPr="008C7027">
        <w:rPr>
          <w:rFonts w:ascii="Times New Roman" w:eastAsia="Times New Roman" w:hAnsi="Times New Roman" w:cs="Times New Roman"/>
          <w:color w:val="222222"/>
          <w:spacing w:val="4"/>
          <w:sz w:val="27"/>
          <w:szCs w:val="27"/>
          <w:lang w:eastAsia="ru-RU"/>
        </w:rPr>
        <w:t> – раковый эмбриональный антиген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УЗИ</w:t>
      </w:r>
      <w:r w:rsidRPr="008C7027">
        <w:rPr>
          <w:rFonts w:ascii="Times New Roman" w:eastAsia="Times New Roman" w:hAnsi="Times New Roman" w:cs="Times New Roman"/>
          <w:color w:val="222222"/>
          <w:spacing w:val="4"/>
          <w:sz w:val="27"/>
          <w:szCs w:val="27"/>
          <w:lang w:eastAsia="ru-RU"/>
        </w:rPr>
        <w:t> – ультразвуковое исследование</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BRAF</w:t>
      </w:r>
      <w:r w:rsidRPr="008C7027">
        <w:rPr>
          <w:rFonts w:ascii="Times New Roman" w:eastAsia="Times New Roman" w:hAnsi="Times New Roman" w:cs="Times New Roman"/>
          <w:color w:val="222222"/>
          <w:spacing w:val="4"/>
          <w:sz w:val="27"/>
          <w:szCs w:val="27"/>
          <w:lang w:eastAsia="ru-RU"/>
        </w:rPr>
        <w:t> – онкоген, который кодирует серин-треониновую протеинкиназу B-Raf.</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ECOG</w:t>
      </w:r>
      <w:r w:rsidRPr="008C7027">
        <w:rPr>
          <w:rFonts w:ascii="Times New Roman" w:eastAsia="Times New Roman" w:hAnsi="Times New Roman" w:cs="Times New Roman"/>
          <w:color w:val="222222"/>
          <w:spacing w:val="4"/>
          <w:sz w:val="27"/>
          <w:szCs w:val="27"/>
          <w:lang w:eastAsia="ru-RU"/>
        </w:rPr>
        <w:t> – Eastern Cooperative Oncology Group, Восточная объединенная онкологическая группа </w:t>
      </w:r>
      <w:r w:rsidRPr="008C7027">
        <w:rPr>
          <w:rFonts w:ascii="Times New Roman" w:eastAsia="Times New Roman" w:hAnsi="Times New Roman" w:cs="Times New Roman"/>
          <w:b/>
          <w:bCs/>
          <w:color w:val="222222"/>
          <w:spacing w:val="4"/>
          <w:sz w:val="27"/>
          <w:szCs w:val="27"/>
          <w:lang w:eastAsia="ru-RU"/>
        </w:rPr>
        <w:t>МЕК</w:t>
      </w:r>
      <w:r w:rsidRPr="008C7027">
        <w:rPr>
          <w:rFonts w:ascii="Times New Roman" w:eastAsia="Times New Roman" w:hAnsi="Times New Roman" w:cs="Times New Roman"/>
          <w:color w:val="222222"/>
          <w:spacing w:val="4"/>
          <w:sz w:val="27"/>
          <w:szCs w:val="27"/>
          <w:lang w:eastAsia="ru-RU"/>
        </w:rPr>
        <w:t> – ген</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киназы</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митоген-активированной протеинкиназы (mitogen-activated protein kinase).</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MSI</w:t>
      </w:r>
      <w:r w:rsidRPr="008C7027">
        <w:rPr>
          <w:rFonts w:ascii="Times New Roman" w:eastAsia="Times New Roman" w:hAnsi="Times New Roman" w:cs="Times New Roman"/>
          <w:color w:val="222222"/>
          <w:spacing w:val="4"/>
          <w:sz w:val="27"/>
          <w:szCs w:val="27"/>
          <w:lang w:eastAsia="ru-RU"/>
        </w:rPr>
        <w:t> – микросателлитная нестабильность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RAS</w:t>
      </w:r>
      <w:r w:rsidRPr="008C7027">
        <w:rPr>
          <w:rFonts w:ascii="Times New Roman" w:eastAsia="Times New Roman" w:hAnsi="Times New Roman" w:cs="Times New Roman"/>
          <w:color w:val="222222"/>
          <w:spacing w:val="4"/>
          <w:sz w:val="27"/>
          <w:szCs w:val="27"/>
          <w:lang w:eastAsia="ru-RU"/>
        </w:rPr>
        <w:t> – семейство генов </w:t>
      </w:r>
      <w:r w:rsidRPr="008C7027">
        <w:rPr>
          <w:rFonts w:ascii="Times New Roman" w:eastAsia="Times New Roman" w:hAnsi="Times New Roman" w:cs="Times New Roman"/>
          <w:i/>
          <w:iCs/>
          <w:color w:val="333333"/>
          <w:spacing w:val="4"/>
          <w:sz w:val="27"/>
          <w:szCs w:val="27"/>
          <w:lang w:eastAsia="ru-RU"/>
        </w:rPr>
        <w:t>NRAS</w:t>
      </w:r>
      <w:r w:rsidRPr="008C7027">
        <w:rPr>
          <w:rFonts w:ascii="Times New Roman" w:eastAsia="Times New Roman" w:hAnsi="Times New Roman" w:cs="Times New Roman"/>
          <w:color w:val="222222"/>
          <w:spacing w:val="4"/>
          <w:sz w:val="27"/>
          <w:szCs w:val="27"/>
          <w:lang w:eastAsia="ru-RU"/>
        </w:rPr>
        <w:t> и </w:t>
      </w:r>
      <w:r w:rsidRPr="008C7027">
        <w:rPr>
          <w:rFonts w:ascii="Times New Roman" w:eastAsia="Times New Roman" w:hAnsi="Times New Roman" w:cs="Times New Roman"/>
          <w:i/>
          <w:iCs/>
          <w:color w:val="333333"/>
          <w:spacing w:val="4"/>
          <w:sz w:val="27"/>
          <w:szCs w:val="27"/>
          <w:lang w:eastAsia="ru-RU"/>
        </w:rPr>
        <w:t>KRAS</w:t>
      </w:r>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w:t>
      </w:r>
      <w:r w:rsidRPr="008C7027">
        <w:rPr>
          <w:rFonts w:ascii="Times New Roman" w:eastAsia="Times New Roman" w:hAnsi="Times New Roman" w:cs="Times New Roman"/>
          <w:color w:val="222222"/>
          <w:spacing w:val="4"/>
          <w:sz w:val="27"/>
          <w:szCs w:val="27"/>
          <w:lang w:eastAsia="ru-RU"/>
        </w:rPr>
        <w:t> – препараты, назначаемые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(off-label, офф-лейбл)</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Термины и определения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Предреабилитация</w:t>
      </w:r>
      <w:r w:rsidRPr="008C7027">
        <w:rPr>
          <w:rFonts w:ascii="Times New Roman" w:eastAsia="Times New Roman" w:hAnsi="Times New Roman" w:cs="Times New Roman"/>
          <w:color w:val="222222"/>
          <w:spacing w:val="4"/>
          <w:sz w:val="27"/>
          <w:szCs w:val="27"/>
          <w:lang w:eastAsia="ru-RU"/>
        </w:rPr>
        <w:t> (prehabilitation) – реабилитация с момента постановки диагноза до начала лечения (хирургического лечения/химиотерапии/лучевой терапии).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Уровни достоверности доказательств </w:t>
      </w:r>
      <w:r w:rsidRPr="008C7027">
        <w:rPr>
          <w:rFonts w:ascii="Times New Roman" w:eastAsia="Times New Roman" w:hAnsi="Times New Roman" w:cs="Times New Roman"/>
          <w:color w:val="222222"/>
          <w:spacing w:val="4"/>
          <w:sz w:val="27"/>
          <w:szCs w:val="27"/>
          <w:lang w:eastAsia="ru-RU"/>
        </w:rPr>
        <w:t>–</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отражают степень уверенности в том, что найденный эффект от применения медицинской технологии является истинным. Согласно эпидемиологическим принципам достоверность доказательств определяется по 3 основным критериям: качественной, количественной характеристикам и согласованности доказательств.</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Уровни убедительности рекомендаций </w:t>
      </w:r>
      <w:r w:rsidRPr="008C7027">
        <w:rPr>
          <w:rFonts w:ascii="Times New Roman" w:eastAsia="Times New Roman" w:hAnsi="Times New Roman" w:cs="Times New Roman"/>
          <w:color w:val="222222"/>
          <w:spacing w:val="4"/>
          <w:sz w:val="27"/>
          <w:szCs w:val="27"/>
          <w:lang w:eastAsia="ru-RU"/>
        </w:rPr>
        <w:t>– в отличие от уровней достоверности доказательств отражают степень уверенности не только в достоверности эффекта вмешательства, но и в том, что следование рекомендациям принесут в конкретной ситуации больше пользы, чем негативных последствий.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I этап реабилитации</w:t>
      </w:r>
      <w:r w:rsidRPr="008C7027">
        <w:rPr>
          <w:rFonts w:ascii="Times New Roman" w:eastAsia="Times New Roman" w:hAnsi="Times New Roman" w:cs="Times New Roman"/>
          <w:color w:val="222222"/>
          <w:spacing w:val="4"/>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II этап реабилитации</w:t>
      </w:r>
      <w:r w:rsidRPr="008C7027">
        <w:rPr>
          <w:rFonts w:ascii="Times New Roman" w:eastAsia="Times New Roman" w:hAnsi="Times New Roman" w:cs="Times New Roman"/>
          <w:color w:val="222222"/>
          <w:spacing w:val="4"/>
          <w:sz w:val="27"/>
          <w:szCs w:val="27"/>
          <w:lang w:eastAsia="ru-RU"/>
        </w:rPr>
        <w:t> – реабилитация в ранний восстановительный период течения заболевания, поздний реабилитационный период, период остаточных явлений заболевания в стационарных условиях медицинских организаций (реабилитационных центров, отделений реабилитации);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III этап реабилитации</w:t>
      </w:r>
      <w:r w:rsidRPr="008C7027">
        <w:rPr>
          <w:rFonts w:ascii="Times New Roman" w:eastAsia="Times New Roman" w:hAnsi="Times New Roman" w:cs="Times New Roman"/>
          <w:color w:val="222222"/>
          <w:spacing w:val="4"/>
          <w:sz w:val="27"/>
          <w:szCs w:val="27"/>
          <w:lang w:eastAsia="ru-RU"/>
        </w:rPr>
        <w:t> – реабилитация в ранний и поздний реабилитационные периоды, период остаточных явлений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 кабинетах логопеда (учителя-дефектолога).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FOLFIRI</w:t>
      </w:r>
      <w:r w:rsidRPr="008C7027">
        <w:rPr>
          <w:rFonts w:ascii="Times New Roman" w:eastAsia="Times New Roman" w:hAnsi="Times New Roman" w:cs="Times New Roman"/>
          <w:color w:val="222222"/>
          <w:spacing w:val="4"/>
          <w:sz w:val="27"/>
          <w:szCs w:val="27"/>
          <w:lang w:eastAsia="ru-RU"/>
        </w:rPr>
        <w:t> – режим химиотерапии: иринотекан** (180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виде 90-минутной инфузии в 1-й день), кальция фолинат** (400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в течение 2 ч) с последующим болюсным введением фторурацила** (400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струйно) и 46-часовой инфузией фторурацила** (2400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по 1200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сутки). Начало очередного курса – на 15-й день.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mFOLFOX6</w:t>
      </w:r>
      <w:r w:rsidRPr="008C7027">
        <w:rPr>
          <w:rFonts w:ascii="Times New Roman" w:eastAsia="Times New Roman" w:hAnsi="Times New Roman" w:cs="Times New Roman"/>
          <w:color w:val="222222"/>
          <w:spacing w:val="4"/>
          <w:sz w:val="27"/>
          <w:szCs w:val="27"/>
          <w:lang w:eastAsia="ru-RU"/>
        </w:rPr>
        <w:t> (далее по тексту – FOLFOX) – режим химиотерапии: оксалиплатин** (85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виде 2-часовой инфузии в 1-й день), кальция фолинат** (400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в течение 2 ч) с последующим болюсным введением фторурацила** (400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струйно) и 46-часовой инфузией фторурацила** (2400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по 1200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сутки). Начало очередного курса – на 15-й день.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FOLFOXIRI</w:t>
      </w:r>
      <w:r w:rsidRPr="008C7027">
        <w:rPr>
          <w:rFonts w:ascii="Times New Roman" w:eastAsia="Times New Roman" w:hAnsi="Times New Roman" w:cs="Times New Roman"/>
          <w:color w:val="222222"/>
          <w:spacing w:val="4"/>
          <w:sz w:val="27"/>
          <w:szCs w:val="27"/>
          <w:lang w:eastAsia="ru-RU"/>
        </w:rPr>
        <w:t> – режим химиотерапии: иринотекан** (165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виде 90-минутной инфузии в 1-й день), оксалиплатин** (85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виде 2-часовой инфузии в 1-й день), кальция фолинат** (200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в течение 2 ч) с последующей 46-часовой инфузией фторурацила** (3200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Начало очередного курса – на 15-й день.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FLOX</w:t>
      </w:r>
      <w:r w:rsidRPr="008C7027">
        <w:rPr>
          <w:rFonts w:ascii="Times New Roman" w:eastAsia="Times New Roman" w:hAnsi="Times New Roman" w:cs="Times New Roman"/>
          <w:color w:val="222222"/>
          <w:spacing w:val="4"/>
          <w:sz w:val="27"/>
          <w:szCs w:val="27"/>
          <w:lang w:eastAsia="ru-RU"/>
        </w:rPr>
        <w:t> – режим химиотерапии: оксалиплатин** (85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течение 2 ч в 1, 15 и 29-й дни каждого цикла), кальция фолинат** (250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струйно) с последующим болюсным введением фторурацила** (500 мг/м</w:t>
      </w:r>
      <w:r w:rsidRPr="008C7027">
        <w:rPr>
          <w:rFonts w:ascii="Times New Roman" w:eastAsia="Times New Roman" w:hAnsi="Times New Roman" w:cs="Times New Roman"/>
          <w:color w:val="222222"/>
          <w:spacing w:val="4"/>
          <w:sz w:val="20"/>
          <w:szCs w:val="20"/>
          <w:vertAlign w:val="superscript"/>
          <w:lang w:eastAsia="ru-RU"/>
        </w:rPr>
        <w:t>2 </w:t>
      </w:r>
      <w:r w:rsidRPr="008C7027">
        <w:rPr>
          <w:rFonts w:ascii="Times New Roman" w:eastAsia="Times New Roman" w:hAnsi="Times New Roman" w:cs="Times New Roman"/>
          <w:color w:val="222222"/>
          <w:spacing w:val="4"/>
          <w:sz w:val="27"/>
          <w:szCs w:val="27"/>
          <w:lang w:eastAsia="ru-RU"/>
        </w:rPr>
        <w:t>еженедельно в течение 6 нед с последующим 2-недельным перерывом) или оксалиплатин** (85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течение 2 ч в 1-й день, кальция фолинат** (60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струйно) с последующим болюсным введением фторурацила** (500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1 и во 2-й день 1 раз в 2 недели.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Nordic FLOX – Оксалиплатин** в дозе 85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в течение 2 ч 1 день + кальция фолинат** в дозе 60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в/в струйно с последующим болюсным введением фторурацила** в дозе 500 мг/м</w:t>
      </w:r>
      <w:r w:rsidRPr="008C7027">
        <w:rPr>
          <w:rFonts w:ascii="Times New Roman" w:eastAsia="Times New Roman" w:hAnsi="Times New Roman" w:cs="Times New Roman"/>
          <w:color w:val="222222"/>
          <w:spacing w:val="4"/>
          <w:sz w:val="20"/>
          <w:szCs w:val="20"/>
          <w:vertAlign w:val="superscript"/>
          <w:lang w:eastAsia="ru-RU"/>
        </w:rPr>
        <w:t>2  </w:t>
      </w:r>
      <w:r w:rsidRPr="008C7027">
        <w:rPr>
          <w:rFonts w:ascii="Times New Roman" w:eastAsia="Times New Roman" w:hAnsi="Times New Roman" w:cs="Times New Roman"/>
          <w:color w:val="222222"/>
          <w:spacing w:val="4"/>
          <w:sz w:val="27"/>
          <w:szCs w:val="27"/>
          <w:lang w:eastAsia="ru-RU"/>
        </w:rPr>
        <w:t>в 1 и 2-й дни. Начало очередного курса – на 15-й день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XELOX</w:t>
      </w:r>
      <w:r w:rsidRPr="008C7027">
        <w:rPr>
          <w:rFonts w:ascii="Times New Roman" w:eastAsia="Times New Roman" w:hAnsi="Times New Roman" w:cs="Times New Roman"/>
          <w:color w:val="222222"/>
          <w:spacing w:val="4"/>
          <w:sz w:val="27"/>
          <w:szCs w:val="27"/>
          <w:lang w:eastAsia="ru-RU"/>
        </w:rPr>
        <w:t> – режим химиотерапии: оксалиплатин** (130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внутривенно капельно в 1-й день), капецитабин** (1000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2 раза в сутки в 1-14-й дни). Начало очередного курса – на 22-й день.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XELIRI</w:t>
      </w:r>
      <w:r w:rsidRPr="008C7027">
        <w:rPr>
          <w:rFonts w:ascii="Times New Roman" w:eastAsia="Times New Roman" w:hAnsi="Times New Roman" w:cs="Times New Roman"/>
          <w:color w:val="222222"/>
          <w:spacing w:val="4"/>
          <w:sz w:val="27"/>
          <w:szCs w:val="27"/>
          <w:lang w:eastAsia="ru-RU"/>
        </w:rPr>
        <w:t> – режим химиотерапии: </w:t>
      </w:r>
      <w:r w:rsidRPr="008C7027">
        <w:rPr>
          <w:rFonts w:ascii="Times New Roman" w:eastAsia="Times New Roman" w:hAnsi="Times New Roman" w:cs="Times New Roman"/>
          <w:color w:val="222222"/>
          <w:spacing w:val="4"/>
          <w:sz w:val="20"/>
          <w:szCs w:val="20"/>
          <w:vertAlign w:val="superscript"/>
          <w:lang w:eastAsia="ru-RU"/>
        </w:rPr>
        <w:t>#</w:t>
      </w:r>
      <w:r w:rsidRPr="008C7027">
        <w:rPr>
          <w:rFonts w:ascii="Times New Roman" w:eastAsia="Times New Roman" w:hAnsi="Times New Roman" w:cs="Times New Roman"/>
          <w:color w:val="222222"/>
          <w:spacing w:val="4"/>
          <w:sz w:val="27"/>
          <w:szCs w:val="27"/>
          <w:lang w:eastAsia="ru-RU"/>
        </w:rPr>
        <w:t>иринотекан** в виде 90-минутной инфузии (180-200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1-й день), </w:t>
      </w:r>
      <w:r w:rsidRPr="008C7027">
        <w:rPr>
          <w:rFonts w:ascii="Times New Roman" w:eastAsia="Times New Roman" w:hAnsi="Times New Roman" w:cs="Times New Roman"/>
          <w:color w:val="222222"/>
          <w:spacing w:val="4"/>
          <w:sz w:val="20"/>
          <w:szCs w:val="20"/>
          <w:vertAlign w:val="superscript"/>
          <w:lang w:eastAsia="ru-RU"/>
        </w:rPr>
        <w:t>#</w:t>
      </w:r>
      <w:r w:rsidRPr="008C7027">
        <w:rPr>
          <w:rFonts w:ascii="Times New Roman" w:eastAsia="Times New Roman" w:hAnsi="Times New Roman" w:cs="Times New Roman"/>
          <w:color w:val="222222"/>
          <w:spacing w:val="4"/>
          <w:sz w:val="27"/>
          <w:szCs w:val="27"/>
          <w:lang w:eastAsia="ru-RU"/>
        </w:rPr>
        <w:t>капецитабин** (1600-1800 мг/м</w:t>
      </w:r>
      <w:r w:rsidRPr="008C7027">
        <w:rPr>
          <w:rFonts w:ascii="Times New Roman" w:eastAsia="Times New Roman" w:hAnsi="Times New Roman" w:cs="Times New Roman"/>
          <w:color w:val="222222"/>
          <w:spacing w:val="4"/>
          <w:sz w:val="20"/>
          <w:szCs w:val="20"/>
          <w:vertAlign w:val="superscript"/>
          <w:lang w:eastAsia="ru-RU"/>
        </w:rPr>
        <w:t>2</w:t>
      </w:r>
      <w:r w:rsidRPr="008C7027">
        <w:rPr>
          <w:rFonts w:ascii="Times New Roman" w:eastAsia="Times New Roman" w:hAnsi="Times New Roman" w:cs="Times New Roman"/>
          <w:color w:val="222222"/>
          <w:spacing w:val="4"/>
          <w:sz w:val="27"/>
          <w:szCs w:val="27"/>
          <w:lang w:eastAsia="ru-RU"/>
        </w:rPr>
        <w:t> в сутки внутрь в 1-14-й дни). Начало очередного курса – на 22-й день.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IFL</w:t>
      </w:r>
      <w:r w:rsidRPr="008C7027">
        <w:rPr>
          <w:rFonts w:ascii="Times New Roman" w:eastAsia="Times New Roman" w:hAnsi="Times New Roman" w:cs="Times New Roman"/>
          <w:color w:val="222222"/>
          <w:spacing w:val="4"/>
          <w:sz w:val="27"/>
          <w:szCs w:val="27"/>
          <w:lang w:eastAsia="ru-RU"/>
        </w:rPr>
        <w:t> – комбинация иринотекана** с болюсными введениями кальция фолината** и фторурацила**</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Рак ободочной кишки и ректосигмоидного отдела</w:t>
      </w:r>
      <w:r w:rsidRPr="008C7027">
        <w:rPr>
          <w:rFonts w:ascii="Times New Roman" w:eastAsia="Times New Roman" w:hAnsi="Times New Roman" w:cs="Times New Roman"/>
          <w:color w:val="222222"/>
          <w:spacing w:val="4"/>
          <w:sz w:val="27"/>
          <w:szCs w:val="27"/>
          <w:lang w:eastAsia="ru-RU"/>
        </w:rPr>
        <w:t> – группа злокачественных опухолей, исходящих из слизистой оболочки толстой кишки.</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 3-5% пациентов развитие рака ободочной кишки связано с наличием известных наследственных синдромов, наиболее распространенные из которых – синдром Линча, семейный аденоматоз толстой кишки и </w:t>
      </w:r>
      <w:r w:rsidRPr="008C7027">
        <w:rPr>
          <w:rFonts w:ascii="Times New Roman" w:eastAsia="Times New Roman" w:hAnsi="Times New Roman" w:cs="Times New Roman"/>
          <w:i/>
          <w:iCs/>
          <w:color w:val="333333"/>
          <w:spacing w:val="4"/>
          <w:sz w:val="27"/>
          <w:szCs w:val="27"/>
          <w:lang w:eastAsia="ru-RU"/>
        </w:rPr>
        <w:t>MUTYH</w:t>
      </w:r>
      <w:r w:rsidRPr="008C7027">
        <w:rPr>
          <w:rFonts w:ascii="Times New Roman" w:eastAsia="Times New Roman" w:hAnsi="Times New Roman" w:cs="Times New Roman"/>
          <w:color w:val="222222"/>
          <w:spacing w:val="4"/>
          <w:sz w:val="27"/>
          <w:szCs w:val="27"/>
          <w:lang w:eastAsia="ru-RU"/>
        </w:rPr>
        <w:t>-ассоциированный полипоз, редкие гамартомные полипозные синдромы. У остальных пациентов рак ободочной кишки и ректосигмоидного отдела носит спорадический характер. Как факторы риска развития данной патологии рассматриваются хронические воспалительные заболевания толстой кишки (например, неспецифический язвенный колит, болезнь Крона), курение, употребление алкоголя, преобладание в рационе красного мяса, сахарный диабет, ожирение или повышенный индекс массы тела, низкая физическая активность [1–13].</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Рак ободочной кишки и ректосигмоидного отдела среди других злокачественных опухолей занимает лидирующие позиции по заболеваемости и смертности. В 2022 г. в России зарегистрировано 44 349 новых случаев рака ободочной кишки, 23 364 пациента умерли от этого заболевания [14].</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C18 Злокачественное новообразование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С18.0 Злокачественное новообразование слепой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С18.1 Злокачественное новообразование червеобразного отростка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С18.2 Злокачественное новообразование восходящей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С18.3 Злокачественное новообразование печеночного изгиба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С18.4 Злокачественное новообразование поперечной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С18.5 Злокачественное новообразование селезеночного изгиба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С18.6 Злокачественное новообразование нисходящей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С18.7 Злокачественное новообразование сигмовидной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С18.8 Поражение ободочной кишки, выходящее за пределы одной и более вышеуказанных локализаций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С18.9 Злокачественное новообразование ободочной кишки неуточненной локализации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C19 Злокачественное новообразование ректосигмоидного соединения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D01.0 Карцинома in situ ободочной кишки</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Международная гистологическая классификация (ВОЗ, 2019)</w:t>
      </w:r>
      <w:r w:rsidRPr="008C7027">
        <w:rPr>
          <w:rFonts w:ascii="Times New Roman" w:eastAsia="Times New Roman" w:hAnsi="Times New Roman" w:cs="Times New Roman"/>
          <w:b/>
          <w:bCs/>
          <w:color w:val="222222"/>
          <w:spacing w:val="4"/>
          <w:sz w:val="20"/>
          <w:szCs w:val="20"/>
          <w:vertAlign w:val="superscript"/>
          <w:lang w:eastAsia="ru-RU"/>
        </w:rPr>
        <w:t>[1]</w:t>
      </w:r>
      <w:r w:rsidRPr="008C7027">
        <w:rPr>
          <w:rFonts w:ascii="Times New Roman" w:eastAsia="Times New Roman" w:hAnsi="Times New Roman" w:cs="Times New Roman"/>
          <w:b/>
          <w:bCs/>
          <w:color w:val="222222"/>
          <w:spacing w:val="4"/>
          <w:sz w:val="27"/>
          <w:szCs w:val="27"/>
          <w:lang w:eastAsia="ru-RU"/>
        </w:rPr>
        <w:t> [7, 205]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Эпителиальные опухоли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I. Доброкачественные опухоли: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8211/0 Тубулярная аденома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8261/0 Ворсинчатая аденома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8263/0 Тубулярно-ворсинчатая аденома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8220/0 Аденоматозный полип</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8213/0 Зубчатая дисплазия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II. Интраэпителиальная неоплазия (дисплазия), связанная с хроническими воспалительными заболеваниями кишечника: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8148/2 Железистая интраэпителиальная неоплазия высокой степени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8148/0 Железистая интраэпителиальная неоплазия низкой степени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III. Рак:</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8140/3 Аденокарцинома, БДУ</w:t>
      </w:r>
      <w:r w:rsidRPr="008C7027">
        <w:rPr>
          <w:rFonts w:ascii="Times New Roman" w:eastAsia="Times New Roman" w:hAnsi="Times New Roman" w:cs="Times New Roman"/>
          <w:color w:val="222222"/>
          <w:spacing w:val="4"/>
          <w:sz w:val="20"/>
          <w:szCs w:val="20"/>
          <w:vertAlign w:val="superscript"/>
          <w:lang w:eastAsia="ru-RU"/>
        </w:rPr>
        <w:t>[2]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8213/3 Зубчатая аденокарцинома</w:t>
      </w:r>
      <w:r w:rsidRPr="008C7027">
        <w:rPr>
          <w:rFonts w:ascii="Times New Roman" w:eastAsia="Times New Roman" w:hAnsi="Times New Roman" w:cs="Times New Roman"/>
          <w:color w:val="222222"/>
          <w:spacing w:val="4"/>
          <w:sz w:val="20"/>
          <w:szCs w:val="20"/>
          <w:vertAlign w:val="superscript"/>
          <w:lang w:eastAsia="ru-RU"/>
        </w:rPr>
        <w:t>[3]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8262/3 Аденомоподобная аденокарцинома</w:t>
      </w:r>
      <w:r w:rsidRPr="008C7027">
        <w:rPr>
          <w:rFonts w:ascii="Times New Roman" w:eastAsia="Times New Roman" w:hAnsi="Times New Roman" w:cs="Times New Roman"/>
          <w:color w:val="222222"/>
          <w:spacing w:val="4"/>
          <w:sz w:val="20"/>
          <w:szCs w:val="20"/>
          <w:vertAlign w:val="superscript"/>
          <w:lang w:eastAsia="ru-RU"/>
        </w:rPr>
        <w:t>[4]</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8265/3 Микропапиллярная аденокарцинома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8480/3 Муцинозная (слизистая) аденокарцинома</w:t>
      </w:r>
      <w:r w:rsidRPr="008C7027">
        <w:rPr>
          <w:rFonts w:ascii="Times New Roman" w:eastAsia="Times New Roman" w:hAnsi="Times New Roman" w:cs="Times New Roman"/>
          <w:color w:val="222222"/>
          <w:spacing w:val="4"/>
          <w:sz w:val="20"/>
          <w:szCs w:val="20"/>
          <w:vertAlign w:val="superscript"/>
          <w:lang w:eastAsia="ru-RU"/>
        </w:rPr>
        <w:t>[5]</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8490/3 Рак с диффузным типом роста.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8490/3 Перстневидно-клеточный рак</w:t>
      </w:r>
      <w:r w:rsidRPr="008C7027">
        <w:rPr>
          <w:rFonts w:ascii="Times New Roman" w:eastAsia="Times New Roman" w:hAnsi="Times New Roman" w:cs="Times New Roman"/>
          <w:color w:val="222222"/>
          <w:spacing w:val="4"/>
          <w:sz w:val="20"/>
          <w:szCs w:val="20"/>
          <w:vertAlign w:val="superscript"/>
          <w:lang w:eastAsia="ru-RU"/>
        </w:rPr>
        <w:t>[6]</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8560/3 Железисто-плоскоклеточный рак.</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8510/3 Медуллярный рак</w:t>
      </w:r>
      <w:r w:rsidRPr="008C7027">
        <w:rPr>
          <w:rFonts w:ascii="Times New Roman" w:eastAsia="Times New Roman" w:hAnsi="Times New Roman" w:cs="Times New Roman"/>
          <w:color w:val="222222"/>
          <w:spacing w:val="4"/>
          <w:sz w:val="20"/>
          <w:szCs w:val="20"/>
          <w:vertAlign w:val="superscript"/>
          <w:lang w:eastAsia="ru-RU"/>
        </w:rPr>
        <w:t>[7]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8220/3 Недифференцированный рак, БДУ</w:t>
      </w:r>
      <w:r w:rsidRPr="008C7027">
        <w:rPr>
          <w:rFonts w:ascii="Times New Roman" w:eastAsia="Times New Roman" w:hAnsi="Times New Roman" w:cs="Times New Roman"/>
          <w:color w:val="222222"/>
          <w:spacing w:val="4"/>
          <w:sz w:val="20"/>
          <w:szCs w:val="20"/>
          <w:vertAlign w:val="superscript"/>
          <w:lang w:eastAsia="ru-RU"/>
        </w:rPr>
        <w:t>[8]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8033/3 Рак с саркоматоидным компонентом</w:t>
      </w:r>
      <w:r w:rsidRPr="008C7027">
        <w:rPr>
          <w:rFonts w:ascii="Times New Roman" w:eastAsia="Times New Roman" w:hAnsi="Times New Roman" w:cs="Times New Roman"/>
          <w:color w:val="222222"/>
          <w:spacing w:val="4"/>
          <w:sz w:val="20"/>
          <w:szCs w:val="20"/>
          <w:vertAlign w:val="superscript"/>
          <w:lang w:eastAsia="ru-RU"/>
        </w:rPr>
        <w:t>[9]</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8240/3 Нейроэндокринная опухоль, БДУ.</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8240/3 Нейроэндокринная опухоль, G1.</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8249/3 Нейроэндокринная опухоль, G2.</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8249/3 Нейроэндокринная опухоль, G3.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8246/3 Нейроэндокринный рак, БДУ</w:t>
      </w:r>
      <w:r w:rsidRPr="008C7027">
        <w:rPr>
          <w:rFonts w:ascii="Times New Roman" w:eastAsia="Times New Roman" w:hAnsi="Times New Roman" w:cs="Times New Roman"/>
          <w:color w:val="222222"/>
          <w:spacing w:val="4"/>
          <w:sz w:val="20"/>
          <w:szCs w:val="20"/>
          <w:vertAlign w:val="superscript"/>
          <w:lang w:eastAsia="ru-RU"/>
        </w:rPr>
        <w:t>[10]</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8041/3 Мелкоклеточный рак.</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8013/3 Крупноклеточный нейроэндокринный рак.</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8154/3 Смешанное нейроэндокринно-ненейроэндокринное новообразование</w:t>
      </w:r>
      <w:r w:rsidRPr="008C7027">
        <w:rPr>
          <w:rFonts w:ascii="Times New Roman" w:eastAsia="Times New Roman" w:hAnsi="Times New Roman" w:cs="Times New Roman"/>
          <w:color w:val="222222"/>
          <w:spacing w:val="4"/>
          <w:sz w:val="20"/>
          <w:szCs w:val="20"/>
          <w:vertAlign w:val="superscript"/>
          <w:lang w:eastAsia="ru-RU"/>
        </w:rPr>
        <w:t>[11]</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Согласно Классификации ВОЗ (2019), гистологическая градация аденокарциномы толстой кишки становится двухступенчатой вместо ранее используемой 4-ступенчатой шкалы (G1-G4):</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аденокарцинома низкой степени злокачественности (включает высоко- и умеренно дифференцированные карциномы G1-G2),</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аденокарцинома высокой степени злокачественности (включает низкодифференцированные карциномы G3).</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Гистологической градации подлежат только аденокарцинома кишечного типа и слизистая аденокарцинома. Гистологическая градация зубчатой аденокарциномы, микропапиллярной аденокарциномы, диффузного рака, перстневидноклеточного рака, саркоматоидного рака, недифференцированного рака не проводится в связи с тем, что данные опухоли всегда имеют высокую степень злокачественности.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Гистологическая градация аденомоподобной аденокарциномы и медуллярного рака не проводится в связи с тем, что данные опухоли отличаются благоприятным прогнозом.</w:t>
      </w:r>
    </w:p>
    <w:p w:rsidR="008C7027" w:rsidRPr="008C7027" w:rsidRDefault="008C7027" w:rsidP="008C70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[1]</w:t>
      </w:r>
      <w:r w:rsidRPr="008C7027">
        <w:rPr>
          <w:rFonts w:ascii="Times New Roman" w:eastAsia="Times New Roman" w:hAnsi="Times New Roman" w:cs="Times New Roman"/>
          <w:color w:val="222222"/>
          <w:spacing w:val="4"/>
          <w:sz w:val="27"/>
          <w:szCs w:val="27"/>
          <w:lang w:eastAsia="ru-RU"/>
        </w:rPr>
        <w:t> Действующая гистологическая классификация приведена в сокращенном варианте.</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lastRenderedPageBreak/>
        <w:t>[2]</w:t>
      </w:r>
      <w:r w:rsidRPr="008C7027">
        <w:rPr>
          <w:rFonts w:ascii="Times New Roman" w:eastAsia="Times New Roman" w:hAnsi="Times New Roman" w:cs="Times New Roman"/>
          <w:color w:val="222222"/>
          <w:spacing w:val="4"/>
          <w:sz w:val="27"/>
          <w:szCs w:val="27"/>
          <w:lang w:eastAsia="ru-RU"/>
        </w:rPr>
        <w:t> Аденокарцинома кишечного типа, без дополнительного уточнения. По степени дифференцировки (и соответствующей степени злокачественности) опухоли делятся на высокодифференцированные/G1 (96-100% эпителиальных элементов инвазивной опухоли представлено железистыми структурами), умеренно дифференцированные/G2 (50-95% эпителиальных элементов инвазивной опухоли представлено железистыми структурами), низкодифференцированные/G3 (0-49% эпителиальных элементов инвазивной опухоли представлено железистыми структурами).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[3]</w:t>
      </w:r>
      <w:r w:rsidRPr="008C7027">
        <w:rPr>
          <w:rFonts w:ascii="Times New Roman" w:eastAsia="Times New Roman" w:hAnsi="Times New Roman" w:cs="Times New Roman"/>
          <w:color w:val="222222"/>
          <w:spacing w:val="4"/>
          <w:sz w:val="27"/>
          <w:szCs w:val="27"/>
          <w:lang w:eastAsia="ru-RU"/>
        </w:rPr>
        <w:t> При правосторонней локализации опухоль часто ассоциирована с микросателлитной нестабильностью высокого уровня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[4]</w:t>
      </w:r>
      <w:r w:rsidRPr="008C7027">
        <w:rPr>
          <w:rFonts w:ascii="Times New Roman" w:eastAsia="Times New Roman" w:hAnsi="Times New Roman" w:cs="Times New Roman"/>
          <w:color w:val="222222"/>
          <w:spacing w:val="4"/>
          <w:sz w:val="27"/>
          <w:szCs w:val="27"/>
          <w:lang w:eastAsia="ru-RU"/>
        </w:rPr>
        <w:t> Нозологическая единица впервые введена комитетом Международного агентства по изучению рака (International Agency for Research on Cancer) и ВОЗ в МКБ-О в 2019 г.</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[5]</w:t>
      </w:r>
      <w:r w:rsidRPr="008C7027">
        <w:rPr>
          <w:rFonts w:ascii="Times New Roman" w:eastAsia="Times New Roman" w:hAnsi="Times New Roman" w:cs="Times New Roman"/>
          <w:color w:val="222222"/>
          <w:spacing w:val="4"/>
          <w:sz w:val="27"/>
          <w:szCs w:val="27"/>
          <w:lang w:eastAsia="ru-RU"/>
        </w:rPr>
        <w:t> Диагноз устанавливается, если &gt;50% объема опухоли представлено внеклеточной слизью, допустимо наличие перстневидноклеточных элементов (&lt;50% всех клеток инвазивной опухоли). Оценка степени дифференцировки аналогична таковой при типичной аденокарциноме. При правосторонней локализации опухоль часто ассоциирована с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[6]</w:t>
      </w:r>
      <w:r w:rsidRPr="008C7027">
        <w:rPr>
          <w:rFonts w:ascii="Times New Roman" w:eastAsia="Times New Roman" w:hAnsi="Times New Roman" w:cs="Times New Roman"/>
          <w:color w:val="222222"/>
          <w:spacing w:val="4"/>
          <w:sz w:val="27"/>
          <w:szCs w:val="27"/>
          <w:lang w:eastAsia="ru-RU"/>
        </w:rPr>
        <w:t> Диагноз устанавливается, если &gt;50% клеток опухоли представлено перстневидноклеточными элементами. При правосторонней локализации опухоль часто ассоциирована с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[7]</w:t>
      </w:r>
      <w:r w:rsidRPr="008C7027">
        <w:rPr>
          <w:rFonts w:ascii="Times New Roman" w:eastAsia="Times New Roman" w:hAnsi="Times New Roman" w:cs="Times New Roman"/>
          <w:color w:val="222222"/>
          <w:spacing w:val="4"/>
          <w:sz w:val="27"/>
          <w:szCs w:val="27"/>
          <w:lang w:eastAsia="ru-RU"/>
        </w:rPr>
        <w:t> При правосторонней локализации опухоль часто ассоциирована с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[8]</w:t>
      </w:r>
      <w:r w:rsidRPr="008C7027">
        <w:rPr>
          <w:rFonts w:ascii="Times New Roman" w:eastAsia="Times New Roman" w:hAnsi="Times New Roman" w:cs="Times New Roman"/>
          <w:color w:val="222222"/>
          <w:spacing w:val="4"/>
          <w:sz w:val="27"/>
          <w:szCs w:val="27"/>
          <w:lang w:eastAsia="ru-RU"/>
        </w:rPr>
        <w:t> Является диагнозом исключения: устанавливается только по результатам дополнительных исследований (иммуногистохимическое исследование при выполнении патолого-анатомического исследования, электронной микроскопии).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[9]</w:t>
      </w:r>
      <w:r w:rsidRPr="008C7027">
        <w:rPr>
          <w:rFonts w:ascii="Times New Roman" w:eastAsia="Times New Roman" w:hAnsi="Times New Roman" w:cs="Times New Roman"/>
          <w:color w:val="222222"/>
          <w:spacing w:val="4"/>
          <w:sz w:val="27"/>
          <w:szCs w:val="27"/>
          <w:lang w:eastAsia="ru-RU"/>
        </w:rPr>
        <w:t> Нозологическая единица впервые введена комитетом Международного агентства по изучению рака (International Agency for Research on Cancer) и ВОЗ в МКБ-О в 2019 г. Является диагнозом исключения, соответствует G3-G4.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[10]</w:t>
      </w:r>
      <w:r w:rsidRPr="008C7027">
        <w:rPr>
          <w:rFonts w:ascii="Times New Roman" w:eastAsia="Times New Roman" w:hAnsi="Times New Roman" w:cs="Times New Roman"/>
          <w:color w:val="222222"/>
          <w:spacing w:val="4"/>
          <w:sz w:val="27"/>
          <w:szCs w:val="27"/>
          <w:lang w:eastAsia="ru-RU"/>
        </w:rPr>
        <w:t> Диагноз устанавливается только по результатам дополнительных исследований (иммуногистохимическое исследование при выполнении патолого-анатомического исследования, электронной микроскопии).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[11]</w:t>
      </w:r>
      <w:r w:rsidRPr="008C7027">
        <w:rPr>
          <w:rFonts w:ascii="Times New Roman" w:eastAsia="Times New Roman" w:hAnsi="Times New Roman" w:cs="Times New Roman"/>
          <w:color w:val="222222"/>
          <w:spacing w:val="4"/>
          <w:sz w:val="27"/>
          <w:szCs w:val="27"/>
          <w:lang w:eastAsia="ru-RU"/>
        </w:rPr>
        <w:t> Диагноз устанавливается только по результатам дополнительных исследований: смешанное нейроэндокринно-ненейроэндокринное новообразование является диморфным раком, сочетающим компоненты аденокарциномы и нейроэндокринного рака/опухоли (доля любого компонента должна составлять не менее 30%).</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Заболевание может манифестировать симптомами нарушения функции желудочно-кишечного тракта (тошнота, рвота, диарея, запоры, метеоризм, отсутствие аппетита, боли в животе), анемии, снижения веса, слабости, лихорадки, выделения крови и слизи с калом. Также заболевание может начинаться с картины острой или частичной кишечной непроходимости.</w:t>
      </w:r>
    </w:p>
    <w:p w:rsidR="008C7027" w:rsidRPr="008C7027" w:rsidRDefault="008C7027" w:rsidP="008C70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C7027">
        <w:rPr>
          <w:rFonts w:ascii="Times New Roman" w:eastAsia="Times New Roman" w:hAnsi="Times New Roman" w:cs="Times New Roman"/>
          <w:b/>
          <w:bCs/>
          <w:color w:val="222222"/>
          <w:spacing w:val="4"/>
          <w:sz w:val="27"/>
          <w:szCs w:val="27"/>
          <w:u w:val="single"/>
          <w:lang w:eastAsia="ru-RU"/>
        </w:rPr>
        <w:t>1.6.1. Стадирование рака ободочной кишки по системе TNM-8 (2017)</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Для рака ободочной кишки и ректосигмоидного отдела толстой кишки используется единая классификация.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Символ Т содержит следующие градации: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 – первичная опухоль.</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Тх – недостаточно данных для оценки первичной опухоли.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Тis – преинвазивный рак (интраэпителиальная инвазия или инвазия в собственную пластинку слизистой оболочки).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Т1 – опухоль распространяется в подслизистый слой стенки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Т2 – опухоль распространяется в мышечный слой.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Т3 – врастание в субсерозу или неперитонизированную околокишечную клетчатку.</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 отношении опухолей, расположенных в ректосигмоидном отделе ободочной кишки (покрытых брюшиной), символ Т3 применяется для обозначения распространения до субсерозы (опухоль не прорастает в серозную оболочку).</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Т4 – прорастание опухоли в окружающие органы и ткани или прорастание опухоли в висцеральную брюшину.</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Т4а – опухоль прорастает в висцеральную брюшину.</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Т4b – опухоль прорастает в другие органы и структуры.</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N – вовлечение регионарных лимфатических узлов: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Nх – недостаточно данных для оценки регионарных лимфатических узлов.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N0 – нет поражения регионарных лимфатических узлов.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N1 – метастазы в 1-3 регионарных лимфатических узлах.</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N1a – метастазы в 1 регионарном лимфатическом узле.</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N1b – метастазы в 2-3 регионарных лимфатических узлах.</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N1c – диссеминаты в брыжейке без поражения регионарных лимфатических узлов.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N2 – метастазы в 4 и более регионарных лимфатических узлах.</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N2a – поражено 4-6 регионарных лимфатических узлов.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N2b – поражено 7 и более регионарных лимфатических узлов.</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M – отдаленные метастазы:</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М0 – отдаленных метастазов нет.</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М1 – наличие отдаленных метастазов.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М1a – наличие отдаленных метастазов в 1 органе.</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М1b – наличие отдаленных метастазов более чем в 1 органе.</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M1c – метастазы по брюшине.</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Группировка по стадиям представлена в таблице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Таблица 1. </w:t>
      </w:r>
      <w:r w:rsidRPr="008C7027">
        <w:rPr>
          <w:rFonts w:ascii="Times New Roman" w:eastAsia="Times New Roman" w:hAnsi="Times New Roman" w:cs="Times New Roman"/>
          <w:color w:val="222222"/>
          <w:spacing w:val="4"/>
          <w:sz w:val="27"/>
          <w:szCs w:val="27"/>
          <w:lang w:eastAsia="ru-RU"/>
        </w:rPr>
        <w:t>Стадии рака толстой кишки</w:t>
      </w:r>
    </w:p>
    <w:tbl>
      <w:tblPr>
        <w:tblW w:w="14024" w:type="dxa"/>
        <w:tblCellMar>
          <w:left w:w="0" w:type="dxa"/>
          <w:right w:w="0" w:type="dxa"/>
        </w:tblCellMar>
        <w:tblLook w:val="04A0" w:firstRow="1" w:lastRow="0" w:firstColumn="1" w:lastColumn="0" w:noHBand="0" w:noVBand="1"/>
      </w:tblPr>
      <w:tblGrid>
        <w:gridCol w:w="4073"/>
        <w:gridCol w:w="3570"/>
        <w:gridCol w:w="4501"/>
        <w:gridCol w:w="1880"/>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M</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 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 2a, 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 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1a</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1b</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IVc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1с</w:t>
            </w:r>
          </w:p>
        </w:tc>
      </w:tr>
    </w:tbl>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Определение регионарных лимфатических узлов в зависимости от локализации опухоли представлено в таблице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Таблица 2. </w:t>
      </w:r>
      <w:r w:rsidRPr="008C7027">
        <w:rPr>
          <w:rFonts w:ascii="Times New Roman" w:eastAsia="Times New Roman" w:hAnsi="Times New Roman" w:cs="Times New Roman"/>
          <w:color w:val="222222"/>
          <w:spacing w:val="4"/>
          <w:sz w:val="27"/>
          <w:szCs w:val="27"/>
          <w:lang w:eastAsia="ru-RU"/>
        </w:rPr>
        <w:t>Расположение регионарных лимфатических узлов в зависимости от локализации первичной опухоли</w:t>
      </w:r>
    </w:p>
    <w:tbl>
      <w:tblPr>
        <w:tblW w:w="14024" w:type="dxa"/>
        <w:tblCellMar>
          <w:left w:w="0" w:type="dxa"/>
          <w:right w:w="0" w:type="dxa"/>
        </w:tblCellMar>
        <w:tblLook w:val="04A0" w:firstRow="1" w:lastRow="0" w:firstColumn="1" w:lastColumn="0" w:noHBand="0" w:noVBand="1"/>
      </w:tblPr>
      <w:tblGrid>
        <w:gridCol w:w="4708"/>
        <w:gridCol w:w="9316"/>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Локализация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Локализация регионарных лимфатических узлов</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Червеобразный отросток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 ileocolica</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Слепая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 ileocolica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dextra</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Восходящая ободочная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 ileocolica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dextra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media</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Печеночный изгиб ободочной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 colica dextra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media</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Поперечная ободочная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 colica dextra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media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sinistra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mesenterica inferior</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Селезеночный изгиб ободочной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 colica media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sinistra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mesenterica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inferior</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Нисходящая ободочная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 colica sinistra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mesenterica inferior</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Сигмовидная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Вдоль </w:t>
            </w:r>
            <w:r w:rsidRPr="008C7027">
              <w:rPr>
                <w:rFonts w:ascii="Verdana" w:eastAsia="Times New Roman" w:hAnsi="Verdana" w:cs="Times New Roman"/>
                <w:i/>
                <w:iCs/>
                <w:color w:val="333333"/>
                <w:sz w:val="27"/>
                <w:szCs w:val="27"/>
                <w:lang w:eastAsia="ru-RU"/>
              </w:rPr>
              <w:t>aa. sigmoideae</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colica sinistra</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rectalis superior</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a. mesenterica inferior</w:t>
            </w:r>
          </w:p>
        </w:tc>
      </w:tr>
    </w:tbl>
    <w:p w:rsidR="008C7027" w:rsidRPr="008C7027" w:rsidRDefault="008C7027" w:rsidP="008C70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C7027">
        <w:rPr>
          <w:rFonts w:ascii="Times New Roman" w:eastAsia="Times New Roman" w:hAnsi="Times New Roman" w:cs="Times New Roman"/>
          <w:b/>
          <w:bCs/>
          <w:color w:val="222222"/>
          <w:spacing w:val="4"/>
          <w:sz w:val="27"/>
          <w:szCs w:val="27"/>
          <w:u w:val="single"/>
          <w:lang w:eastAsia="ru-RU"/>
        </w:rPr>
        <w:t>1.6.2. Стадирование по Kikuchi раннего рака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планировании местного иссечения рака ободочной кишки Т1 рекомендовано уточнять стадию заболевания на основании данных магнитно-резонансной томографии (МРТ) и колоноскопии в сочетании с одновременной оценкой степени инвазии ультразвуковым методом по нижеследующим критериям.</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Т1sm1 – глубина инвазии опухоли в подслизистый слой до 1/3 его толщины.</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Т1sm2 – умеренная глубина инвазии опухоли в подслизистый слой – до 2/3 его толщины.</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T1sm3 – полная инвазия опухоли в подслизистый слой – на всю его толщину.</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Окончательное стадирование проводится по результатам патолого-анатомического исследования операционного материала. Стадирование по Kikuchi или Haggitt возможно только при наличии в удаленном макропрепарате мышечного слоя кишечной стенки.</w:t>
      </w:r>
    </w:p>
    <w:p w:rsidR="008C7027" w:rsidRPr="008C7027" w:rsidRDefault="008C7027" w:rsidP="008C70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C7027">
        <w:rPr>
          <w:rFonts w:ascii="Times New Roman" w:eastAsia="Times New Roman" w:hAnsi="Times New Roman" w:cs="Times New Roman"/>
          <w:b/>
          <w:bCs/>
          <w:color w:val="222222"/>
          <w:spacing w:val="4"/>
          <w:sz w:val="27"/>
          <w:szCs w:val="27"/>
          <w:u w:val="single"/>
          <w:lang w:eastAsia="ru-RU"/>
        </w:rPr>
        <w:t>1.6.3. Стадирование по Haggitt малигнизированных полипов ободочной кишки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Для определения тактики лечения малигнизированных полипов ободочной кишки рекомендовано стадирование по результатам морфологического исследования.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Уровень 0 – отсутствие инвазивной карциномы.</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Уровень I – инвазия в «головку» полипа.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Уровень II – инвазия в «шейку» полипа.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Уровень III – инвазия в «ножку» полипа.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Уровень IV – инвазия в «основание» полипа.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Уровни I-III соответствуют T1sm1, а уровень IV может соответствовать T1sm1-T1sm3.</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Критерии установления диагноза: </w:t>
      </w:r>
      <w:r w:rsidRPr="008C7027">
        <w:rPr>
          <w:rFonts w:ascii="Times New Roman" w:eastAsia="Times New Roman" w:hAnsi="Times New Roman" w:cs="Times New Roman"/>
          <w:color w:val="222222"/>
          <w:spacing w:val="4"/>
          <w:sz w:val="27"/>
          <w:szCs w:val="27"/>
          <w:lang w:eastAsia="ru-RU"/>
        </w:rPr>
        <w:t>жалобы, анамнез, данные физикального обследования, морфологического исследования опухолевого материала, инструментальных и лабораторных исследований.</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2.1 Жалобы и анамнез</w:t>
      </w:r>
    </w:p>
    <w:p w:rsidR="008C7027" w:rsidRPr="008C7027" w:rsidRDefault="008C7027" w:rsidP="008C702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тщательный сбор жалоб и анамнеза (сбор анамнеза и жалоб при заболеваниях толстой кишки) пациентов с раком ободочной кишки с целью выявления факторов, которые могут повлиять на выбор тактики лечения [15, 16].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у 3-5% пациентов с раком ободочной кишки развитие заболевания связано с наличием известных наследственных синдромов. Наиболее распространенные из них – синдром Линча, семейный аденоматоз толстой кишки и MUTYH-ассоциированный полипоз.</w:t>
      </w:r>
    </w:p>
    <w:p w:rsidR="008C7027" w:rsidRPr="008C7027" w:rsidRDefault="008C7027" w:rsidP="008C702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собрать семейный анамнез и проанализировать его на соответствие критериям Amsterdam II (приложение Г1), рекомендациям Bethesda (приложение Г2) и критериев НМИЦ колопроктологии им. А.Н. Рыжих (Приложение Г) у всех пациентов с раком ободочной кишки [2, 122, 123].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A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При соответствии анамнеза пациента критериям Amsterdam II, НМИЦ колопроктологии им. А.Н. Рыжих или рекомендациям Bethesda целесообразно провести исследование его опухолевого образца на наличие дефицита белков системы репарации неспаренных оснований иммуногистохимическим (ИГХ) методом, а при  обнаружении данного дефекта в дальнейшем провести секвенирование соответствующего (только одного) гена системы MMR для поиска наследственного патогенного варианта. Если же у пациента проводится поиск микросателлитной настабильности в образце опухоли, и она обнаруживается, а возможности провести исследование дефицита белков системы репарации неспаренных оснований ИГХ методом – нет, то необходимо провести секвенирование всех 4 генов системы MMR. Если при секвенировании генов MMR патогенный вариант не обнаружен, то желателен поиск крупных вставок/делеций методом MLPA.</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В случае, когда пациент не соответствует указанным критериям, но в его образце обнаружена микросателлитная нестабильность/дефицит белков системы репарации неспаренных оснований, возможно рассмотреть дальнейшее исследование генов системы MMR.</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2.2 Физикальное обследование</w:t>
      </w:r>
    </w:p>
    <w:p w:rsidR="008C7027" w:rsidRPr="008C7027" w:rsidRDefault="008C7027" w:rsidP="008C702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Больным раком ободочной кишки до начала лечения </w:t>
      </w:r>
      <w:r w:rsidRPr="008C7027">
        <w:rPr>
          <w:rFonts w:ascii="Times New Roman" w:eastAsia="Times New Roman" w:hAnsi="Times New Roman" w:cs="Times New Roman"/>
          <w:b/>
          <w:bCs/>
          <w:color w:val="222222"/>
          <w:spacing w:val="4"/>
          <w:sz w:val="27"/>
          <w:szCs w:val="27"/>
          <w:lang w:eastAsia="ru-RU"/>
        </w:rPr>
        <w:t>рекомендуются</w:t>
      </w:r>
      <w:r w:rsidRPr="008C7027">
        <w:rPr>
          <w:rFonts w:ascii="Times New Roman" w:eastAsia="Times New Roman" w:hAnsi="Times New Roman" w:cs="Times New Roman"/>
          <w:color w:val="222222"/>
          <w:spacing w:val="4"/>
          <w:sz w:val="27"/>
          <w:szCs w:val="27"/>
          <w:lang w:eastAsia="ru-RU"/>
        </w:rPr>
        <w:t> тщательный физикальный осмотр (включающий трансректальное пальцевое исследование) с целью исключения синхронных опухолей прямой кишки и оценка нутритивного статуса с целью определения потенциальной переносимости противоопухолевого лечения [15].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определение функционального статуса пациента по шкале ECOG или по шкале Карновского перед началом любого противоопухолевого лечения с целью оценки потенциальной переносимости противоопухолевого лечения [16].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8C7027" w:rsidRPr="008C7027" w:rsidRDefault="008C7027" w:rsidP="008C702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 </w:t>
      </w:r>
      <w:r w:rsidRPr="008C7027">
        <w:rPr>
          <w:rFonts w:ascii="Times New Roman" w:eastAsia="Times New Roman" w:hAnsi="Times New Roman" w:cs="Times New Roman"/>
          <w:color w:val="222222"/>
          <w:spacing w:val="4"/>
          <w:sz w:val="27"/>
          <w:szCs w:val="27"/>
          <w:lang w:eastAsia="ru-RU"/>
        </w:rPr>
        <w:t>всем больным раком ободочной кишки до начала лечения провести общий (клинический) анализ крови и анализ крови биохимический общетерапевтический, составить коагулограмму (ориентировочное исследование системы гемостаза) с целью оценки потенциальной переносимости противоопухолевого лечения [16, 18].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коагулограмму обязательно выполняют у пациентов, которым назначено хирургическое лечение, у остальных</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при наличии клинических показаний. Исследование уровня ракового эмбрионального антигена в крови (РЭА) показано всем пациентам на этапе первичного стадирования [18]. Перечень параметров биохимического анализа крови и коагулограммы лечащий врач должен определять для каждого пациента индивидуально, с учетом его особенностей.</w:t>
      </w:r>
    </w:p>
    <w:p w:rsidR="008C7027" w:rsidRPr="008C7027" w:rsidRDefault="008C7027" w:rsidP="008C702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молекулярно-генетическое исследование для выявления мутаций в генах </w:t>
      </w:r>
      <w:r w:rsidRPr="008C7027">
        <w:rPr>
          <w:rFonts w:ascii="Times New Roman" w:eastAsia="Times New Roman" w:hAnsi="Times New Roman" w:cs="Times New Roman"/>
          <w:i/>
          <w:iCs/>
          <w:color w:val="333333"/>
          <w:spacing w:val="4"/>
          <w:sz w:val="27"/>
          <w:szCs w:val="27"/>
          <w:lang w:eastAsia="ru-RU"/>
        </w:rPr>
        <w:t>KRAS</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NRAS </w:t>
      </w:r>
      <w:r w:rsidRPr="008C7027">
        <w:rPr>
          <w:rFonts w:ascii="Times New Roman" w:eastAsia="Times New Roman" w:hAnsi="Times New Roman" w:cs="Times New Roman"/>
          <w:color w:val="222222"/>
          <w:spacing w:val="4"/>
          <w:sz w:val="27"/>
          <w:szCs w:val="27"/>
          <w:lang w:eastAsia="ru-RU"/>
        </w:rPr>
        <w:t>(с указанием мутации – приложение A4), </w:t>
      </w:r>
      <w:r w:rsidRPr="008C7027">
        <w:rPr>
          <w:rFonts w:ascii="Times New Roman" w:eastAsia="Times New Roman" w:hAnsi="Times New Roman" w:cs="Times New Roman"/>
          <w:i/>
          <w:iCs/>
          <w:color w:val="333333"/>
          <w:spacing w:val="4"/>
          <w:sz w:val="27"/>
          <w:szCs w:val="27"/>
          <w:lang w:eastAsia="ru-RU"/>
        </w:rPr>
        <w:t>BRAF</w:t>
      </w:r>
      <w:r w:rsidRPr="008C7027">
        <w:rPr>
          <w:rFonts w:ascii="Times New Roman" w:eastAsia="Times New Roman" w:hAnsi="Times New Roman" w:cs="Times New Roman"/>
          <w:color w:val="222222"/>
          <w:spacing w:val="4"/>
          <w:sz w:val="27"/>
          <w:szCs w:val="27"/>
          <w:lang w:eastAsia="ru-RU"/>
        </w:rPr>
        <w:t> (с указанием класса мутации – приложение А5) и определение микросателлитной нестабильности в биопсийном (операционном) материале методом ПЦР или ИГХ исследование для выявления дефицита белков системы репарации неспаренных оснований (A08.30.040), экспрессии или амплификации Her2 (A08.30.013.001, A08.30.036, A08.30.037), если обнаружены отдаленные метастазы, что может повлиять на выбор таргетного агента для лечения метастатического процесса [39–41, 124]. Если мутации в генах </w:t>
      </w:r>
      <w:r w:rsidRPr="008C7027">
        <w:rPr>
          <w:rFonts w:ascii="Times New Roman" w:eastAsia="Times New Roman" w:hAnsi="Times New Roman" w:cs="Times New Roman"/>
          <w:i/>
          <w:iCs/>
          <w:color w:val="333333"/>
          <w:spacing w:val="4"/>
          <w:sz w:val="27"/>
          <w:szCs w:val="27"/>
          <w:lang w:eastAsia="ru-RU"/>
        </w:rPr>
        <w:t>KRAS</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NRAS</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BRAF </w:t>
      </w:r>
      <w:r w:rsidRPr="008C7027">
        <w:rPr>
          <w:rFonts w:ascii="Times New Roman" w:eastAsia="Times New Roman" w:hAnsi="Times New Roman" w:cs="Times New Roman"/>
          <w:color w:val="222222"/>
          <w:spacing w:val="4"/>
          <w:sz w:val="27"/>
          <w:szCs w:val="27"/>
          <w:lang w:eastAsia="ru-RU"/>
        </w:rPr>
        <w:t>определялись методом ПЦР и они не были обнаружены, то возможно проведение дальнейшего генетического поиска методом секвенирования, что может дополнительно выявить альтерации у 14-17% пациентов [131–133, 206, 207].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Молекулярно-генетический анализ возможно выполнять как на биопсийном материале опухоли, так и в циркулирующей опухолевой ДНК как методом ПЦР, так и секвенированием следующего поколения. Анализ циркулирующей опухолевой ДНК может быть использован при </w:t>
      </w:r>
      <w:r w:rsidRPr="008C7027">
        <w:rPr>
          <w:rFonts w:ascii="Times New Roman" w:eastAsia="Times New Roman" w:hAnsi="Times New Roman" w:cs="Times New Roman"/>
          <w:i/>
          <w:iCs/>
          <w:color w:val="333333"/>
          <w:spacing w:val="4"/>
          <w:sz w:val="27"/>
          <w:szCs w:val="27"/>
          <w:lang w:eastAsia="ru-RU"/>
        </w:rPr>
        <w:lastRenderedPageBreak/>
        <w:t>невозможности проанализировать опухолевый образец и может не отражать весь спектр молекулярных изменений в опухоли. При невозможности выполнения анализа на оптимальный спектр мутаций в генах RAS, необходимо рассмотреть возможность обращения в референсный центр. При метастатическом раке толстой кишки с микросателлитно нестабильным фенотипом возможно определение транслокаций генов NTRK, ROS1 (Молекулярно-генетическое исследование транслокаций гена ROS1), ALK (Молекулярно-генетическое исследование транслокаций гена ALK), RET (Молекулярно-генетическое исследование мутаций в гене RET в биопсийном (операционном) материале) в связи с относительно высоким шансом их наличия и наличия таргетных препаратов, нацеленных на данные мутации. В отсутствии микросателлитной нестабильности при метастатическом раке возможно рассмотреть определение соматических мутаций в генах POLD1 и POLE, при этом в заключении необходимо указывать только клинически значимые [250-253]. Пациентам, которым планируется проведение химиотерапии с включением аналогов пиримидина, возможно рассмотреть определение 4 основных вариантов гена DPYD: c.1905+1G&gt;A (rs3918290), c.2846A&gt;T (rs67376798), c.1679T&gt;G (rs55886062) и c.1236G&gt;A (rs56038477), ассоциированных с токсичностью данного класса препаратов (Определение полиморфизма гена DPYD методом ПЦР). При этом наличие гетерозиготных мутаций не всегда является отражением клинически значимого дефицита фермента дигидропиримидиндегидрогеназы, то есть при интерпретации результата нужно учитывать роль аллельного баланса в проявлении фенотипического признака [134]. Однако редкость гомозиготных вариантов данных мутаций не позволяет назначать данный анализ в рутинной практике всем пациентам. Пациентам, которым планируется проведение химиотерапии с включением иринотекана**, возможно рассмотреть определение мутаций гена UGT1A1 (Определение полиморфизма гена UGT1A1), ассоциированных с токсичностью данного класса препаратов [39–41, 124]. При местнораспространенном раке ободочной кишки (cT3N1-2M0, cT4N0-2M0) до начала лечения желательно выполнять определение микросателлитной нестабильности в биопсийном (операционном) материале методом ПЦР или ИГХ исследование для выявления дефицита белков системы репарации неспаренных оснований, что может повлиять на выбор тактики ведения пациента в плане рассмотрения возможности назначения неоадъювантной системной терапии [219]</w:t>
      </w:r>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Генетическое тестирование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 следующих случаях:</w:t>
      </w:r>
    </w:p>
    <w:p w:rsidR="008C7027" w:rsidRPr="008C7027" w:rsidRDefault="008C7027" w:rsidP="008C702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1.1. Подозрение на синдром Линча – секвенирование генов </w:t>
      </w:r>
      <w:r w:rsidRPr="008C7027">
        <w:rPr>
          <w:rFonts w:ascii="Times New Roman" w:eastAsia="Times New Roman" w:hAnsi="Times New Roman" w:cs="Times New Roman"/>
          <w:i/>
          <w:iCs/>
          <w:color w:val="333333"/>
          <w:spacing w:val="4"/>
          <w:sz w:val="27"/>
          <w:szCs w:val="27"/>
          <w:lang w:eastAsia="ru-RU"/>
        </w:rPr>
        <w:t>MLH1, MSH2, MSH6</w:t>
      </w:r>
      <w:r w:rsidRPr="008C7027">
        <w:rPr>
          <w:rFonts w:ascii="Times New Roman" w:eastAsia="Times New Roman" w:hAnsi="Times New Roman" w:cs="Times New Roman"/>
          <w:color w:val="222222"/>
          <w:spacing w:val="4"/>
          <w:sz w:val="27"/>
          <w:szCs w:val="27"/>
          <w:lang w:eastAsia="ru-RU"/>
        </w:rPr>
        <w:t> и </w:t>
      </w:r>
      <w:r w:rsidRPr="008C7027">
        <w:rPr>
          <w:rFonts w:ascii="Times New Roman" w:eastAsia="Times New Roman" w:hAnsi="Times New Roman" w:cs="Times New Roman"/>
          <w:i/>
          <w:iCs/>
          <w:color w:val="333333"/>
          <w:spacing w:val="4"/>
          <w:sz w:val="27"/>
          <w:szCs w:val="27"/>
          <w:lang w:eastAsia="ru-RU"/>
        </w:rPr>
        <w:t>PMS2</w:t>
      </w:r>
      <w:r w:rsidRPr="008C7027">
        <w:rPr>
          <w:rFonts w:ascii="Times New Roman" w:eastAsia="Times New Roman" w:hAnsi="Times New Roman" w:cs="Times New Roman"/>
          <w:color w:val="222222"/>
          <w:spacing w:val="4"/>
          <w:sz w:val="27"/>
          <w:szCs w:val="27"/>
          <w:lang w:eastAsia="ru-RU"/>
        </w:rPr>
        <w:t> и поиск крупных делеций/вставок методом MLPA (Молекулярно-генетическое исследование мутаций в генах </w:t>
      </w:r>
      <w:r w:rsidRPr="008C7027">
        <w:rPr>
          <w:rFonts w:ascii="Times New Roman" w:eastAsia="Times New Roman" w:hAnsi="Times New Roman" w:cs="Times New Roman"/>
          <w:i/>
          <w:iCs/>
          <w:color w:val="333333"/>
          <w:spacing w:val="4"/>
          <w:sz w:val="27"/>
          <w:szCs w:val="27"/>
          <w:lang w:eastAsia="ru-RU"/>
        </w:rPr>
        <w:t>MLH1, MSH2, MSH6, PMS2</w:t>
      </w:r>
      <w:r w:rsidRPr="008C7027">
        <w:rPr>
          <w:rFonts w:ascii="Times New Roman" w:eastAsia="Times New Roman" w:hAnsi="Times New Roman" w:cs="Times New Roman"/>
          <w:color w:val="222222"/>
          <w:spacing w:val="4"/>
          <w:sz w:val="27"/>
          <w:szCs w:val="27"/>
          <w:lang w:eastAsia="ru-RU"/>
        </w:rPr>
        <w:t> в крови):</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при соответствии пациента критериям Amsterdam II (приложение С), НМИЦ колопроктологии им. А.Н. Рыжих или рекомендациям Bethesda (приложение Г) и (или) наличии в его опухолевом образце MSI/dMMR</w:t>
      </w:r>
    </w:p>
    <w:p w:rsidR="008C7027" w:rsidRPr="008C7027" w:rsidRDefault="008C7027" w:rsidP="008C702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 Подозрение на семейный аденоматоз – секвенирование гена </w:t>
      </w:r>
      <w:r w:rsidRPr="008C7027">
        <w:rPr>
          <w:rFonts w:ascii="Times New Roman" w:eastAsia="Times New Roman" w:hAnsi="Times New Roman" w:cs="Times New Roman"/>
          <w:i/>
          <w:iCs/>
          <w:color w:val="333333"/>
          <w:spacing w:val="4"/>
          <w:sz w:val="27"/>
          <w:szCs w:val="27"/>
          <w:lang w:eastAsia="ru-RU"/>
        </w:rPr>
        <w:t>АРС</w:t>
      </w:r>
      <w:r w:rsidRPr="008C7027">
        <w:rPr>
          <w:rFonts w:ascii="Times New Roman" w:eastAsia="Times New Roman" w:hAnsi="Times New Roman" w:cs="Times New Roman"/>
          <w:color w:val="222222"/>
          <w:spacing w:val="4"/>
          <w:sz w:val="27"/>
          <w:szCs w:val="27"/>
          <w:lang w:eastAsia="ru-RU"/>
        </w:rPr>
        <w:t> и поиск крупных делеций/вставок методом MLPA (Молекулярно-генетическое исследование мутаций в гене </w:t>
      </w:r>
      <w:r w:rsidRPr="008C7027">
        <w:rPr>
          <w:rFonts w:ascii="Times New Roman" w:eastAsia="Times New Roman" w:hAnsi="Times New Roman" w:cs="Times New Roman"/>
          <w:i/>
          <w:iCs/>
          <w:color w:val="333333"/>
          <w:spacing w:val="4"/>
          <w:sz w:val="27"/>
          <w:szCs w:val="27"/>
          <w:lang w:eastAsia="ru-RU"/>
        </w:rPr>
        <w:t>APC</w:t>
      </w:r>
      <w:r w:rsidRPr="008C7027">
        <w:rPr>
          <w:rFonts w:ascii="Times New Roman" w:eastAsia="Times New Roman" w:hAnsi="Times New Roman" w:cs="Times New Roman"/>
          <w:color w:val="222222"/>
          <w:spacing w:val="4"/>
          <w:sz w:val="27"/>
          <w:szCs w:val="27"/>
          <w:lang w:eastAsia="ru-RU"/>
        </w:rPr>
        <w:t> в крови):</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при наличии у пациента более 100 полипов кишечника или</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при наличии у пациента родственника 1 линии с установленным диагнозом семейного аденоматоза толстой кишки (при наличии родственника с выявленным патогенным вариантом гена APC).</w:t>
      </w:r>
    </w:p>
    <w:p w:rsidR="008C7027" w:rsidRPr="008C7027" w:rsidRDefault="008C7027" w:rsidP="008C702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3. Подозрение на наличие аттенуированной формы семейного аденоматоза (от 20 до 100 полипов) – секвенирование гена АРС</w:t>
      </w:r>
      <w:r w:rsidRPr="008C7027">
        <w:rPr>
          <w:rFonts w:ascii="Times New Roman" w:eastAsia="Times New Roman" w:hAnsi="Times New Roman" w:cs="Times New Roman"/>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APC в крови). </w:t>
      </w:r>
      <w:r w:rsidRPr="008C7027">
        <w:rPr>
          <w:rFonts w:ascii="Times New Roman" w:eastAsia="Times New Roman" w:hAnsi="Times New Roman" w:cs="Times New Roman"/>
          <w:i/>
          <w:iCs/>
          <w:color w:val="333333"/>
          <w:spacing w:val="4"/>
          <w:sz w:val="27"/>
          <w:szCs w:val="27"/>
          <w:lang w:eastAsia="ru-RU"/>
        </w:rPr>
        <w:t>MUTYH</w:t>
      </w:r>
      <w:r w:rsidRPr="008C7027">
        <w:rPr>
          <w:rFonts w:ascii="Times New Roman" w:eastAsia="Times New Roman" w:hAnsi="Times New Roman" w:cs="Times New Roman"/>
          <w:color w:val="222222"/>
          <w:spacing w:val="4"/>
          <w:sz w:val="27"/>
          <w:szCs w:val="27"/>
          <w:lang w:eastAsia="ru-RU"/>
        </w:rPr>
        <w:t>-ассоциированный полипоз – секвенирование гена </w:t>
      </w:r>
      <w:r w:rsidRPr="008C7027">
        <w:rPr>
          <w:rFonts w:ascii="Times New Roman" w:eastAsia="Times New Roman" w:hAnsi="Times New Roman" w:cs="Times New Roman"/>
          <w:i/>
          <w:iCs/>
          <w:color w:val="333333"/>
          <w:spacing w:val="4"/>
          <w:sz w:val="27"/>
          <w:szCs w:val="27"/>
          <w:lang w:eastAsia="ru-RU"/>
        </w:rPr>
        <w:t>MUTYH </w:t>
      </w:r>
      <w:r w:rsidRPr="008C7027">
        <w:rPr>
          <w:rFonts w:ascii="Times New Roman" w:eastAsia="Times New Roman" w:hAnsi="Times New Roman" w:cs="Times New Roman"/>
          <w:color w:val="222222"/>
          <w:spacing w:val="4"/>
          <w:sz w:val="27"/>
          <w:szCs w:val="27"/>
          <w:lang w:eastAsia="ru-RU"/>
        </w:rPr>
        <w:t>– пациенты, у которых выявлено более 20 полипов толстой кишки, но с отрицательным анализом на патогенный вариант </w:t>
      </w:r>
      <w:r w:rsidRPr="008C7027">
        <w:rPr>
          <w:rFonts w:ascii="Times New Roman" w:eastAsia="Times New Roman" w:hAnsi="Times New Roman" w:cs="Times New Roman"/>
          <w:i/>
          <w:iCs/>
          <w:color w:val="333333"/>
          <w:spacing w:val="4"/>
          <w:sz w:val="27"/>
          <w:szCs w:val="27"/>
          <w:lang w:eastAsia="ru-RU"/>
        </w:rPr>
        <w:t>АРС</w:t>
      </w:r>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пациенты, у которых в семье прослеживается рецессивное наследование семейного аденоматоза;</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пациенты, у которых полипы выявляются в более позднем возрасте (34-44 лет) [2, 16, 17].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за исключением MUTYH-ассоциированного полипоза и синдрома Блума, все наследственные синдромы, связанные с развитием колоректального рака, носят аутосомно-доминантный характер. При наличии яркого семейного анамнеза злокачественных заболеваний пациентам с исключенными семейным аденоматозным полипозом и синдромом Линча показана консультация врача-генетика для потенциального выявления более редких заболеваний: синдромов Пейтца-Егерса, Ли-Фраумени, Блума, Коудена, ювенильного полипоза, олигодонтии и колоректального рака, NTHL1-</w:t>
      </w:r>
      <w:r w:rsidRPr="008C7027">
        <w:rPr>
          <w:rFonts w:ascii="Times New Roman" w:eastAsia="Times New Roman" w:hAnsi="Times New Roman" w:cs="Times New Roman"/>
          <w:i/>
          <w:iCs/>
          <w:color w:val="333333"/>
          <w:spacing w:val="4"/>
          <w:sz w:val="27"/>
          <w:szCs w:val="27"/>
          <w:lang w:eastAsia="ru-RU"/>
        </w:rPr>
        <w:lastRenderedPageBreak/>
        <w:t>ассоциированного полипоза, POLD1 и POLE-ассоциированных полипозов, PTEN-гамартомных опухолевых синдромов [2] [https://www.insight-group.org/syndromes/] [3]. Учитывая разнообразие наследственных синдромов и сложность их диагностики наиболее оптимальным является применение мультигенных панелей NGS или полноэкзомного секвенирования. При наличии сегментарного поражения толстой кишки множественными полипами необходимо проводить дифференциальную диагностику с воспалительными полипами на фоне язвенного колита [2]. При отсутствии врача-генетика в регионе необходимо рассмотреть направление пациента в федеральный центр.</w:t>
      </w:r>
    </w:p>
    <w:p w:rsidR="008C7027" w:rsidRPr="008C7027" w:rsidRDefault="008C7027" w:rsidP="008C702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всем пациентам с целью постановки диагноза проводить патолого-анатомическое исследование биопсийного (операционного) материала [16].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Комментарий:</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В макроскопическом описании удаленного препарата следует отразить следующие параметры [196, 199, 203, 205, 220]: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 Длина удаленного отрезка кишки (см).</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2) При наличии в макропрепарате первичной опухоли смежных органов перечислись их, указав размеры (см).</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3) Размеры опухоли (см).</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4) Наличие признаков перфорации серозной оболочки кишечной стенки вблизи опухоли.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5) Расстояние от опухоли до проксимального и дистального краев резекции (см).</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6) При наличии двух и более первичных опухолей, отразить пункты 5-8 для каждого новообразования отдельно.</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В микроскопическом описании удаленного препарата следует отразить следующие параметры для определения прогноза заболевания и тактики дальнейшего лечения: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 Гистологический тип инвазивной опухоли (Классификации ВОЗ, 2019 г.).</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2) Степень злокачественности опухоли (после проведения неоадъювантной терапии не оценивается).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3) Гистологические тип прединвазивной опухоли-предшественника (при наличии).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4) Глубина инвазии (рТ).</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lastRenderedPageBreak/>
        <w:t>5) Наличие микрососудистой инвазии (отрицательный результат также должен быть констатирован).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6) Наличие интрамуральной венозной инвазии (отрицательный результат также должен быть констатирован).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7) Наличие экстрамуральной венозной инвазии (отрицательный результат также должен быть констатирован).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8) Указать общее число исследованных лимфатических узлов.</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9) Указать число лимфатических узлов с метастазами (рN+).</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10) Указать число лимфатических узлов с микрометастазами</w:t>
      </w:r>
      <w:r w:rsidRPr="008C7027">
        <w:rPr>
          <w:rFonts w:ascii="Times New Roman" w:eastAsia="Times New Roman" w:hAnsi="Times New Roman" w:cs="Times New Roman"/>
          <w:color w:val="222222"/>
          <w:spacing w:val="4"/>
          <w:sz w:val="20"/>
          <w:szCs w:val="20"/>
          <w:vertAlign w:val="superscript"/>
          <w:lang w:eastAsia="ru-RU"/>
        </w:rPr>
        <w:t>[12]</w:t>
      </w:r>
      <w:r w:rsidRPr="008C7027">
        <w:rPr>
          <w:rFonts w:ascii="Times New Roman" w:eastAsia="Times New Roman" w:hAnsi="Times New Roman" w:cs="Times New Roman"/>
          <w:i/>
          <w:iCs/>
          <w:color w:val="333333"/>
          <w:spacing w:val="4"/>
          <w:sz w:val="27"/>
          <w:szCs w:val="27"/>
          <w:lang w:eastAsia="ru-RU"/>
        </w:rPr>
        <w:t> (рN+).</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11) Указать число лимфатических узлов с изолированными опухолевыми клетками</w:t>
      </w:r>
      <w:r w:rsidRPr="008C7027">
        <w:rPr>
          <w:rFonts w:ascii="Times New Roman" w:eastAsia="Times New Roman" w:hAnsi="Times New Roman" w:cs="Times New Roman"/>
          <w:color w:val="222222"/>
          <w:spacing w:val="4"/>
          <w:sz w:val="20"/>
          <w:szCs w:val="20"/>
          <w:vertAlign w:val="superscript"/>
          <w:lang w:eastAsia="ru-RU"/>
        </w:rPr>
        <w:t>[13]</w:t>
      </w:r>
      <w:r w:rsidRPr="008C7027">
        <w:rPr>
          <w:rFonts w:ascii="Times New Roman" w:eastAsia="Times New Roman" w:hAnsi="Times New Roman" w:cs="Times New Roman"/>
          <w:i/>
          <w:iCs/>
          <w:color w:val="333333"/>
          <w:spacing w:val="4"/>
          <w:sz w:val="27"/>
          <w:szCs w:val="27"/>
          <w:lang w:eastAsia="ru-RU"/>
        </w:rPr>
        <w:t> (рN0).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12) Наличие периневральной инвазии (отрицательный результат также должен быть констатирован).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13) Гистологическая градация инвазивного фронта опухоли (tumor-budding) по 3-ступенчатой схеме International Tumor Budding Consensus Conference (после проведения неоадъювантной терапии не оценивается).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14) Наличие в периколярной жировой ткани изолированных опухолевых депозитов без предсуществующих структур лимфатического узла (иначе следует относить к метастазу), сосудистых структур (иначе следует относить к сосудистой инвазии) или нервов (иначе следует относить к периневральной инвазии).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15) Наличие поражения проксимального края резекции (отрицательный результат также должен быть констатирован).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16) Наличие поражения дистального края резекции (отрицательный результат также должен быть констатирован).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17) Поражение наиболее удалённого от опухоли лимфатического узла вдоль сосудистого пучка – лимфатический узел маркирован врачом-хирургом (отрицательный результат также должен быть констатирован).</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18) При наличии предшествующей неоадъювантной терапии указать степень регрессии опухоли и название использованной шкалы по оценки регрессии опухоли (предпочтительно использование шкал Mandard или Ryan) [220].</w:t>
      </w:r>
    </w:p>
    <w:p w:rsidR="008C7027" w:rsidRPr="008C7027" w:rsidRDefault="008C7027" w:rsidP="008C702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[12]</w:t>
      </w:r>
      <w:r w:rsidRPr="008C7027">
        <w:rPr>
          <w:rFonts w:ascii="Times New Roman" w:eastAsia="Times New Roman" w:hAnsi="Times New Roman" w:cs="Times New Roman"/>
          <w:color w:val="222222"/>
          <w:spacing w:val="4"/>
          <w:sz w:val="27"/>
          <w:szCs w:val="27"/>
          <w:lang w:eastAsia="ru-RU"/>
        </w:rPr>
        <w:t> Скопления опухолевых клеток в лимфатическом узле в наибольшем измерении 0,2-2 мм.</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[13]</w:t>
      </w:r>
      <w:r w:rsidRPr="008C7027">
        <w:rPr>
          <w:rFonts w:ascii="Times New Roman" w:eastAsia="Times New Roman" w:hAnsi="Times New Roman" w:cs="Times New Roman"/>
          <w:color w:val="222222"/>
          <w:spacing w:val="4"/>
          <w:sz w:val="27"/>
          <w:szCs w:val="27"/>
          <w:lang w:eastAsia="ru-RU"/>
        </w:rPr>
        <w:t> Скопления опухолевых клеток в лимфатическом узле в наибольшем измерении менее 0,2 мм.</w:t>
      </w:r>
    </w:p>
    <w:p w:rsidR="008C7027" w:rsidRPr="008C7027" w:rsidRDefault="008C7027" w:rsidP="008C702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Рекомендуется</w:t>
      </w:r>
      <w:r w:rsidRPr="008C7027">
        <w:rPr>
          <w:rFonts w:ascii="Times New Roman" w:eastAsia="Times New Roman" w:hAnsi="Times New Roman" w:cs="Times New Roman"/>
          <w:color w:val="222222"/>
          <w:spacing w:val="4"/>
          <w:sz w:val="27"/>
          <w:szCs w:val="27"/>
          <w:lang w:eastAsia="ru-RU"/>
        </w:rPr>
        <w:t> в случае показаний к определению биомаркеров и их выполнении с помощью иммуногистохимически реакций при микроскопическом описании при патологоанатомическом исследовании операционного материала указывать результаты дополнительных исследований:</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1) Статус белков системы восстановления ДНК, дефицит/профицит MMR (антитела к белкам MLH1, PMS2, MSH2 и MSH6, интерпретация результатов в соответствие с рекомендациями производителя тест-системы РЗН 2021/13285, РЗН 2020/13154, РЗН 2020/13153, РЗН 2021/13312 [248]).</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 Наличие в опухоли мутации BRAFV600E может быть определено и с помощью иммуногистохимического теста (рекомендовано к использованию антитело BRAFV600E клон VE1, интерпретация результатов в соответствие с рекомендациями производителя тест-системы РЗН 2020/13032).</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3) Наличие в опухоли экспрессии Her2 (рекомендовано к использованию антитело Her2, клон 4B5, интерпретация результатов может быть выполнена в соответствие с результатами валидационного исследования [246] или с применением шкалы для аденокарциномы желудка [247]).</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4) Наличие в опухоли экспрессии NTRK (рекомендовано к использованию антитело pan-TRK, клон EPR17341, интерпретация результатов в соответствие с рекомендациями производителя тест-системы РЗН 2021/14900).</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5) Наличие в опухоли экспрессии ALK (рекомендовано к использованию антитело ALK, клон D5F3, интерпретация результатов в соответствие с рекомендациями производителя тест-системы РЗН 2020/9786).</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6) Наличие в опухоли экспрессии ROS1 (рекомендовано к использованию антитело ROS1, клон SP384, интерпретация результатов в соответствие с рекомендациями производителя тест-системы РЗН 2021/13902).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C7027" w:rsidRPr="008C7027" w:rsidRDefault="008C7027" w:rsidP="008C702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Больным раком ободочной кишки до начала лечения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колоноскопию с биопсией (Биопсия ободочной кишки эндоскопическая) с целью определения локализации опухоли, степени опухолевого стеноза, исключения синхронных злокачественных новообразований и полипов толстой кишки, получения материала для морфологического исследования. Для получения достаточного количества материала требуется выполнить забор нескольких (3-5) образцов тканей стандартными эндоскопическими щипцами [16, 19, 20].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план лечения не следует составлять до получения данных патолого-анатомического исследования биопсийного материала. При подслизистом инфильтративном росте опухоли возможен ложноотрицательный результат, что требует повторной биопсии. Чувствительность и специфичность метода возрастают при использовании современных технологий эндоскопической визуализации (увеличительной эндоскопии, узкоспектральной эндоскопии, хромоэндоскопии, флуоресцентной диагностики). При выявлении синхронных полипов толстой кишки показано их удаление (Удаление полипа толстой кишки) до начала лечения рака ободочной кишки с целью исключения случаев синхронного рака на фоне полипов.</w:t>
      </w:r>
    </w:p>
    <w:p w:rsidR="008C7027" w:rsidRPr="008C7027" w:rsidRDefault="008C7027" w:rsidP="008C702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с установленным диагнозом рака ободочной кишки при невозможности выполнения тотальной колоноскопии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с целью исключения синхронных опухолей провести ирригоскопию или КТ-колонографию (Компьютерно-томографическая колоноскопия) до начала лечения, либо тотальную колоноскопию в течение 3-6 мес после операции [19–22].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в 4-5% случаев встречаются синхронные образования, которые могут быть пропущены при пальпаторной ревизии во время операции [15, 16]. Ввиду этого полное обследование толстой кишки рекомендуется всем пациентам до хирургического лечения, при технической невозможности – не позднее чем через 6 мес после него. КТ-колонография по сравнению с ирригоскопией характеризуется большей чувствительностью в выявлении полипов, особенно в проксимальных отделах толстой кишки [21].</w:t>
      </w:r>
    </w:p>
    <w:p w:rsidR="008C7027" w:rsidRPr="008C7027" w:rsidRDefault="008C7027" w:rsidP="008C702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Больным раком ободочной кишки до начала специфического противоопухолевого лечения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компьютерную томографию (Компьютерная томография органов брюшной полости с внутривенным болюсным контрастированием) или МРТ органов брюшной полости с внутривенным контрастированием для оценки местной распространенности опухоли и исключения метастатического поражения органов брюшной полости [23].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КТ органов брюшной полости с внутривенным контрастированием с использованием неионных йодсодержащих препаратов в большинстве развитых стран является стандартом уточняющей диагностики при раке ободочной кишки. МРТ</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обладает большей, чем КТ, чувствительностью и специфичностью в выявлении метастатического поражения печени, однако уступает КТ в оценке локальной распространенности опухоли ввиду более низкого пространственного разрешения. В протоколе КТ или МРТ следует отражать: расстояние от края опухоли до наиболее близкого анатомического ориентира (купола слепой кишки, печеночного/селезеночного изгиба или анального отверстия), протяженность опухоли вдоль кишечной стенки, наличие инвазии в мезоколон и ее глубину, наличие инвазии в брюшину, наличие лимфатических узлов мезоколона и забрюшинного пространства с признаками метастатического поражения и их размеры, наличие отдаленных метастазов, локализованных по брюшине и во внутренних органах.</w:t>
      </w:r>
    </w:p>
    <w:p w:rsidR="008C7027" w:rsidRPr="008C7027" w:rsidRDefault="008C7027" w:rsidP="008C702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Больным раком ободочной кишки до начала лечения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компьютерную томографию органов грудной полости с целью исключения метастатического поражения органов грудной клетки [16, 24].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раке ректосигмоидного отдела и раке дистальной трети сигмовидной кишки толстой кишки до начала лечения выполнять магнитно-резонансную томографию органов малого таза с внутривенным контрастированием либо КТ малого таза с внутривенным контрастированием с целью оценки распространения опухоли [25, 26].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Комментарии: </w:t>
      </w:r>
      <w:r w:rsidRPr="008C7027">
        <w:rPr>
          <w:rFonts w:ascii="Times New Roman" w:eastAsia="Times New Roman" w:hAnsi="Times New Roman" w:cs="Times New Roman"/>
          <w:i/>
          <w:iCs/>
          <w:color w:val="333333"/>
          <w:spacing w:val="4"/>
          <w:sz w:val="27"/>
          <w:szCs w:val="27"/>
          <w:lang w:eastAsia="ru-RU"/>
        </w:rPr>
        <w:t>МРТ малого таза предпочтительнее, так как позволяет осуществить более детальную предоперационную оценку местного распространения опухолевого процесса. Внутривенное контрастирование при МРТ малого таза для оценки местного распространения не требуется. При направлении на МРТ необходимо четко сформулировать цель исследования и указать предполагаемую локализацию опухоли для выбора корректного протокола сканирования.</w:t>
      </w:r>
    </w:p>
    <w:p w:rsidR="008C7027" w:rsidRPr="008C7027" w:rsidRDefault="008C7027" w:rsidP="008C702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Всем больным раком ободочной кишки до начала лечения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регистрацию электрокардиограммы с целью оценки потенциальной переносимости противоопухолевого лечения [27].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оценивать резектабельность метастазов в печени по данным МРТ брюшной полости с внутривенным контрастированием или компьютерной томографии органов брюшной полости с внутривенным болюсным контрастированием с использованием рентгеноконтрастных средств, содержащих йод. Рекомендуется выполнять МРТ органов брюшной полости с внутривенным контрастированием при планировании резекции печени в случаях, когда КТ c внутривенным контрастированием не позволяет в полной мере оценить распространенность процесса в печени [30–32].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для оценки резектабельности метастазов колоректального рака в печени предпочтительна МРТ органов брюшной полости с внутривенным контрастированием.</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У пациентов с противопоказаниями к использованию внутривенного контрастирования возможно выполнение МРТ в режиме DWI. МРТ позволяет у 10-20% пациентов выявить не определяемые по данным УЗИ метастазы и сократить количество эксплоративных операций и операций в объеме R2 [33]. Пациентам с противопоказаниями к проведению МРТ рекомендуется выполнение КТ с внутривенным контрастированием или позитронной эмиссионной томографии, совмещенной с КТ (ПЭТ-КТ) с 18-фтор-дезоксиглюкозой и внутривенным контрастированием (Позитронная эмиссионная томография, совмещенная с компьютерной томографией с туморотропными РФП с контрастированием). МРТ обладает наиболее высокой чувствительностью </w:t>
      </w:r>
      <w:r w:rsidRPr="008C7027">
        <w:rPr>
          <w:rFonts w:ascii="Times New Roman" w:eastAsia="Times New Roman" w:hAnsi="Times New Roman" w:cs="Times New Roman"/>
          <w:i/>
          <w:iCs/>
          <w:color w:val="333333"/>
          <w:spacing w:val="4"/>
          <w:sz w:val="27"/>
          <w:szCs w:val="27"/>
          <w:lang w:eastAsia="ru-RU"/>
        </w:rPr>
        <w:lastRenderedPageBreak/>
        <w:t>по сравнению с другими диагностическими методами, в особенности в отношении метастазов размером &lt;1 см [32], при этом предпочтение следует отдавать МРТ с парамагнитными контрастными средствами (гадоксетовой кислотой**), так как они позволяют повысить чувствительность метода в отношении мелких метастазов в печени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[135].</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Не допускается планирование резекции метастазов на основании только данных УЗИ печени или КТ без внутривенного контрастирования.</w:t>
      </w:r>
    </w:p>
    <w:p w:rsidR="008C7027" w:rsidRPr="008C7027" w:rsidRDefault="008C7027" w:rsidP="008C702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сомнительном подозрении на метастатическое поражение печени выполнять биопсию очаговых образований под контролем УЗИ, если их верификация принципиально меняет тактику лечения [35].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остеосцинтиграфию (Сцинтиграфия костей всего тела) или ПЭТ/КТ (Позитронная эмиссионная томография, совмещенная с компьютерной томографией с туморотропными РФП) при подозрении на метастатическое поражение костей скелета [34].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биопсию лимфатических узлов, подозрительных в отношении метастатических очагов, выполнять под контролем УЗИ или КТ, если их верификация принципиально меняет тактику лечения [35].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ПЭТ-КТ (Позитронная эмиссионная томография, совмещенная с компьютерной томографией с туморотропными РФП) при подозрении на метастазы по данным КТ или МРТ, если подтверждение их наличия принципиально меняет тактику лечения [31, 36].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метаанализ данных рандомизированных исследований, посвященных оценке необходимости выполнения ПЭТ-КТ для исключения экстрапеченочных метастазов при решении вопроса о проведении метастазэктомии печени, показал, что данный метод обследования меняет тактику лечения у 8% пациентов и не влияет на общую выживаемость [36]</w:t>
      </w:r>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Рекомендуется</w:t>
      </w:r>
      <w:r w:rsidRPr="008C7027">
        <w:rPr>
          <w:rFonts w:ascii="Times New Roman" w:eastAsia="Times New Roman" w:hAnsi="Times New Roman" w:cs="Times New Roman"/>
          <w:color w:val="222222"/>
          <w:spacing w:val="4"/>
          <w:sz w:val="27"/>
          <w:szCs w:val="27"/>
          <w:lang w:eastAsia="ru-RU"/>
        </w:rPr>
        <w:t> выполнять лапароскопию (Лапароскопия диагностическая) при подозрении на диссеминацию опухоли по брюшине, если ее выявление принципиально меняет тактику лечения [37].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8C7027" w:rsidRPr="008C7027" w:rsidRDefault="008C7027" w:rsidP="008C702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выполнять МРТ головного мозга с внутривенным контрастированием при подозрении на метастатическое поражение головного мозга [12, 35].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2.5 Иные диагностические исследования</w:t>
      </w:r>
    </w:p>
    <w:p w:rsidR="008C7027" w:rsidRPr="008C7027" w:rsidRDefault="008C7027" w:rsidP="008C702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пациентам с подозрением на рак ободочной кишки при сомнительном результате биопсии выполнять ее повторно для исключения или подтверждения наличия рака ободочной кишки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пациентам с подозрением на рак ободочной кишки при отрицательном результате повторной биопсии (диагноз новообразования не верифицирован) для определения тактики лечения принимать решение о необходимости выполнения очередной биопсии индивидуально, с учетом наличия признаков злокачественного роста по данным эндоскопических и рентгенологических исследований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подготовке к хирургическому лечению, выборе алгоритма лечения и оценке функционального статуса пациента выявлять сопутствующие заболевания и проводить необходимые диагностические исследования в соответствии с клиническими рекомендациями по данным заболеваниям, состояниям [38].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Комментарий: </w:t>
      </w:r>
      <w:r w:rsidRPr="008C7027">
        <w:rPr>
          <w:rFonts w:ascii="Times New Roman" w:eastAsia="Times New Roman" w:hAnsi="Times New Roman" w:cs="Times New Roman"/>
          <w:i/>
          <w:iCs/>
          <w:color w:val="333333"/>
          <w:spacing w:val="4"/>
          <w:sz w:val="27"/>
          <w:szCs w:val="27"/>
          <w:lang w:eastAsia="ru-RU"/>
        </w:rPr>
        <w:t xml:space="preserve">проводятся эхокардиография, холтеровское мониторирование сердечного ритма, исследование функции внешнего дыхания (Бодиплетизмография), ультразвуковая допплерография сосудов шеи (Дуплексное сканирование экстракраниальных отделов брахиоцефальных артерий) и нижних конечностей, (Ультразвуковая допплерография сосудов </w:t>
      </w:r>
      <w:r w:rsidRPr="008C7027">
        <w:rPr>
          <w:rFonts w:ascii="Times New Roman" w:eastAsia="Times New Roman" w:hAnsi="Times New Roman" w:cs="Times New Roman"/>
          <w:i/>
          <w:iCs/>
          <w:color w:val="333333"/>
          <w:spacing w:val="4"/>
          <w:sz w:val="27"/>
          <w:szCs w:val="27"/>
          <w:lang w:eastAsia="ru-RU"/>
        </w:rPr>
        <w:lastRenderedPageBreak/>
        <w:t>(артерий и вен) нижних конечностей) консультации врача-кардиолога, врача-эндокринолога, врача-невролога и других профильных специалистов.</w:t>
      </w:r>
    </w:p>
    <w:p w:rsidR="008C7027" w:rsidRPr="008C7027" w:rsidRDefault="008C7027" w:rsidP="008C702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рассматривать возможность применения программ машинного обучения (истусственного интеллекта) в патомофрологических, молекулярно-генетеичсеких исследованиях, средствах визализации злокачесвтенных опухолей в рамках научных работ.</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Назначение и применение лекарственных препаратов, указанных в клинических рекомендациях, направлено на обеспечение пациента клинически эффективной и безопасной медицинской помощью, в связи с чем в конкретной клинической ситуации оно определяется инструкциями по применению конкретных лекарственных препаратов с учетом описанных в инструкциях мер предосторожности; также возможна коррекция доз в зависимости от состояния пациента. Отклонения от инструкции должны быть оправданы клинической ситуацией и подтверждены решением врачебной комиссии медицинской организации. Смена режимов химиотерапии, изменение доз препаратов в схеме не подразумевает проведения для этого онкологического консилиума, а определяется лечащим врачом. Лечение нейроэндокринных опухолей и нейроэндокринного рака ободочной кишки или ректосигмоидного перехода рассматривается в специализированном разделе клинических рекомендаций.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Порядок и рекомендации по обезболиванию</w:t>
      </w:r>
      <w:r w:rsidRPr="008C7027">
        <w:rPr>
          <w:rFonts w:ascii="Times New Roman" w:eastAsia="Times New Roman" w:hAnsi="Times New Roman" w:cs="Times New Roman"/>
          <w:i/>
          <w:iCs/>
          <w:color w:val="333333"/>
          <w:spacing w:val="4"/>
          <w:sz w:val="27"/>
          <w:szCs w:val="27"/>
          <w:lang w:eastAsia="ru-RU"/>
        </w:rPr>
        <w:t> при раке ободочной кишки  или ректосигмоидного перехода соответствуют рекомендациям, представленным в клинических рекомендациях «Хронический болевой синдром (ХБС) у взрослых пациентов, нуждающихся в паллиативной медицинской помощи» [161].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lastRenderedPageBreak/>
        <w:t>Специальных рекомендаций по диетотерапии, отличных от таковых при других формах злокачественных новообразований, не требуется. При наличии симптомов кишечной непроходимости врач индивидуально дает рекомендации по питанию и ограничению определенных продуктов.</w:t>
      </w:r>
    </w:p>
    <w:p w:rsidR="008C7027" w:rsidRPr="008C7027" w:rsidRDefault="008C7027" w:rsidP="008C702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рассматривать хирургическое вмешательство как основной метод радикального лечения больных раком ободочной кишки или ректосигмоидного отдела толстой кишки [16].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по показаниям дополнительно проводится адъювантная/неоадъювантная химиотерапия.</w:t>
      </w:r>
    </w:p>
    <w:p w:rsidR="008C7027" w:rsidRPr="008C7027" w:rsidRDefault="008C7027" w:rsidP="008C702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раннем раке ободочной кишки 0-I стадии (Tis-T1N0M0)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рассмотреть возможность применения высокоэффективных органосохраняющих и функционально-щадящих способов лечения (эндоскопическая резекция слизистой оболочки с диссекцией в подслизистом слое (Эндоскопическая резекция слизистой толстой кишки)) [43, 44].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при определении тактики лечения следует учитывать прогностические факторы. Предпочтение следует отдавать методике эндоскопической подслизистой диссекции [42]. При выявлении после эндоскопического удаления факторов неблагоприятного прогноза выполняют резекцию соответствующего участка ободочной кишки.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Факторы неблагоприятного прогноза:</w:t>
      </w:r>
    </w:p>
    <w:p w:rsidR="008C7027" w:rsidRPr="008C7027" w:rsidRDefault="008C7027" w:rsidP="008C702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≥G3,</w:t>
      </w:r>
    </w:p>
    <w:p w:rsidR="008C7027" w:rsidRPr="008C7027" w:rsidRDefault="008C7027" w:rsidP="008C702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поражение краев резекции,</w:t>
      </w:r>
    </w:p>
    <w:p w:rsidR="008C7027" w:rsidRPr="008C7027" w:rsidRDefault="008C7027" w:rsidP="008C702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лимфатическая, сосудистая или периневральная инвазия,</w:t>
      </w:r>
    </w:p>
    <w:p w:rsidR="008C7027" w:rsidRPr="008C7027" w:rsidRDefault="008C7027" w:rsidP="008C702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IV уровень инвазии (вовлечение подслизистой оболочки толстой кишки).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 xml:space="preserve">Эндоскопическая резекция слизистой оболочки допускается при инвазивных формах рака ободочной кишки (уровни I-III по классификации Haggitt) при отсутствии факторов неблагоприятного прогноза. Выявление по данным патолого-анатомического исследования биопсийного материала низкой степени дифференцировки опухоли и/или определение при эндоскопическом исследовании уровня IV по классификации Haggitt и/или глубины инвазии &gt;uT1sm1 (при эндоскопическом УЗИ) является абсолютным противопоказанием к выполнению эндоскопической резекции слизистой </w:t>
      </w:r>
      <w:r w:rsidRPr="008C7027">
        <w:rPr>
          <w:rFonts w:ascii="Times New Roman" w:eastAsia="Times New Roman" w:hAnsi="Times New Roman" w:cs="Times New Roman"/>
          <w:i/>
          <w:iCs/>
          <w:color w:val="333333"/>
          <w:spacing w:val="4"/>
          <w:sz w:val="27"/>
          <w:szCs w:val="27"/>
          <w:lang w:eastAsia="ru-RU"/>
        </w:rPr>
        <w:lastRenderedPageBreak/>
        <w:t>оболочки (требуется удаление сегмента кишки). Наличие инвазивного рака в полипах на широком основании (≥T1sm1) приравнивается к уровню IV по классификации Haggitt и требует резекции соответствующего участка ободочной кишки. Остальные факторы неблагоприятного прогноза (поражение краев резекции, лимфатическая, сосудистая, периневральная инвазия) определяются после эндоскопической резекции. При их выявлении осуществляют дополнительную резекцию соответствующего сегмента кишки [45].</w:t>
      </w:r>
    </w:p>
    <w:p w:rsidR="008C7027" w:rsidRPr="008C7027" w:rsidRDefault="008C7027" w:rsidP="008C702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резектабельном локализованном и местно-распространенном раке ободочной кишки I-III стадий (Т1sm2-4N0-2M0)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отсутствии абсолютных противопоказаний на 1-м этапе проводить хирургическое лечение; объем операции определяется локализацией и местным распространением опухоли [46].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 резектабельном местно-распространенном раке ободочной кишки II стадии (T4N0M0) или III стадии (T3-4N1-2M0) левосторонней локализации и отсутствии MSI/dMMR возможно рассмотреть проведение в течение 6-12 недель химиотерапии по схеме FOLFOX или XELOX</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 отсутствии абсолютных противопоказаний и невозможности проведения на 1-м этапе хирургического лечения [136]. Проведение неоадъювантной химиотерапии снижает риск резекции других органов при стадии T4b и не подразумевает добавления таргетных препаратов или интенсификации режима лечения до FOLFOXIRI. При резектабельном местно-распространенном раке ободочной кишки III стадии (T1-4N1-2M0) независимо от локализации, при наличии MSI/dMMR возможно рассмотреть проведение в течение 12-27 недель терапии пембролизумабом** или ниволумабом** или #пролголимабом** или комбинацией ипилимумаба** и ниволумаба**</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 отсутствии абсолютных противопоказаний и невозможности проведения на 1-м этапе хирургического лечения [136, 249].</w:t>
      </w:r>
    </w:p>
    <w:p w:rsidR="008C7027" w:rsidRPr="008C7027" w:rsidRDefault="008C7027" w:rsidP="008C702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нерезектабельном раке ободочной кишки (сТ4N0–2M0)</w:t>
      </w:r>
      <w:r w:rsidRPr="008C7027">
        <w:rPr>
          <w:rFonts w:ascii="Times New Roman" w:eastAsia="Times New Roman" w:hAnsi="Times New Roman" w:cs="Times New Roman"/>
          <w:b/>
          <w:bCs/>
          <w:color w:val="222222"/>
          <w:spacing w:val="4"/>
          <w:sz w:val="27"/>
          <w:szCs w:val="27"/>
          <w:lang w:eastAsia="ru-RU"/>
        </w:rPr>
        <w:t> рекомендуется</w:t>
      </w:r>
      <w:r w:rsidRPr="008C7027">
        <w:rPr>
          <w:rFonts w:ascii="Times New Roman" w:eastAsia="Times New Roman" w:hAnsi="Times New Roman" w:cs="Times New Roman"/>
          <w:color w:val="222222"/>
          <w:spacing w:val="4"/>
          <w:sz w:val="27"/>
          <w:szCs w:val="27"/>
          <w:lang w:eastAsia="ru-RU"/>
        </w:rPr>
        <w:t> направлять пациентов в крупные медицинские организации, в которых имеется опыт лечения данной группы пациентов, для повторной оценки возможности удаления опухоли [48].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Комментарии: </w:t>
      </w:r>
      <w:r w:rsidRPr="008C7027">
        <w:rPr>
          <w:rFonts w:ascii="Times New Roman" w:eastAsia="Times New Roman" w:hAnsi="Times New Roman" w:cs="Times New Roman"/>
          <w:i/>
          <w:iCs/>
          <w:color w:val="333333"/>
          <w:spacing w:val="4"/>
          <w:sz w:val="27"/>
          <w:szCs w:val="27"/>
          <w:lang w:eastAsia="ru-RU"/>
        </w:rPr>
        <w:t>при нерезектабельном раке ободочной кишки (Т4bN0-2M0) рекомендуется проведение индукционной химиотерапии на основе оксалиплатина** и фторипиримидинов (6-12 недель) с последующим направлением пациентов в крупные хирургические центры для повторной оценки возможности удаления опухоли. У пациентов с MSI рекомендуется проведение предоперационной иммунотерапии (пембролизумабом**, ниволумабом**, #пролголимабом** или комбинацией ниволумаба** с ипилимумабом**) на протяжении до 12-27 нед. при отсутствии прогрессирования и до 12 мес. при сохраняющейся нерезектабельности [249]. При невозможности хирургического лечения в объёме R0-1 операции возможны только при высоком риске развития кишечной непроходимости и ограничиваются формированием обходных анастомозов/колостомы/илеостомы. В дальнейшем пациентам показана противоопухолевая лекарственная терапия по принципам лечения метастатического колоректального рака. При раке толстой кишки  у функционально неоперабельного пациента (на фоне тяжелой сопутствующей патологии) рекомендуется проведение паллиативного противоопухолевого лекарственного лечения либо симптоматической терапии (см. раздел 3.3). Возможно стентирование опухоли или формирование разгрузочной кишечной стомы, если риск, связанный с проведением операции, превышает риск, связанный с прогрессированием онкологического заболевания. Решение о наличии противопоказаний к хирургическому лечению может приниматься только на консилиуме с участием врача-хирурга, врача-терапевта, врача-анестезиолога-реаниматолога.</w:t>
      </w:r>
    </w:p>
    <w:p w:rsidR="008C7027" w:rsidRPr="008C7027" w:rsidRDefault="008C7027" w:rsidP="008C702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генерализованном раке ободочной кишки с резектабельными/потенциально резектабельными синхронными метастазами в печени или легких (М1а)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исходной возможности выполнения R0-резекции метастазов рака ободочной кишки в печени или легких, а также при переходе метастатического поражения этих органов в резектабельное состояние в процессе химиотерапевтического лечения проводить резекцию указанных органов с метастазами (Резекция печени атипичная, Резекция сегмента (сегментов) печени, Гемигепатэктомия, Радиочастотная абляция, термоабляция, криодеструкция опухолей печени, «Резекция легкого (более одной доли»), Удаление новообразования легкого (атипичная резекция) видеоторакоскопическое) [16, 49–51, 125].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B (уровень достоверности доказательств – 2).</w:t>
      </w:r>
    </w:p>
    <w:p w:rsidR="008C7027" w:rsidRPr="008C7027" w:rsidRDefault="008C7027" w:rsidP="008C702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тактику лечения всех пациентов с изолированным метастатическим поражением печени/легких на врачебном консилиуме обсуждать совместно с врачами-торакальными хирургами или абдоминальными врачами-хирургами, или врачами-хирургами, специализирующимися на хирургии печени, с целью корректной и своевременной оценки резектабельности метастатических очагов [16, 52, 53].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тактика лечения зависит от исходной резектабельности метастатических очагов. Наилучших результатов можно добиться при достижении края резекции ≥1 мм [49–52]. Операцию необходимо выполнять, как только метастазы станут резектабельными. Пролонгация химиотерапии может приводить к повышению частоты токсических поражений печени, а также к «исчезновению» части метастазов, что затруднит их идентификацию хирургом во время резекции. При наличии симптомной первичной опухоли (при угрозе кишечной непроходимости или кровотечения) на 1-м этапе проводится хирургическое удаление первичной опухоли с лимфодиссекцией. Радиочастотная абляция метастазов в печени или стереотаксическое лучевое воздействие может стать как дополнением к резекции печени для достижения радикальности вмешательства, так и самостоятельным методом лечения при невозможности хирургического удаления [54]. Применение локальных методов лечения метастазов может рассматриваться как при олигопрогрессировании, так и при олигометастатическом поражении органов и во второй и последующих линиях системного лечения. Внутриартериальная химиотерапия остается экспериментальным методом и не рекомендована к рутинному применению в 1-й линии терапии.</w:t>
      </w:r>
    </w:p>
    <w:p w:rsidR="008C7027" w:rsidRPr="008C7027" w:rsidRDefault="008C7027" w:rsidP="008C702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исходно резектабельных метастатических очагах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их хирургическое удаление, при этом в случае функциональной переносимости предпочтение отдается одномоментным хирургическим вмешательствам [16, 49–52].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C7027" w:rsidRPr="008C7027" w:rsidRDefault="008C7027" w:rsidP="008C702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При исходно резектабельных метастатических очагах</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после успешного проведения резекции в объеме R0 или R1</w:t>
      </w:r>
      <w:r w:rsidRPr="008C7027">
        <w:rPr>
          <w:rFonts w:ascii="Times New Roman" w:eastAsia="Times New Roman" w:hAnsi="Times New Roman" w:cs="Times New Roman"/>
          <w:color w:val="222222"/>
          <w:spacing w:val="4"/>
          <w:sz w:val="20"/>
          <w:szCs w:val="20"/>
          <w:vertAlign w:val="subscript"/>
          <w:lang w:eastAsia="ru-RU"/>
        </w:rPr>
        <w:t>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 адъювантной химиотерапии (6 мес. лечения по схеме FOLFOX, XELOX, применение аналогов пиримидинов в монорежиме) [54, 55].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альтернативой немедленному хирургическому лечению является проведение периоперационной системной химиотерапии (FOLFOX, XELOX). Данный вариант стратегии следует выбрать при высоком риске прогрессирования заболевания (например, при высоком риске по классификации Fong или любой другой). После 8-12 недель терапии выполняется одновременное или последовательное удаление метастазов и первичной опухоли, а после операции продолжается проводимая ранее химиотерапия до достижения суммарной продолжительности 6 мес. Добавление моноклональных антител (МКА) к химиотерапии при резектабельных метастазах в печени не показано, так как оно может ухудшить отдаленные результаты [51, 53]. При низком риске прогрессирования заболевания (например, при низком риске по классификации Fong или любой другой), возможна опция и наблюдения, если хирургическое удаление метастазов выполнялось на первом этапе.</w:t>
      </w:r>
    </w:p>
    <w:p w:rsidR="008C7027" w:rsidRPr="008C7027" w:rsidRDefault="008C7027" w:rsidP="008C702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потенциально резектабельных метастатических очагах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 максимально активной химиотерапии, цель которой – достижение объективного эффекта и переход нерезектабельных метастазов в резектабельные (FOLFOX,</w:t>
      </w:r>
      <w:r w:rsidRPr="008C7027">
        <w:rPr>
          <w:rFonts w:ascii="Times New Roman" w:eastAsia="Times New Roman" w:hAnsi="Times New Roman" w:cs="Times New Roman"/>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XELOX</w:t>
      </w:r>
      <w:r w:rsidRPr="008C7027">
        <w:rPr>
          <w:rFonts w:ascii="Times New Roman" w:eastAsia="Times New Roman" w:hAnsi="Times New Roman" w:cs="Times New Roman"/>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или</w:t>
      </w:r>
      <w:r w:rsidRPr="008C7027">
        <w:rPr>
          <w:rFonts w:ascii="Times New Roman" w:eastAsia="Times New Roman" w:hAnsi="Times New Roman" w:cs="Times New Roman"/>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FOLFIRI, XELIRI, FOLFOXIRI)</w:t>
      </w:r>
      <w:r w:rsidRPr="008C7027">
        <w:rPr>
          <w:rFonts w:ascii="Times New Roman" w:eastAsia="Times New Roman" w:hAnsi="Times New Roman" w:cs="Times New Roman"/>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[16, 42,54, 57, 58, 111–113].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оптимальной опцией для повышения резектабельности является применение «тройной» комбинации FOLFOXIRI [57, 58]. После 4-6 циклов следует повторно оценить резектабельность, при отсутствии прогрессирования осуществляют одновременное или последовательное удаление метастазов и первичной опухоли. Далее проводится адъювантная химиотерапия по программе FOLFOX или XELOX до достижения суммарной продолжительности 6 мес. (с учетом предоперационной химиотерапии). В случае прогрессирования метастатических очагов или невозможности их удаления лечение проводят в соответствии с принципами, которые указаны в </w:t>
      </w:r>
      <w:r w:rsidRPr="008C7027">
        <w:rPr>
          <w:rFonts w:ascii="Times New Roman" w:eastAsia="Times New Roman" w:hAnsi="Times New Roman" w:cs="Times New Roman"/>
          <w:i/>
          <w:iCs/>
          <w:color w:val="333333"/>
          <w:spacing w:val="4"/>
          <w:sz w:val="27"/>
          <w:szCs w:val="27"/>
          <w:lang w:eastAsia="ru-RU"/>
        </w:rPr>
        <w:lastRenderedPageBreak/>
        <w:t>пункте, описывающем лечение пациентов с нерезектабельными метастазами [16].</w:t>
      </w:r>
    </w:p>
    <w:p w:rsidR="008C7027" w:rsidRPr="008C7027" w:rsidRDefault="008C7027" w:rsidP="008C702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потенциально резектабельных метастатических очагах в случае отсутствия мутации </w:t>
      </w:r>
      <w:r w:rsidRPr="008C7027">
        <w:rPr>
          <w:rFonts w:ascii="Times New Roman" w:eastAsia="Times New Roman" w:hAnsi="Times New Roman" w:cs="Times New Roman"/>
          <w:i/>
          <w:iCs/>
          <w:color w:val="333333"/>
          <w:spacing w:val="4"/>
          <w:sz w:val="27"/>
          <w:szCs w:val="27"/>
          <w:lang w:eastAsia="ru-RU"/>
        </w:rPr>
        <w:t>RAS</w:t>
      </w:r>
      <w:r w:rsidRPr="008C7027">
        <w:rPr>
          <w:rFonts w:ascii="Times New Roman" w:eastAsia="Times New Roman" w:hAnsi="Times New Roman" w:cs="Times New Roman"/>
          <w:color w:val="222222"/>
          <w:spacing w:val="4"/>
          <w:sz w:val="27"/>
          <w:szCs w:val="27"/>
          <w:lang w:eastAsia="ru-RU"/>
        </w:rPr>
        <w:t> и </w:t>
      </w:r>
      <w:r w:rsidRPr="008C7027">
        <w:rPr>
          <w:rFonts w:ascii="Times New Roman" w:eastAsia="Times New Roman" w:hAnsi="Times New Roman" w:cs="Times New Roman"/>
          <w:i/>
          <w:iCs/>
          <w:color w:val="333333"/>
          <w:spacing w:val="4"/>
          <w:sz w:val="27"/>
          <w:szCs w:val="27"/>
          <w:lang w:eastAsia="ru-RU"/>
        </w:rPr>
        <w:t>BRAF, </w:t>
      </w:r>
      <w:r w:rsidRPr="008C7027">
        <w:rPr>
          <w:rFonts w:ascii="Times New Roman" w:eastAsia="Times New Roman" w:hAnsi="Times New Roman" w:cs="Times New Roman"/>
          <w:color w:val="222222"/>
          <w:spacing w:val="4"/>
          <w:sz w:val="27"/>
          <w:szCs w:val="27"/>
          <w:lang w:eastAsia="ru-RU"/>
        </w:rPr>
        <w:t>отсутствие гиперэкспрессии или амплификации Her/2 и отсутствия MSI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рассмотреть возможность добавления к химиотерапии (режимы FOLFIRI, FOLFOX, FOLFOXIRI) цетуксимаба** или панитумумаба** независимо от локализации первичной опухоли [16, 39–42, 57].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Комбинация FOLFOXIRI с анти-EGFR-антителами характеризуется большей токсичностью и не привела к увеличению частоты объективных эффектов и выживаемости в сравнении с двойными комбинациями и анти-EGFR-антителами.</w:t>
      </w:r>
    </w:p>
    <w:p w:rsidR="008C7027" w:rsidRPr="008C7027" w:rsidRDefault="008C7027" w:rsidP="008C702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потенциально резектабельных метастатических очагах</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в случае наличия мутации </w:t>
      </w:r>
      <w:r w:rsidRPr="008C7027">
        <w:rPr>
          <w:rFonts w:ascii="Times New Roman" w:eastAsia="Times New Roman" w:hAnsi="Times New Roman" w:cs="Times New Roman"/>
          <w:i/>
          <w:iCs/>
          <w:color w:val="333333"/>
          <w:spacing w:val="4"/>
          <w:sz w:val="27"/>
          <w:szCs w:val="27"/>
          <w:lang w:eastAsia="ru-RU"/>
        </w:rPr>
        <w:t>RAS </w:t>
      </w:r>
      <w:r w:rsidRPr="008C7027">
        <w:rPr>
          <w:rFonts w:ascii="Times New Roman" w:eastAsia="Times New Roman" w:hAnsi="Times New Roman" w:cs="Times New Roman"/>
          <w:b/>
          <w:bCs/>
          <w:color w:val="222222"/>
          <w:spacing w:val="4"/>
          <w:sz w:val="27"/>
          <w:szCs w:val="27"/>
          <w:lang w:eastAsia="ru-RU"/>
        </w:rPr>
        <w:t>рекомендовано</w:t>
      </w:r>
      <w:r w:rsidRPr="008C7027">
        <w:rPr>
          <w:rFonts w:ascii="Times New Roman" w:eastAsia="Times New Roman" w:hAnsi="Times New Roman" w:cs="Times New Roman"/>
          <w:color w:val="222222"/>
          <w:spacing w:val="4"/>
          <w:sz w:val="27"/>
          <w:szCs w:val="27"/>
          <w:lang w:eastAsia="ru-RU"/>
        </w:rPr>
        <w:t> рассмотреть возможность добавления бевацизумаба** к режимам химиотерапии FOLFOX, XELOX, FOLFIRI или FOLFOXIRI независимо от локализации первичной опухоли [16, 39, 42, 59].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потенциально резектабельных метастатических очагах</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при наличии мутации </w:t>
      </w:r>
      <w:r w:rsidRPr="008C7027">
        <w:rPr>
          <w:rFonts w:ascii="Times New Roman" w:eastAsia="Times New Roman" w:hAnsi="Times New Roman" w:cs="Times New Roman"/>
          <w:i/>
          <w:iCs/>
          <w:color w:val="333333"/>
          <w:spacing w:val="4"/>
          <w:sz w:val="27"/>
          <w:szCs w:val="27"/>
          <w:lang w:eastAsia="ru-RU"/>
        </w:rPr>
        <w:t>BRAF</w:t>
      </w:r>
      <w:r w:rsidRPr="008C7027">
        <w:rPr>
          <w:rFonts w:ascii="Times New Roman" w:eastAsia="Times New Roman" w:hAnsi="Times New Roman" w:cs="Times New Roman"/>
          <w:color w:val="222222"/>
          <w:spacing w:val="4"/>
          <w:sz w:val="27"/>
          <w:szCs w:val="27"/>
          <w:lang w:eastAsia="ru-RU"/>
        </w:rPr>
        <w:t> и отсутствии MSI </w:t>
      </w:r>
      <w:r w:rsidRPr="008C7027">
        <w:rPr>
          <w:rFonts w:ascii="Times New Roman" w:eastAsia="Times New Roman" w:hAnsi="Times New Roman" w:cs="Times New Roman"/>
          <w:b/>
          <w:bCs/>
          <w:color w:val="222222"/>
          <w:spacing w:val="4"/>
          <w:sz w:val="27"/>
          <w:szCs w:val="27"/>
          <w:lang w:eastAsia="ru-RU"/>
        </w:rPr>
        <w:t>рекомендовано </w:t>
      </w:r>
      <w:r w:rsidRPr="008C7027">
        <w:rPr>
          <w:rFonts w:ascii="Times New Roman" w:eastAsia="Times New Roman" w:hAnsi="Times New Roman" w:cs="Times New Roman"/>
          <w:color w:val="222222"/>
          <w:spacing w:val="4"/>
          <w:sz w:val="27"/>
          <w:szCs w:val="27"/>
          <w:lang w:eastAsia="ru-RU"/>
        </w:rPr>
        <w:t>добавление бевацизумаба** к режимам химиотерапии FOLFOX, XELOX, FOLFIRI или FOLFOXIRI независимо от локализации первичной опухоли [16, 57, 58].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в случае назначения таргетных препаратов после перехода метастазов в резектабельное состояние и выполнения R0-резекции метастатических очагов проводится химиотерапия до достижения суммарной продолжительности 6 мес. Цетуксимаб**, панитумумаб**, бевацизумаб** и иринотекан** следует в послеоперационном периоде отменить. При R1/2 резекции возможно продолжение предоперационной комбинации химиопрепаратов и МКА до суммарной продолжительности 6 мес.</w:t>
      </w:r>
    </w:p>
    <w:p w:rsidR="008C7027" w:rsidRPr="008C7027" w:rsidRDefault="008C7027" w:rsidP="008C702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потенциально резектабельных метастазах при MSI </w:t>
      </w:r>
      <w:r w:rsidRPr="008C7027">
        <w:rPr>
          <w:rFonts w:ascii="Times New Roman" w:eastAsia="Times New Roman" w:hAnsi="Times New Roman" w:cs="Times New Roman"/>
          <w:b/>
          <w:bCs/>
          <w:color w:val="222222"/>
          <w:spacing w:val="4"/>
          <w:sz w:val="27"/>
          <w:szCs w:val="27"/>
          <w:lang w:eastAsia="ru-RU"/>
        </w:rPr>
        <w:t>рекомендовано </w:t>
      </w:r>
      <w:r w:rsidRPr="008C7027">
        <w:rPr>
          <w:rFonts w:ascii="Times New Roman" w:eastAsia="Times New Roman" w:hAnsi="Times New Roman" w:cs="Times New Roman"/>
          <w:color w:val="222222"/>
          <w:spacing w:val="4"/>
          <w:sz w:val="27"/>
          <w:szCs w:val="27"/>
          <w:lang w:eastAsia="ru-RU"/>
        </w:rPr>
        <w:t xml:space="preserve">назначение в 1-й линии комбинации ниволумаба** и </w:t>
      </w:r>
      <w:r w:rsidRPr="008C7027">
        <w:rPr>
          <w:rFonts w:ascii="Times New Roman" w:eastAsia="Times New Roman" w:hAnsi="Times New Roman" w:cs="Times New Roman"/>
          <w:color w:val="222222"/>
          <w:spacing w:val="4"/>
          <w:sz w:val="27"/>
          <w:szCs w:val="27"/>
          <w:lang w:eastAsia="ru-RU"/>
        </w:rPr>
        <w:lastRenderedPageBreak/>
        <w:t>ипилимумаба** или, при отсутствии мутаций в генах </w:t>
      </w:r>
      <w:r w:rsidRPr="008C7027">
        <w:rPr>
          <w:rFonts w:ascii="Times New Roman" w:eastAsia="Times New Roman" w:hAnsi="Times New Roman" w:cs="Times New Roman"/>
          <w:i/>
          <w:iCs/>
          <w:color w:val="333333"/>
          <w:spacing w:val="4"/>
          <w:sz w:val="27"/>
          <w:szCs w:val="27"/>
          <w:lang w:eastAsia="ru-RU"/>
        </w:rPr>
        <w:t>RAS</w:t>
      </w:r>
      <w:r w:rsidRPr="008C7027">
        <w:rPr>
          <w:rFonts w:ascii="Times New Roman" w:eastAsia="Times New Roman" w:hAnsi="Times New Roman" w:cs="Times New Roman"/>
          <w:color w:val="222222"/>
          <w:spacing w:val="4"/>
          <w:sz w:val="27"/>
          <w:szCs w:val="27"/>
          <w:lang w:eastAsia="ru-RU"/>
        </w:rPr>
        <w:t>, пембролизумаба**, ниволумаба** или #пролголимаба** в монорежиме до прогрессирования или перехода опухоли в резектабельное состояние. Также допустима комбинация режимов FOLFOX или XELOX с ниволумабом** или пембролизумабом**. Оптимальная продолжительность иммунотерапии после выполнения R0-резекции точно не определена, но при удовлетворительной переносимости рекомендуется продолжать до 1 года с учетом предоперационного этапа [137, 138, 249].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для пембролизумаба** – A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для комбинации ниволумаба** и ипилимумаба** – А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для монотерапии ниволумаба** и #пролголимаба** – С (уровень достоверности доказательств – 4).</w:t>
      </w:r>
    </w:p>
    <w:p w:rsidR="008C7027" w:rsidRPr="008C7027" w:rsidRDefault="008C7027" w:rsidP="008C702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генерализованном раке ободочной кишки с незеректабельными синхронными метастазами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применение комбинаций химиопрепаратов (FOLFOX, XELOX, XELIRI, FOLFIRI, FOLFOXIRI) с добавлением или без добавления таргетных препаратов (цетуксимаб**, панитумумаб**, бевацизумаб**) [16] или, при MSI, монотерапии анти-PD1-антителами – ниволумабом** или пембролизумабом** или #пролголимабом** – в монорежиме, или комбинацией ниволумаба** и ипилимумаба** [137, 138, 249].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цетуксимаб** или панитумумаб** применяются при отсутствии мутации RAS, BRAF и отсутствии гиперэкспрессии HER-2/neu и отсутствии MSI, а также при локализации первичной опухоли в левых отделах толстой кишки (границей которых считают селезеночный изгиб ободочной кишки), бевацизумаб** – вне зависимости от статуса RAS и BRAF и локализации первичной опухоли [16, 40, 42]. Цетуксимаб** и панитумумаб** </w:t>
      </w:r>
      <w:r w:rsidRPr="008C7027">
        <w:rPr>
          <w:rFonts w:ascii="Times New Roman" w:eastAsia="Times New Roman" w:hAnsi="Times New Roman" w:cs="Times New Roman"/>
          <w:b/>
          <w:bCs/>
          <w:i/>
          <w:iCs/>
          <w:color w:val="333333"/>
          <w:spacing w:val="4"/>
          <w:sz w:val="27"/>
          <w:szCs w:val="27"/>
          <w:lang w:eastAsia="ru-RU"/>
        </w:rPr>
        <w:t>не</w:t>
      </w:r>
      <w:r w:rsidRPr="008C7027">
        <w:rPr>
          <w:rFonts w:ascii="Times New Roman" w:eastAsia="Times New Roman" w:hAnsi="Times New Roman" w:cs="Times New Roman"/>
          <w:i/>
          <w:iCs/>
          <w:color w:val="333333"/>
          <w:spacing w:val="4"/>
          <w:sz w:val="27"/>
          <w:szCs w:val="27"/>
          <w:lang w:eastAsia="ru-RU"/>
        </w:rPr>
        <w:t> должны применяться в комбинации с капецитабином** (монотерапия капецитабином**, режимы XELOX и XELIRI) или аналогами пиримидинов в струйных режимах (режим Мейо, FLOX, Nordic Flox, IFL). При левосторонней локализации первичной опухоли предпочтение в комбинации</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с анти-EGFR-антителами отдается режимам FOLFOX или FOLFIRI. При правосторонней</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локализации первичной опухоли предпочтение в комбинации с бевацизумабом отдается</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режиму FOLFOXIRI.</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У пациентов с мутациями в </w:t>
      </w:r>
      <w:r w:rsidRPr="008C7027">
        <w:rPr>
          <w:rFonts w:ascii="Times New Roman" w:eastAsia="Times New Roman" w:hAnsi="Times New Roman" w:cs="Times New Roman"/>
          <w:i/>
          <w:iCs/>
          <w:color w:val="333333"/>
          <w:spacing w:val="4"/>
          <w:sz w:val="27"/>
          <w:szCs w:val="27"/>
          <w:lang w:eastAsia="ru-RU"/>
        </w:rPr>
        <w:lastRenderedPageBreak/>
        <w:t>генах RAS, BRAF, гиперэкспрессии HER2neu вне зависимости от локализации первичной опухоли рекомендуется применение бевацизумаба** в комбинации с режимами FOLFOX, FOLFIRI, XELOX, XELIRI, FOLFOXIRI, монотерапия фторпиримидинами.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Цель лечения – максимально длительный контроль заболевания при сохранении удовлетворительного качества жизни; у ряда пациентов возможно добиться перехода нерезектабельных метастазов в резектабельные. В процессе химиотерапии каждые 1,5-3 мес проводится оценка эффективности терапии.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Различные методы эмболизации печеночной артерии (Эндоваскулярная эмболизация сосудов при новообразованиях печени и желчевыводящих путей), внутриартериальная химиотерапия могут применяться у отдельных пациентов с изолированным или преобладающим метастатическим поражением печени при исчерпании возможностей системной терапии или с целью увеличения шансов перевода в операбельное состояние метастазов в печени. Вопрос об удалении первичной опухоли решается индивидуально с учетом риска развития связанных с ней осложнений. Пациенты, у которых ответ на лечение недостаточен для перехода метастазов в резектабельное состояние, подлежат паллиативному лекарственному лечению (см. раздел 3.3).</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 изолированном поражении метастазами брюшины после достижения ремиссии на фоне системной терапии в течение 4-6 месяцев, рекомендовано рассмотреть возможность удаления метастазов с брюшины (Удаление внеорганной опухоли). Применение в данной ситуации изолированной гипертермической химиоинфузии оказалось неэффективным по результатам рандомизированных исследований. Применение метода PIPAC в настоящее время при раке толстой кишки может рассматриваться только в рамках клинических исследований [221].</w:t>
      </w:r>
    </w:p>
    <w:p w:rsidR="008C7027" w:rsidRPr="008C7027" w:rsidRDefault="008C7027" w:rsidP="008C702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 случае метахронных резектабельных метастазов рака ободочной кишки в печени или легких или при резектабельных рецидивах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проводить операцию с адъювантной химиотерапией в течение 6 мес (FOLFOX или XELOX или аналогами пиримидинов) или периоперационную химиотерапию в режимах FOLFOX или XELOX (в течение 3 мес до операции и 3 мес после нее), если ранее адъювантная химиотерапия не проводилась или с момента ее окончания прошло более 12 мес. В остальном лечение проводят в соответствии с принципами, описанными выше [16, 55, 56].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При раке ободочной кишки у функционально-неоперабельного пациента (на фоне тяжелой сопутствующей патологии)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 паллиативного противоопухолевого лекарственного лечения либо симптоматической терапии (см. раздел 3.3). Возможно стентирование опухоли или формирование разгрузочной кишечной стомы [60, 114, 115].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данная ситуация может рассматриваться,</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когда риск, связанный с проведением операции, превышает риск, связанный с прогрессированием онкологического заболевания. Решение о наличии противопоказаний к хирургическому лечению может приниматься только на консилиуме с участием врача-хирурга, врача-терапевта, врача-анестезиолога-реаниматолога.</w:t>
      </w:r>
    </w:p>
    <w:p w:rsidR="008C7027" w:rsidRPr="008C7027" w:rsidRDefault="008C7027" w:rsidP="008C702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рецидиве рака ободочной кишки рекомендовано рассмотреть возможность повторного хирургического лечения [61, 62]; при невозможности проведения повторного хирургического лечения </w:t>
      </w:r>
      <w:r w:rsidRPr="008C7027">
        <w:rPr>
          <w:rFonts w:ascii="Times New Roman" w:eastAsia="Times New Roman" w:hAnsi="Times New Roman" w:cs="Times New Roman"/>
          <w:b/>
          <w:bCs/>
          <w:color w:val="222222"/>
          <w:spacing w:val="4"/>
          <w:sz w:val="27"/>
          <w:szCs w:val="27"/>
          <w:lang w:eastAsia="ru-RU"/>
        </w:rPr>
        <w:t>рекомендована</w:t>
      </w:r>
      <w:r w:rsidRPr="008C7027">
        <w:rPr>
          <w:rFonts w:ascii="Times New Roman" w:eastAsia="Times New Roman" w:hAnsi="Times New Roman" w:cs="Times New Roman"/>
          <w:color w:val="222222"/>
          <w:spacing w:val="4"/>
          <w:sz w:val="27"/>
          <w:szCs w:val="27"/>
          <w:lang w:eastAsia="ru-RU"/>
        </w:rPr>
        <w:t> системная химиотерапия (см. раздел 3.3).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в сложных клинических случаях лечебную тактику определяют на мультидисциплинарном консилиуме с участием абдоминального врача-хирурга, врача-радиотерапевта и врача-онколога на основании результатов дооперационного обследования с определением клинической стадии заболевания. При нерезктабельном поражении печени (доказанном на консилиуме с участием врачей-хирургов, специализирующихся на хирургии печени) с благоприятным прогнозом (возраст ≥65 лет, достигнут контроль болезни в течение не менее 3 месяцев на фоне системной противоопухолевой терапии, проведено не более 3 линий лечения, функциональный статус по шкале ECOG 0-1, дикий тип гена BRAF, уровень РЭА менее 80 нг/мл или его снижение более, чем на 50% в сравнении с уровнем до начала системного лечения, первичная опухоль удалена, отсутствие экстрапеченочных проявлений болезни, уровень тромбоцитов более 80 000 в мкл и лейкоцитов более 2500 в мкл), возможно рассмотреть трансплантацию печени [232]</w:t>
      </w:r>
    </w:p>
    <w:p w:rsidR="008C7027" w:rsidRPr="008C7027" w:rsidRDefault="008C7027" w:rsidP="008C70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C7027">
        <w:rPr>
          <w:rFonts w:ascii="Times New Roman" w:eastAsia="Times New Roman" w:hAnsi="Times New Roman" w:cs="Times New Roman"/>
          <w:b/>
          <w:bCs/>
          <w:color w:val="222222"/>
          <w:spacing w:val="4"/>
          <w:sz w:val="33"/>
          <w:szCs w:val="33"/>
          <w:lang w:eastAsia="ru-RU"/>
        </w:rPr>
        <w:t>3.1. Хирургическое лечение</w:t>
      </w:r>
    </w:p>
    <w:p w:rsidR="008C7027" w:rsidRPr="008C7027" w:rsidRDefault="008C7027" w:rsidP="008C702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Эндоскопическое лечение раннего рака ободочной кишки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w:t>
      </w:r>
    </w:p>
    <w:p w:rsidR="008C7027" w:rsidRPr="008C7027" w:rsidRDefault="008C7027" w:rsidP="008C7027">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тубулярно-ворсинчатых аденомах с дисплазией эпителия тяжелой степени;</w:t>
      </w:r>
    </w:p>
    <w:p w:rsidR="008C7027" w:rsidRPr="008C7027" w:rsidRDefault="008C7027" w:rsidP="008C7027">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аденокарциномах с инвазией в пределах слизистого и подслизистого слоев по данным эндоскопического УЗИ;</w:t>
      </w:r>
    </w:p>
    <w:p w:rsidR="008C7027" w:rsidRPr="008C7027" w:rsidRDefault="008C7027" w:rsidP="008C7027">
      <w:pPr>
        <w:numPr>
          <w:ilvl w:val="1"/>
          <w:numId w:val="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аденокарциномах с умеренной или высокой степенью дифференцировки [16, 29].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Противопоказания:</w:t>
      </w:r>
    </w:p>
    <w:p w:rsidR="008C7027" w:rsidRPr="008C7027" w:rsidRDefault="008C7027" w:rsidP="008C702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низкодифференцированная или слизистая аденокарцинома;</w:t>
      </w:r>
    </w:p>
    <w:p w:rsidR="008C7027" w:rsidRPr="008C7027" w:rsidRDefault="008C7027" w:rsidP="008C702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лимфоваскулярная инвазия;</w:t>
      </w:r>
    </w:p>
    <w:p w:rsidR="008C7027" w:rsidRPr="008C7027" w:rsidRDefault="008C7027" w:rsidP="008C702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признаки инвазии ножки полипа, инвазии за пределы подслизистого слоя.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Возможные варианты:</w:t>
      </w:r>
    </w:p>
    <w:p w:rsidR="008C7027" w:rsidRPr="008C7027" w:rsidRDefault="008C7027" w:rsidP="008C702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эндоскопическая полипэктомия (Удаление полипа толстой кишки эндоскопическое);</w:t>
      </w:r>
    </w:p>
    <w:p w:rsidR="008C7027" w:rsidRPr="008C7027" w:rsidRDefault="008C7027" w:rsidP="008C702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эндоскопическая подслизистая резекция (Эндоскопическая резекция слизистой толстой кишки).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Наиболее частые осложнения</w:t>
      </w:r>
      <w:r w:rsidRPr="008C7027">
        <w:rPr>
          <w:rFonts w:ascii="Times New Roman" w:eastAsia="Times New Roman" w:hAnsi="Times New Roman" w:cs="Times New Roman"/>
          <w:i/>
          <w:iCs/>
          <w:color w:val="333333"/>
          <w:spacing w:val="4"/>
          <w:sz w:val="27"/>
          <w:szCs w:val="27"/>
          <w:lang w:eastAsia="ru-RU"/>
        </w:rPr>
        <w:t> – болевой синдром, кровотечение, перфорация.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Следует учитывать, что при последующем патолого-анатомическом исследовании материала эндоскопически резецированного раннего рака ободочной кишки будут выявлены пациенты, которым потребуется резекция соответствующего участка толстой кишки, например пациенты со стадией &gt;pT1 или поражением краев резекции.</w:t>
      </w:r>
    </w:p>
    <w:p w:rsidR="008C7027" w:rsidRPr="008C7027" w:rsidRDefault="008C7027" w:rsidP="008C702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Не рекомендуется</w:t>
      </w:r>
      <w:r w:rsidRPr="008C7027">
        <w:rPr>
          <w:rFonts w:ascii="Times New Roman" w:eastAsia="Times New Roman" w:hAnsi="Times New Roman" w:cs="Times New Roman"/>
          <w:color w:val="222222"/>
          <w:spacing w:val="4"/>
          <w:sz w:val="27"/>
          <w:szCs w:val="27"/>
          <w:lang w:eastAsia="ru-RU"/>
        </w:rPr>
        <w:t> рутинная механическая подготовка кишечника [63].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установлено, что механическая подготовка кишечника не влияла на частоту осложнений, однако она может выполняться по усмотрению оперирующего хирурга [63].</w:t>
      </w:r>
    </w:p>
    <w:p w:rsidR="008C7027" w:rsidRPr="008C7027" w:rsidRDefault="008C7027" w:rsidP="008C702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xml:space="preserve"> при технической доступности и наличии хирургической бригады соответствующей квалификации проводить хирургическое лечение </w:t>
      </w:r>
      <w:r w:rsidRPr="008C7027">
        <w:rPr>
          <w:rFonts w:ascii="Times New Roman" w:eastAsia="Times New Roman" w:hAnsi="Times New Roman" w:cs="Times New Roman"/>
          <w:color w:val="222222"/>
          <w:spacing w:val="4"/>
          <w:sz w:val="27"/>
          <w:szCs w:val="27"/>
          <w:lang w:eastAsia="ru-RU"/>
        </w:rPr>
        <w:lastRenderedPageBreak/>
        <w:t>рака ободочной кишки с использованием лапароскопического доступа [29, 64–67, 116].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лапароскопические резекции ободочной кишки (Гемиколэктомия левосторонняя с использованием видеоэндоскопических технологий, Гемиколэктомия правосторонняя с использованием видеоэндоскопических технологий, Резекция поперечно-ободочной кишки с использованием видеоэндоскопических технологий, Резекция сигмовидной кишки с использованием видеоэндоскопических технологий, Обструктивная резекция сигмовидной кишки с использованием видеоэндоскопических технологий, Резекция прямой кишки передняя с использованием видеоэндоскопических технологий, Лапароскопически-ассистированная колэктомия с формированием илеоректального анастомоза) имеют ряд преимуществ: ранняя реабилитация пациентов, снижение частоты развития спаечного процесса и его выраженности, меньшая потребность в использовании опиоидных анальгетиков, сокращение сроков госпитализации, меньший риск развития послеоперационных грыж [64–67]. Диссекция должна осуществляться вдоль эмбриональных (фасциальных) слоев со стремлением к обеспечению целостности фасции мезоколона. Возможно использование роботической хирургической технологии (Гемиколэктомия левосторонняя роботассистированная, Гемиколэктомия правосторонняя роботассистированная, Резекция сигмовидной кишки роботассистированная).</w:t>
      </w:r>
    </w:p>
    <w:p w:rsidR="008C7027" w:rsidRPr="008C7027" w:rsidRDefault="008C7027" w:rsidP="008C702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локализации опухоли в слепой, восходящей ободочной кишке, печеночном изгибе ободочной кишки, проксимальной трети поперечной ободочной кишки выполнять правостороннюю гемиколэктомию или расширенную правостороннюю гемиколэктомию с обязательным лигированием у основания </w:t>
      </w:r>
      <w:r w:rsidRPr="008C7027">
        <w:rPr>
          <w:rFonts w:ascii="Times New Roman" w:eastAsia="Times New Roman" w:hAnsi="Times New Roman" w:cs="Times New Roman"/>
          <w:i/>
          <w:iCs/>
          <w:color w:val="333333"/>
          <w:spacing w:val="4"/>
          <w:sz w:val="27"/>
          <w:szCs w:val="27"/>
          <w:lang w:eastAsia="ru-RU"/>
        </w:rPr>
        <w:t>a. ileocolica, a. colica dextra, </w:t>
      </w:r>
      <w:r w:rsidRPr="008C7027">
        <w:rPr>
          <w:rFonts w:ascii="Times New Roman" w:eastAsia="Times New Roman" w:hAnsi="Times New Roman" w:cs="Times New Roman"/>
          <w:color w:val="222222"/>
          <w:spacing w:val="4"/>
          <w:sz w:val="27"/>
          <w:szCs w:val="27"/>
          <w:lang w:eastAsia="ru-RU"/>
        </w:rPr>
        <w:t>а также</w:t>
      </w:r>
      <w:r w:rsidRPr="008C7027">
        <w:rPr>
          <w:rFonts w:ascii="Times New Roman" w:eastAsia="Times New Roman" w:hAnsi="Times New Roman" w:cs="Times New Roman"/>
          <w:i/>
          <w:iCs/>
          <w:color w:val="333333"/>
          <w:spacing w:val="4"/>
          <w:sz w:val="27"/>
          <w:szCs w:val="27"/>
          <w:lang w:eastAsia="ru-RU"/>
        </w:rPr>
        <w:t> a. colica media </w:t>
      </w:r>
      <w:r w:rsidRPr="008C7027">
        <w:rPr>
          <w:rFonts w:ascii="Times New Roman" w:eastAsia="Times New Roman" w:hAnsi="Times New Roman" w:cs="Times New Roman"/>
          <w:color w:val="222222"/>
          <w:spacing w:val="4"/>
          <w:sz w:val="27"/>
          <w:szCs w:val="27"/>
          <w:lang w:eastAsia="ru-RU"/>
        </w:rPr>
        <w:t>у основания либо правой ветви</w:t>
      </w:r>
      <w:r w:rsidRPr="008C7027">
        <w:rPr>
          <w:rFonts w:ascii="Times New Roman" w:eastAsia="Times New Roman" w:hAnsi="Times New Roman" w:cs="Times New Roman"/>
          <w:i/>
          <w:iCs/>
          <w:color w:val="333333"/>
          <w:spacing w:val="4"/>
          <w:sz w:val="27"/>
          <w:szCs w:val="27"/>
          <w:lang w:eastAsia="ru-RU"/>
        </w:rPr>
        <w:t> a. colica media </w:t>
      </w:r>
      <w:r w:rsidRPr="008C7027">
        <w:rPr>
          <w:rFonts w:ascii="Times New Roman" w:eastAsia="Times New Roman" w:hAnsi="Times New Roman" w:cs="Times New Roman"/>
          <w:color w:val="222222"/>
          <w:spacing w:val="4"/>
          <w:sz w:val="27"/>
          <w:szCs w:val="27"/>
          <w:lang w:eastAsia="ru-RU"/>
        </w:rPr>
        <w:t>[64–67].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xml:space="preserve"> при локализации опухоли в средней трети поперечной ободочной кишки решение об объеме хирургического вмешательства принимать индивидуально, с учетом возраста, сопутствующих заболеваний, размеров и распространенности опухоли. Допустима резекция поперечной </w:t>
      </w:r>
      <w:r w:rsidRPr="008C7027">
        <w:rPr>
          <w:rFonts w:ascii="Times New Roman" w:eastAsia="Times New Roman" w:hAnsi="Times New Roman" w:cs="Times New Roman"/>
          <w:color w:val="222222"/>
          <w:spacing w:val="4"/>
          <w:sz w:val="27"/>
          <w:szCs w:val="27"/>
          <w:lang w:eastAsia="ru-RU"/>
        </w:rPr>
        <w:lastRenderedPageBreak/>
        <w:t>ободочной кишки, расширенная право- или левосторонняя гемиколэктомия (в зависимости от более точной локализации опухоли) [62–65].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локализации опухоли в дистальной трети поперечной ободочной кишки, селезеночном изгибе ободочной кишки, нисходящей ободочной кишке, проксимальной трети сигмовидной кишки выполнять левостороннюю гемиколэктомию или расширенную левостороннюю гемиколэктомию с лигированием </w:t>
      </w:r>
      <w:r w:rsidRPr="008C7027">
        <w:rPr>
          <w:rFonts w:ascii="Times New Roman" w:eastAsia="Times New Roman" w:hAnsi="Times New Roman" w:cs="Times New Roman"/>
          <w:i/>
          <w:iCs/>
          <w:color w:val="333333"/>
          <w:spacing w:val="4"/>
          <w:sz w:val="27"/>
          <w:szCs w:val="27"/>
          <w:lang w:eastAsia="ru-RU"/>
        </w:rPr>
        <w:t>a. colica sinistra </w:t>
      </w:r>
      <w:r w:rsidRPr="008C7027">
        <w:rPr>
          <w:rFonts w:ascii="Times New Roman" w:eastAsia="Times New Roman" w:hAnsi="Times New Roman" w:cs="Times New Roman"/>
          <w:color w:val="222222"/>
          <w:spacing w:val="4"/>
          <w:sz w:val="27"/>
          <w:szCs w:val="27"/>
          <w:lang w:eastAsia="ru-RU"/>
        </w:rPr>
        <w:t>у места</w:t>
      </w:r>
      <w:r w:rsidRPr="008C7027">
        <w:rPr>
          <w:rFonts w:ascii="Times New Roman" w:eastAsia="Times New Roman" w:hAnsi="Times New Roman" w:cs="Times New Roman"/>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отхождения, а также</w:t>
      </w:r>
      <w:r w:rsidRPr="008C7027">
        <w:rPr>
          <w:rFonts w:ascii="Times New Roman" w:eastAsia="Times New Roman" w:hAnsi="Times New Roman" w:cs="Times New Roman"/>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левой ветви</w:t>
      </w:r>
      <w:r w:rsidRPr="008C7027">
        <w:rPr>
          <w:rFonts w:ascii="Times New Roman" w:eastAsia="Times New Roman" w:hAnsi="Times New Roman" w:cs="Times New Roman"/>
          <w:i/>
          <w:iCs/>
          <w:color w:val="333333"/>
          <w:spacing w:val="4"/>
          <w:sz w:val="27"/>
          <w:szCs w:val="27"/>
          <w:lang w:eastAsia="ru-RU"/>
        </w:rPr>
        <w:t> a. colica media</w:t>
      </w:r>
      <w:r w:rsidRPr="008C7027">
        <w:rPr>
          <w:rFonts w:ascii="Times New Roman" w:eastAsia="Times New Roman" w:hAnsi="Times New Roman" w:cs="Times New Roman"/>
          <w:color w:val="222222"/>
          <w:spacing w:val="4"/>
          <w:sz w:val="27"/>
          <w:szCs w:val="27"/>
          <w:lang w:eastAsia="ru-RU"/>
        </w:rPr>
        <w:t> либо самой </w:t>
      </w:r>
      <w:r w:rsidRPr="008C7027">
        <w:rPr>
          <w:rFonts w:ascii="Times New Roman" w:eastAsia="Times New Roman" w:hAnsi="Times New Roman" w:cs="Times New Roman"/>
          <w:i/>
          <w:iCs/>
          <w:color w:val="333333"/>
          <w:spacing w:val="4"/>
          <w:sz w:val="27"/>
          <w:szCs w:val="27"/>
          <w:lang w:eastAsia="ru-RU"/>
        </w:rPr>
        <w:t>a. colica media</w:t>
      </w:r>
      <w:r w:rsidRPr="008C7027">
        <w:rPr>
          <w:rFonts w:ascii="Times New Roman" w:eastAsia="Times New Roman" w:hAnsi="Times New Roman" w:cs="Times New Roman"/>
          <w:color w:val="222222"/>
          <w:spacing w:val="4"/>
          <w:sz w:val="27"/>
          <w:szCs w:val="27"/>
          <w:lang w:eastAsia="ru-RU"/>
        </w:rPr>
        <w:t> у места отхождения [64–67].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локализации опухоли в средней трети сигмовидной кишки выполнять резекцию сигмовидной кишки или операцию типа Гартмана (Обструктивная резекция сигмовидной кишки) (при наличии противопоказаний к формированию первичного анастомоза) с лигированием нижней брыжеечной артерии [64–67].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локализации опухоли в дистальной трети сигмовидной кишки выполнять резекцию сигмовидной кишки с чрезбрюшной резекцией прямой кишки (Комбинированная резекция сигмовидной кишки с резекцией соседних органов) или операцию типа Гартмана с лигированием нижней брыжеечной артерии у основания либо непосредственно дистальнее уровня отхождения левой ободочной артерии [64–67].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соблюдение края резекции ≥5 см от опухоли при операциях по поводу рака ободочной кишкии ректосигмоидного отдела толстой кишки [64–67].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необходимо учитывать тот факт, что объем оперативного вмешательства не должен различаться при экстренном и плановом хирургическом лечении рака ободочной кишки, поэтому объем оперативного вмешательства по экстренным показаниям определяется индивидуально. </w:t>
      </w:r>
      <w:r w:rsidRPr="008C7027">
        <w:rPr>
          <w:rFonts w:ascii="Times New Roman" w:eastAsia="Times New Roman" w:hAnsi="Times New Roman" w:cs="Times New Roman"/>
          <w:i/>
          <w:iCs/>
          <w:color w:val="333333"/>
          <w:spacing w:val="4"/>
          <w:sz w:val="27"/>
          <w:szCs w:val="27"/>
          <w:lang w:eastAsia="ru-RU"/>
        </w:rPr>
        <w:lastRenderedPageBreak/>
        <w:t>Если соблюдение онкологических принципов вмешательства невозможно (вследствие отсутствия технической возможности, квалификации, наличия изменений органов брюшной полости на фоне острой хирургической патологии), а также если из-за тяжести состояния пациента высок риск выполнения расширенной операции, рекомендуется проводить симптоматическую операцию (формирование кишечной стомы или обходного анастомоза (Формирование обходного анастомоза толстой кишки)) с последующим направлением пациента на плановое хирургическое лечение в специализированную клинику. При локализации опухоли в слепой, восходящей ободочной кишке, печеночном изгибе ободочной кишки, проксимальной трети поперечной ободочной кишки допустимо формирование первичного анастомоза [68, 69, 70].</w:t>
      </w:r>
    </w:p>
    <w:p w:rsidR="008C7027" w:rsidRPr="008C7027" w:rsidRDefault="008C7027" w:rsidP="008C70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C7027">
        <w:rPr>
          <w:rFonts w:ascii="Times New Roman" w:eastAsia="Times New Roman" w:hAnsi="Times New Roman" w:cs="Times New Roman"/>
          <w:b/>
          <w:bCs/>
          <w:color w:val="222222"/>
          <w:spacing w:val="4"/>
          <w:sz w:val="33"/>
          <w:szCs w:val="33"/>
          <w:lang w:eastAsia="ru-RU"/>
        </w:rPr>
        <w:t>3.2. Адъювантная химиотерапия</w:t>
      </w:r>
    </w:p>
    <w:p w:rsidR="008C7027" w:rsidRPr="008C7027" w:rsidRDefault="008C7027" w:rsidP="008C702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выявлять факторы риска прогрессирования у пациентов со II стадией заболевания с целью определения прогноза и выбора адъювантного лечения</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[47].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Рекомендовано</w:t>
      </w:r>
      <w:r w:rsidRPr="008C7027">
        <w:rPr>
          <w:rFonts w:ascii="Times New Roman" w:eastAsia="Times New Roman" w:hAnsi="Times New Roman" w:cs="Times New Roman"/>
          <w:color w:val="222222"/>
          <w:spacing w:val="4"/>
          <w:sz w:val="27"/>
          <w:szCs w:val="27"/>
          <w:lang w:eastAsia="ru-RU"/>
        </w:rPr>
        <w:t> назначать адъювантную химиотерапию</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пациентам с раком pT4N0 или рТ1-4N+, а также она может быть рекомендована пациентам с раком ободочной кишки pТ3N0M0 и факторами неблагоприятного прогноза (низкой степенью дифференцировки, лимфоваскулярной/периневральной инвазией, при проведении операции в условиях кишечной непроходимости/перфорации/перитонита, при операции с неадекватным объемом лимфодиссекции (если изучено &lt;12 лимфатических узлов), tumor-budding (BD3), уровне РЭА &gt;5 нг/мл до операции или &gt;2,5 нг/мл после операции, наличие позитивных смывов с брюшины или наличие циркулирующей опухолевой ДНК после операции) [47].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 xml:space="preserve">необходимо исследование биопсийного (операционного) материала на наличие микросателлитных повторов ДНК методом ПЦР (Определение микросателлитной нестабильности в биопсийном (операционном) материале методом ПЦР) или иммуногистохимическое </w:t>
      </w:r>
      <w:r w:rsidRPr="008C7027">
        <w:rPr>
          <w:rFonts w:ascii="Times New Roman" w:eastAsia="Times New Roman" w:hAnsi="Times New Roman" w:cs="Times New Roman"/>
          <w:i/>
          <w:iCs/>
          <w:color w:val="333333"/>
          <w:spacing w:val="4"/>
          <w:sz w:val="27"/>
          <w:szCs w:val="27"/>
          <w:lang w:eastAsia="ru-RU"/>
        </w:rPr>
        <w:lastRenderedPageBreak/>
        <w:t>исследование на наличие дефицита белков системы репарации неспаренных оснований (Патолого-анатомическое исследование биопсийного (операционного) материала толстой кишки с применением иммуногистохимических методов) при II стадии болезни с целью определения показаний к адъювантной химиотерапии [47, 71, 72]. При II стадии болезни в случае наличия информации о выявлении в послеоперационном периоде циркулирующей опухолевой ДНК (определенной, методом, доказавшем в проспективном исследовании свое прогностическое значение) рекомендуется рассмотреть назначение адъювантной химиотерапии – 4-8 курсов по схеме XELOX или 12 курсов по схеме FOLFOX; при отсутствии в послеоперационном периоде циркулирующей опухолевой ДНК в плазме крови при II стадии болезни (T3N0M0 с клиническими факторами риска) возможно рассмотреть наблюдение [223, 231].</w:t>
      </w:r>
    </w:p>
    <w:p w:rsidR="008C7027" w:rsidRPr="008C7027" w:rsidRDefault="008C7027" w:rsidP="008C702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раке ободочной кишки pТ3N0M0 с единственным фактором неблагоприятного прогноза при неизвестном статусе MSI или при микросателлитной стабильности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 адъювантной химиотерапии аналогами пиримидина в монорежиме в течение 6 мес (которые можно применять в различных вариантах: инфузионный (режим de Gramont) или перорально (капецитабин**) (табл. 3 или по схеме XELOX в течение 3 мес. При </w:t>
      </w:r>
      <w:r w:rsidRPr="008C7027">
        <w:rPr>
          <w:rFonts w:ascii="Times New Roman" w:eastAsia="Times New Roman" w:hAnsi="Times New Roman" w:cs="Times New Roman"/>
          <w:b/>
          <w:bCs/>
          <w:color w:val="222222"/>
          <w:spacing w:val="4"/>
          <w:sz w:val="27"/>
          <w:szCs w:val="27"/>
          <w:lang w:eastAsia="ru-RU"/>
        </w:rPr>
        <w:t>MSI в случае pТ3N0M0 (при лимфоваскулярной инвазии и / или G3</w:t>
      </w:r>
      <w:r w:rsidRPr="008C7027">
        <w:rPr>
          <w:rFonts w:ascii="Times New Roman" w:eastAsia="Times New Roman" w:hAnsi="Times New Roman" w:cs="Times New Roman"/>
          <w:color w:val="222222"/>
          <w:spacing w:val="4"/>
          <w:sz w:val="27"/>
          <w:szCs w:val="27"/>
          <w:lang w:eastAsia="ru-RU"/>
        </w:rPr>
        <w:t>) рекомендуется наблюдение. При </w:t>
      </w:r>
      <w:r w:rsidRPr="008C7027">
        <w:rPr>
          <w:rFonts w:ascii="Times New Roman" w:eastAsia="Times New Roman" w:hAnsi="Times New Roman" w:cs="Times New Roman"/>
          <w:b/>
          <w:bCs/>
          <w:color w:val="222222"/>
          <w:spacing w:val="4"/>
          <w:sz w:val="27"/>
          <w:szCs w:val="27"/>
          <w:lang w:eastAsia="ru-RU"/>
        </w:rPr>
        <w:t>MSI в случае pТ3N0M0</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b/>
          <w:bCs/>
          <w:color w:val="222222"/>
          <w:spacing w:val="4"/>
          <w:sz w:val="27"/>
          <w:szCs w:val="27"/>
          <w:lang w:eastAsia="ru-RU"/>
        </w:rPr>
        <w:t>при изучении менее 12 лимфоузлов </w:t>
      </w:r>
      <w:r w:rsidRPr="008C7027">
        <w:rPr>
          <w:rFonts w:ascii="Times New Roman" w:eastAsia="Times New Roman" w:hAnsi="Times New Roman" w:cs="Times New Roman"/>
          <w:color w:val="222222"/>
          <w:spacing w:val="4"/>
          <w:sz w:val="27"/>
          <w:szCs w:val="27"/>
          <w:lang w:eastAsia="ru-RU"/>
        </w:rPr>
        <w:t>(данных по риску прогрессирования при изучении менее 20 лимфоузлов не представлено в литературе)</w:t>
      </w:r>
      <w:r w:rsidRPr="008C7027">
        <w:rPr>
          <w:rFonts w:ascii="Times New Roman" w:eastAsia="Times New Roman" w:hAnsi="Times New Roman" w:cs="Times New Roman"/>
          <w:b/>
          <w:bCs/>
          <w:color w:val="222222"/>
          <w:spacing w:val="4"/>
          <w:sz w:val="27"/>
          <w:szCs w:val="27"/>
          <w:lang w:eastAsia="ru-RU"/>
        </w:rPr>
        <w:t>, наличии периневральной инвазии, R1 резекции</w:t>
      </w:r>
      <w:r w:rsidRPr="008C7027">
        <w:rPr>
          <w:rFonts w:ascii="Times New Roman" w:eastAsia="Times New Roman" w:hAnsi="Times New Roman" w:cs="Times New Roman"/>
          <w:color w:val="222222"/>
          <w:spacing w:val="4"/>
          <w:sz w:val="27"/>
          <w:szCs w:val="27"/>
          <w:lang w:eastAsia="ru-RU"/>
        </w:rPr>
        <w:t>) рекомендуется адъювантная химиотерапия по схеме</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XELOX в течение 3 мес. При </w:t>
      </w:r>
      <w:r w:rsidRPr="008C7027">
        <w:rPr>
          <w:rFonts w:ascii="Times New Roman" w:eastAsia="Times New Roman" w:hAnsi="Times New Roman" w:cs="Times New Roman"/>
          <w:b/>
          <w:bCs/>
          <w:color w:val="222222"/>
          <w:spacing w:val="4"/>
          <w:sz w:val="27"/>
          <w:szCs w:val="27"/>
          <w:lang w:eastAsia="ru-RU"/>
        </w:rPr>
        <w:t>MSS в случае pТ3N0M0</w:t>
      </w:r>
      <w:r w:rsidRPr="008C7027">
        <w:rPr>
          <w:rFonts w:ascii="Times New Roman" w:eastAsia="Times New Roman" w:hAnsi="Times New Roman" w:cs="Times New Roman"/>
          <w:color w:val="222222"/>
          <w:spacing w:val="4"/>
          <w:sz w:val="27"/>
          <w:szCs w:val="27"/>
          <w:lang w:eastAsia="ru-RU"/>
        </w:rPr>
        <w:t> и </w:t>
      </w:r>
      <w:r w:rsidRPr="008C7027">
        <w:rPr>
          <w:rFonts w:ascii="Times New Roman" w:eastAsia="Times New Roman" w:hAnsi="Times New Roman" w:cs="Times New Roman"/>
          <w:b/>
          <w:bCs/>
          <w:color w:val="222222"/>
          <w:spacing w:val="4"/>
          <w:sz w:val="27"/>
          <w:szCs w:val="27"/>
          <w:lang w:eastAsia="ru-RU"/>
        </w:rPr>
        <w:t>при сочетании с 2 и более неблагоприятными факторами прогноза </w:t>
      </w:r>
      <w:r w:rsidRPr="008C7027">
        <w:rPr>
          <w:rFonts w:ascii="Times New Roman" w:eastAsia="Times New Roman" w:hAnsi="Times New Roman" w:cs="Times New Roman"/>
          <w:color w:val="222222"/>
          <w:spacing w:val="4"/>
          <w:sz w:val="27"/>
          <w:szCs w:val="27"/>
          <w:lang w:eastAsia="ru-RU"/>
        </w:rPr>
        <w:t>рекомендуется адъювантная химиотерапия по схеме XELOX в течение 3 мес.</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или по схеме FOLFOX в течение 6 мес. [12, 47, 71, 72].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Таблица 3.</w:t>
      </w:r>
      <w:r w:rsidRPr="008C7027">
        <w:rPr>
          <w:rFonts w:ascii="Times New Roman" w:eastAsia="Times New Roman" w:hAnsi="Times New Roman" w:cs="Times New Roman"/>
          <w:color w:val="222222"/>
          <w:spacing w:val="4"/>
          <w:sz w:val="27"/>
          <w:szCs w:val="27"/>
          <w:lang w:eastAsia="ru-RU"/>
        </w:rPr>
        <w:t> Режимы применения оксалиплатина** и аналогов пиримидина в лечении колоректального рака</w:t>
      </w:r>
    </w:p>
    <w:tbl>
      <w:tblPr>
        <w:tblW w:w="14024" w:type="dxa"/>
        <w:tblCellMar>
          <w:left w:w="0" w:type="dxa"/>
          <w:right w:w="0" w:type="dxa"/>
        </w:tblCellMar>
        <w:tblLook w:val="04A0" w:firstRow="1" w:lastRow="0" w:firstColumn="1" w:lastColumn="0" w:noHBand="0" w:noVBand="1"/>
      </w:tblPr>
      <w:tblGrid>
        <w:gridCol w:w="3523"/>
        <w:gridCol w:w="10501"/>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Модифицированный FOLFOX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Оксалиплатин** в дозе 85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2-часовой инфузии в 1-й день, 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xml:space="preserve"> в/в в течение 2 ч с последующим </w:t>
            </w:r>
            <w:r w:rsidRPr="008C7027">
              <w:rPr>
                <w:rFonts w:ascii="Verdana" w:eastAsia="Times New Roman" w:hAnsi="Verdana" w:cs="Times New Roman"/>
                <w:sz w:val="27"/>
                <w:szCs w:val="27"/>
                <w:lang w:eastAsia="ru-RU"/>
              </w:rPr>
              <w:lastRenderedPageBreak/>
              <w:t>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струйно и 46-часовой инфузией #фторурацила** в дозе 2400 мг/м</w:t>
            </w:r>
            <w:r w:rsidRPr="008C7027">
              <w:rPr>
                <w:rFonts w:ascii="Verdana" w:eastAsia="Times New Roman" w:hAnsi="Verdana" w:cs="Times New Roman"/>
                <w:sz w:val="12"/>
                <w:szCs w:val="12"/>
                <w:vertAlign w:val="superscript"/>
                <w:lang w:eastAsia="ru-RU"/>
              </w:rPr>
              <w:t>2 </w:t>
            </w:r>
            <w:r w:rsidRPr="008C7027">
              <w:rPr>
                <w:rFonts w:ascii="Verdana" w:eastAsia="Times New Roman" w:hAnsi="Verdana" w:cs="Times New Roman"/>
                <w:sz w:val="27"/>
                <w:szCs w:val="27"/>
                <w:lang w:eastAsia="ru-RU"/>
              </w:rPr>
              <w:t>(по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 [159]</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XELOX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Оксалиплатин** в дозе 130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1-й день, капецитабин** в дозе 2000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в 1-14-й или 1-15-й дни (в зависимости от времени начала терапии: если введение начинается в первой половине 1-го дня цикла, то длительность – 14 дней).</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22-й день [126, 160]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FLOX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Оксалиплатин** в дозе 85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течение 2 ч (1, 15 и 29-й дни каждого цикла) + кальция фолинат** в дозе 20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струйно с последующим болюсным введением фторурацила** в дозе 500 мг/м</w:t>
            </w:r>
            <w:r w:rsidRPr="008C7027">
              <w:rPr>
                <w:rFonts w:ascii="Verdana" w:eastAsia="Times New Roman" w:hAnsi="Verdana" w:cs="Times New Roman"/>
                <w:sz w:val="12"/>
                <w:szCs w:val="12"/>
                <w:vertAlign w:val="superscript"/>
                <w:lang w:eastAsia="ru-RU"/>
              </w:rPr>
              <w:t>2 </w:t>
            </w:r>
            <w:r w:rsidRPr="008C7027">
              <w:rPr>
                <w:rFonts w:ascii="Verdana" w:eastAsia="Times New Roman" w:hAnsi="Verdana" w:cs="Times New Roman"/>
                <w:sz w:val="27"/>
                <w:szCs w:val="27"/>
                <w:lang w:eastAsia="ru-RU"/>
              </w:rPr>
              <w:t>еженедельно в течение 6 нед с последующим 2-недельным перерывом [161]</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FLOX (Nordic)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Оксалиплатин** в дозе 85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1 день + кальция фолинат** в дозе 60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струйно с последующим болюсным введением фторурацила** в дозе 500 мг/м</w:t>
            </w:r>
            <w:r w:rsidRPr="008C7027">
              <w:rPr>
                <w:rFonts w:ascii="Verdana" w:eastAsia="Times New Roman" w:hAnsi="Verdana" w:cs="Times New Roman"/>
                <w:sz w:val="12"/>
                <w:szCs w:val="12"/>
                <w:vertAlign w:val="superscript"/>
                <w:lang w:eastAsia="ru-RU"/>
              </w:rPr>
              <w:t>2 </w:t>
            </w:r>
            <w:r w:rsidRPr="008C7027">
              <w:rPr>
                <w:rFonts w:ascii="Verdana" w:eastAsia="Times New Roman" w:hAnsi="Verdana" w:cs="Times New Roman"/>
                <w:sz w:val="27"/>
                <w:szCs w:val="27"/>
                <w:lang w:eastAsia="ru-RU"/>
              </w:rPr>
              <w:t>в 1 и 2-й дни. Начало очередного курса – на 15-й день [162, 163]</w:t>
            </w:r>
          </w:p>
        </w:tc>
      </w:tr>
    </w:tbl>
    <w:p w:rsidR="008C7027" w:rsidRPr="008C7027" w:rsidRDefault="008C7027" w:rsidP="008C702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раке ободочной кишки pТ4N0M0 вне зависимости от статуса MSI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 адъювантной химиотерапии</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по схеме XELOX в течение 3 мес или по схеме FOLFOX в течение 6 мес с целью снижения риска прогрессирования заболевания [73].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8C7027" w:rsidRPr="008C7027" w:rsidRDefault="008C7027" w:rsidP="008C702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со стадией pT1-3N1M0 рака ободочной кишки</w:t>
      </w:r>
      <w:r w:rsidRPr="008C7027">
        <w:rPr>
          <w:rFonts w:ascii="Times New Roman" w:eastAsia="Times New Roman" w:hAnsi="Times New Roman" w:cs="Times New Roman"/>
          <w:b/>
          <w:bCs/>
          <w:color w:val="222222"/>
          <w:spacing w:val="4"/>
          <w:sz w:val="27"/>
          <w:szCs w:val="27"/>
          <w:lang w:eastAsia="ru-RU"/>
        </w:rPr>
        <w:t> рекомендуется</w:t>
      </w:r>
      <w:r w:rsidRPr="008C7027">
        <w:rPr>
          <w:rFonts w:ascii="Times New Roman" w:eastAsia="Times New Roman" w:hAnsi="Times New Roman" w:cs="Times New Roman"/>
          <w:color w:val="222222"/>
          <w:spacing w:val="4"/>
          <w:sz w:val="27"/>
          <w:szCs w:val="27"/>
          <w:lang w:eastAsia="ru-RU"/>
        </w:rPr>
        <w:t> проводить адъювантную химиотерапию по схеме XELOX в течение 3 мес либо по схеме FOLFOX в течение 6 мес с целью снижения риска прогрессирования заболевания [73].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по результатам объединенного анализа 6 рандомизированных исследований 3-месячная терапия по схеме XELOX (но не FOLFOX) обладает не меньшей эффективностью в отношении 3-летней выживаемости без признаков болезни, чем 6-месячная [73].</w:t>
      </w:r>
    </w:p>
    <w:p w:rsidR="008C7027" w:rsidRPr="008C7027" w:rsidRDefault="008C7027" w:rsidP="008C702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При раке ободочной кишки рN2 или рT4N1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 адъювантной химиотерапии по схеме XELOX или FOLFOX в течение 6 мес с целью снижения риска прогрессирования заболевания [73].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по опубликованным данным, абсолютные различия 5-летней общей выживаемости после 3- и 6-месячной адъювантной химиотерапии не превышают 1% [139]. Поэтому даже при неблагоприятном прогнозе после 4 курсов терапии в режиме XELOX при неудовлетворительной ее переносимости возможно обсуждение с пациентом возможности ее прекращения или, что более оптимально, переход на монотерапию аналогами пиримидинами [164].</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Комбинация оксалиплатина** со струйным введением фторурацила** (режим FLOX) обладает схожей эффективностью, но высокой токсичностью (является вариантом выбора при развитии кардиотоксичности при применении капецитабина** или 46-часовых инфузий фторурацила**) (табл. 3). При развитии в процессе химиотерапии симптомов полинейропатии II степени рекомендуется отмена оксалиплатина** и продолжение монотерапии аналогами пиримидина. В адъювантной терапии колоректального рака не должны применяться иринотекан** и таргетные препараты, в частности бевацизумаб**, цетуксимаб**, панитумумаб**, афлиберцепт**, регорафениб**; нет данных и об эффективности иммунотерапии в адъювантном режиме [74, 75]. Выигрыш от добавления оксалиплатина** к аналогам пиримидина у пациентов 70 лет и старше уступает таковому у более молодых пациентов. В связи с этим применение оксалиплатина** в этой возрастной группе решается индивидуально – в зависимости от стадии, сопутствующей патологии и ожидаемой продолжительности жизни. Для понимания рисков развития осложнений 3-5 степени при применении комбинаций препаратов и необходимости коррекции доз препаратов у лиц старше 70 лет, желательно проведение комплексной гериатрической оценки (mycarg.org), что позволит повысить качество жизни данных пациентов и преемственность проводимого лечения [140, 141].</w:t>
      </w:r>
    </w:p>
    <w:p w:rsidR="008C7027" w:rsidRPr="008C7027" w:rsidRDefault="008C7027" w:rsidP="008C7027">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адъювантной химиотерапии и отсутствии медицинских противопоказаний рекомендуется 1-й курс адъювантной химиотерапии проводить не позднее 8 недель с даты хирургического вмешательства [255].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Оптимальный срок начала адъювантной терапии – в течение 28 дней с момента оперативного лечения в случае отсутствия послеоперационных осложнений. При сроке &gt;2 мес проведение адъювантной химиотерапии малоэффективно. Если адъювантное лечение не было начато в течение 3-4 мес при отсутствии признаков прогрессирования, пациент остается под динамическим наблюдением.</w:t>
      </w:r>
    </w:p>
    <w:p w:rsidR="008C7027" w:rsidRPr="008C7027" w:rsidRDefault="008C7027" w:rsidP="008C70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C7027">
        <w:rPr>
          <w:rFonts w:ascii="Times New Roman" w:eastAsia="Times New Roman" w:hAnsi="Times New Roman" w:cs="Times New Roman"/>
          <w:b/>
          <w:bCs/>
          <w:color w:val="222222"/>
          <w:spacing w:val="4"/>
          <w:sz w:val="33"/>
          <w:szCs w:val="33"/>
          <w:lang w:eastAsia="ru-RU"/>
        </w:rPr>
        <w:t>3.3. Паллиативная химиотерапия</w:t>
      </w:r>
    </w:p>
    <w:p w:rsidR="008C7027" w:rsidRPr="008C7027" w:rsidRDefault="008C7027" w:rsidP="008C702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со злокачественными опухолями толстой кишки </w:t>
      </w:r>
      <w:r w:rsidRPr="008C7027">
        <w:rPr>
          <w:rFonts w:ascii="Times New Roman" w:eastAsia="Times New Roman" w:hAnsi="Times New Roman" w:cs="Times New Roman"/>
          <w:b/>
          <w:bCs/>
          <w:color w:val="222222"/>
          <w:spacing w:val="4"/>
          <w:sz w:val="27"/>
          <w:szCs w:val="27"/>
          <w:lang w:eastAsia="ru-RU"/>
        </w:rPr>
        <w:t>рекомендуется </w:t>
      </w:r>
      <w:r w:rsidRPr="008C7027">
        <w:rPr>
          <w:rFonts w:ascii="Times New Roman" w:eastAsia="Times New Roman" w:hAnsi="Times New Roman" w:cs="Times New Roman"/>
          <w:color w:val="222222"/>
          <w:spacing w:val="4"/>
          <w:sz w:val="27"/>
          <w:szCs w:val="27"/>
          <w:lang w:eastAsia="ru-RU"/>
        </w:rPr>
        <w:t>проведение противоопухолевой лекарственной терапии в соответствии с общими принципами, изложенными в «Практических рекомендациях по общим вопросам проведения противоопухолевой лекарственной терапии» Российского общества клинической онкологии [165].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 пациентов с нерезектабельными метастазами и малосимптомной первичной опухолью </w:t>
      </w:r>
      <w:r w:rsidRPr="008C7027">
        <w:rPr>
          <w:rFonts w:ascii="Times New Roman" w:eastAsia="Times New Roman" w:hAnsi="Times New Roman" w:cs="Times New Roman"/>
          <w:b/>
          <w:bCs/>
          <w:color w:val="222222"/>
          <w:spacing w:val="4"/>
          <w:sz w:val="27"/>
          <w:szCs w:val="27"/>
          <w:lang w:eastAsia="ru-RU"/>
        </w:rPr>
        <w:t>рекомендуется </w:t>
      </w:r>
      <w:r w:rsidRPr="008C7027">
        <w:rPr>
          <w:rFonts w:ascii="Times New Roman" w:eastAsia="Times New Roman" w:hAnsi="Times New Roman" w:cs="Times New Roman"/>
          <w:color w:val="222222"/>
          <w:spacing w:val="4"/>
          <w:sz w:val="27"/>
          <w:szCs w:val="27"/>
          <w:lang w:eastAsia="ru-RU"/>
        </w:rPr>
        <w:t>не удалять первичную опухоль [142].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по результатам проспективных рандомизированных исследований, удаление бессимптомной первичной опухоли при нерезектабельных метастазах не улучшает ни выживаемость без прогрессирования, ни общую выживаемость, однако ухудшает переносимость химиотерапии.</w:t>
      </w:r>
    </w:p>
    <w:p w:rsidR="008C7027" w:rsidRPr="008C7027" w:rsidRDefault="008C7027" w:rsidP="008C702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у отдельных пациентов с малосимптомным процессом</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(в объективном состоянии, оцениваемом в 0-1 балл по шкале Восточной объединенной онкологической группы (ECOG) (приложение Г4)) при невозможности назначения в терапии 1-й линии иринотекана** или оксалиплатина** назначать в качестве 1-й линии монотерапию аналогами пиримидина с добавлением или без добавления таргетных препаратов в зависимости от мутационного статуса и локализации первичной опухоли (табл. 4). При прогрессировании заболевания рекомендуется рассмотреть возможность добавления к режиму оксалиплатина**, а в 3-й линии – иринотекана** в редуцированных дозах [16, 76–78]. При MSI</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 xml:space="preserve">возможно </w:t>
      </w:r>
      <w:r w:rsidRPr="008C7027">
        <w:rPr>
          <w:rFonts w:ascii="Times New Roman" w:eastAsia="Times New Roman" w:hAnsi="Times New Roman" w:cs="Times New Roman"/>
          <w:color w:val="222222"/>
          <w:spacing w:val="4"/>
          <w:sz w:val="27"/>
          <w:szCs w:val="27"/>
          <w:lang w:eastAsia="ru-RU"/>
        </w:rPr>
        <w:lastRenderedPageBreak/>
        <w:t>назначение в первой линии пембролизумаба**, ниволумаба**, #пролголимаба** в монорежиме или комбинации</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ипилимумаба** с ниволумабом** [249].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Таблица 4. </w:t>
      </w:r>
      <w:r w:rsidRPr="008C7027">
        <w:rPr>
          <w:rFonts w:ascii="Times New Roman" w:eastAsia="Times New Roman" w:hAnsi="Times New Roman" w:cs="Times New Roman"/>
          <w:i/>
          <w:iCs/>
          <w:color w:val="333333"/>
          <w:spacing w:val="4"/>
          <w:sz w:val="27"/>
          <w:szCs w:val="27"/>
          <w:lang w:eastAsia="ru-RU"/>
        </w:rPr>
        <w:t>Режимы применения аналогов пиримидина в лечении колоректального рака</w:t>
      </w:r>
    </w:p>
    <w:tbl>
      <w:tblPr>
        <w:tblW w:w="14024" w:type="dxa"/>
        <w:tblCellMar>
          <w:left w:w="0" w:type="dxa"/>
          <w:right w:w="0" w:type="dxa"/>
        </w:tblCellMar>
        <w:tblLook w:val="04A0" w:firstRow="1" w:lastRow="0" w:firstColumn="1" w:lastColumn="0" w:noHBand="0" w:noVBand="1"/>
      </w:tblPr>
      <w:tblGrid>
        <w:gridCol w:w="5166"/>
        <w:gridCol w:w="8858"/>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Модифицированный LV5FU2 (модифицированный режим de Gramont)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и последующей 46-часовой инфузией #фторурацила**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 [143]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Модифицированный LV5FU2 (модифицированный режим de Gramont) +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и последующей 46-часовой инфузией #фторурацила**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Цетуксимаб**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1-часовой инфузии в 1-й день, далее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еженедельно или в режиме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раз в 2 нед [144, 166].</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w:t>
            </w:r>
          </w:p>
        </w:tc>
      </w:tr>
    </w:tbl>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Окончание табл. 4</w:t>
      </w:r>
    </w:p>
    <w:tbl>
      <w:tblPr>
        <w:tblW w:w="14024" w:type="dxa"/>
        <w:tblCellMar>
          <w:left w:w="0" w:type="dxa"/>
          <w:right w:w="0" w:type="dxa"/>
        </w:tblCellMar>
        <w:tblLook w:val="04A0" w:firstRow="1" w:lastRow="0" w:firstColumn="1" w:lastColumn="0" w:noHBand="0" w:noVBand="1"/>
      </w:tblPr>
      <w:tblGrid>
        <w:gridCol w:w="5272"/>
        <w:gridCol w:w="8752"/>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Модифицированный LV5FU2 (модифицированный режим de Gramont) + панитумумаб**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и последующей 46-часовой инфузией #фторурацила**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Панитумумаб** в дозе 6 мг/кг в виде 1-часовой инфузии в 1-й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 [145, 208]</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Модифицированный LV5FU2 (модифицированный режим de Gramont) + 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и последующей 46-часовой инфузией #фторурацила**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Бевацизумаб** в дозе 5 мг/кг в/в капельно в 1-й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 [146, 209]</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Модифицированный LV5FU2 (модифицированный режим de Gramont) + рамуцирумаб**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и последующей 46-часовой инфузией #фторурацила**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Рамуцирумаб** в дозе 8 мг/кг в/в капельно в 1-й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 [147, 170]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Модифицированный LV5FU2 (модифицированный режим de Gramont) + #афлиберцепт**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и последующей 46-часовой инфузией 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#Афлиберцепт** в дозе 4 мг/кг в/в капельно в 1-й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 [147, 148, 222]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Капецитабин**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#2000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внутрь в 1-14-й дни.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22-й день [149, 172]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Капецитабин** + 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1650-2000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 внутрь в 1-14-й дни. Бевацизумаб** в дозе 7,5 мг/кг в/в капельно в 1-й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22-й день [171, 173]</w:t>
            </w:r>
          </w:p>
        </w:tc>
      </w:tr>
    </w:tbl>
    <w:p w:rsidR="008C7027" w:rsidRPr="008C7027" w:rsidRDefault="008C7027" w:rsidP="008C7027">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с удовлетворительным соматическим статусом рекомендуются и другие возможные варианты 1-й линии химиотерапии – применение двойных комбинаций препаратов FOLFOX, XELOX или XELIRI, FOLFIRI, FOLFOXIRI (расшифровка схем представлена в табл. 3-6) на протяжении не менее 3-4 мес с последующей возможной поддерживающей терапией аналогами пиримидина [16, 79].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терапия оксалиплатином** в монорежиме малоэффективна, он должен применяться в комбинации с аналогами пиримидина. В случае дефектуры кальция фолината**, возможно уменьшить дозу кальция фолината** в режимах с инфузионным или струйным введением фторурацила** (например, FOLFOX, FOLFIRI, FOLFOXIRI) до фиксированной дозы 50 мг в 1 день, или же вообще исключить из схем, без значимого влияния на их эффективность и переносимость.</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С целью профилактики фебрильной нейтропении при применении режима FOLFOXIRI возможно назначение #филграстима** в дозе #300 мкг или #480 мкг или </w:t>
      </w:r>
      <w:r w:rsidRPr="008C7027">
        <w:rPr>
          <w:rFonts w:ascii="Times New Roman" w:eastAsia="Times New Roman" w:hAnsi="Times New Roman" w:cs="Times New Roman"/>
          <w:i/>
          <w:iCs/>
          <w:color w:val="333333"/>
          <w:spacing w:val="4"/>
          <w:sz w:val="27"/>
          <w:szCs w:val="27"/>
          <w:lang w:eastAsia="ru-RU"/>
        </w:rPr>
        <w:lastRenderedPageBreak/>
        <w:t>5 мкг/кг п/к через 24 часа после завершения химиотерапии до восстановления показателей нейтрофилов, или пэгфилграстима** – 6 мг п/к, или эмпэгфилграстима** – 7,5 мг п/к и через 24 часа после окончания химиотерапии 1 раз в 15 дней [201, 256, 257].</w:t>
      </w:r>
    </w:p>
    <w:p w:rsidR="008C7027" w:rsidRPr="008C7027" w:rsidRDefault="008C7027" w:rsidP="008C702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 пациентов с клинически значимыми симптомами заболевания (ECOG 1-2) и обширной диссеминацией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использование в 1-й линии двойных комбинаций препаратов (FOLFOX, XELOX или XELIRI, FOLFIRI) на протяжении не менее 3-4 мес с последующей возможной поддерживающей терапией аналогами пиримидина [16, 79].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если после 1-й линии терапии опухолевый процесс прогрессирует, 2-я линия терапии может быть назначена пациентам с удовлетворительным общим статусом (≤2 балла по шкале ECOG). При резистентности к режиму FOLFOX (XELOX) в качестве 2-й линии обычно назначают режим FOLFIRI/XELIRI или монотерапию иринотеканом**, при резистентности к иринотекану** в 1-й линии в режиме FOLFIRI/XELIRI – FOLFOX/XELOX (см. табл. 3, 5) [80]. В случае химиорезистентной опухоли (если заболевание прогрессирует в ходе терапии или в ближайшее время после окончания терапии с включением иринотекана**, оксалиплатина** и аналогов пиримидина) проведение дальнейшей химиотерапии не показано (может быть рассмотрена возможность проведения таргетной терапии). Если прогрессирование заболевания наблюдается в ходе адъювантной химиотерапии или в течение 12 мес после нее, оптимальным вариантом 1-й линии терапии будет режим с применением иринотекана** (FOLFIRI/XELIRI), который по данным поданализов рандомизированных исследований дает лучшие результаты в сравнении с режимом FOLFOX или FOLFOXIRI. При прогрессировании на фоне или после терапии 1-й линии по схеме FOLFOXIRI оптимальным режимом 2-й линии является FOLFIRI. При хорошем соматическом статусе возможно рассмотреть и повторное назначение режима FOLFOXIRI.</w:t>
      </w:r>
    </w:p>
    <w:p w:rsidR="008C7027" w:rsidRPr="008C7027" w:rsidRDefault="008C7027" w:rsidP="008C702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 пациентов с MSI в 1-й линии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назначить пембролизумаб** или ниволумаб** или #пролголимаб** в монорежиме или комбинацию ипилимумаба** с ниволумабом** [137, 138, 249].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для пембролизумаба** – А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для комбинации ниволумаба** и ипилимумаба** – А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для монотерапии ниволумаба** и #пролголимаба** – С (уровень достоверности доказательств – 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у пациентов с мутацией в гене KRAS пембролизумаб** в монорежиме был менее эффективен в 1-й линии, чем у пациентов без мутаций; при применении ипилимумаба** с ниволумабом** данной тенденции отмечено не было. Ввиду риска раннего прогрессирования при монотерапии рака толстой кишки анти-PD1-антителами у пациентов с большим объемом опухолевого поражения следует рассмотреть возможность назначения комбинации режима FOLFOX/XELOX с пембролизумабом** или ниволумабом**. Эффективность и безопасность комбинации FOLFOX/XELOX c анти-PD1-антителами в 1-й линии продемонстрирована в рандомизированных исследованиях III фазы при распространенном раке желудка, а также в ретроспективных работах при колоректальном раке [233, 234].</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 отсутствии прогрессирования возможно прекратить лечение после 1 года терапии анти-PD1-атителами [167, 223, 224].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Таблица 5.</w:t>
      </w:r>
      <w:r w:rsidRPr="008C7027">
        <w:rPr>
          <w:rFonts w:ascii="Times New Roman" w:eastAsia="Times New Roman" w:hAnsi="Times New Roman" w:cs="Times New Roman"/>
          <w:i/>
          <w:iCs/>
          <w:color w:val="333333"/>
          <w:spacing w:val="4"/>
          <w:sz w:val="27"/>
          <w:szCs w:val="27"/>
          <w:lang w:eastAsia="ru-RU"/>
        </w:rPr>
        <w:t> Режимы с применением иринотекана**, таргетных препаратов и иммунопрепаратов в лечении колоректального рака</w:t>
      </w:r>
    </w:p>
    <w:tbl>
      <w:tblPr>
        <w:tblW w:w="14024" w:type="dxa"/>
        <w:tblCellMar>
          <w:left w:w="0" w:type="dxa"/>
          <w:right w:w="0" w:type="dxa"/>
        </w:tblCellMar>
        <w:tblLook w:val="04A0" w:firstRow="1" w:lastRow="0" w:firstColumn="1" w:lastColumn="0" w:noHBand="0" w:noVBand="1"/>
      </w:tblPr>
      <w:tblGrid>
        <w:gridCol w:w="2312"/>
        <w:gridCol w:w="11712"/>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FOLFIRI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в дозе 180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90-минутной инфузии в 1-й день, 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струйно и 46-часовой инфузией #фторурацила**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FOLFOXIRI*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в дозе 165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90-минутной инфузии в 1-й день, оксалиплатин** в дозе 85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2-часовой инфузии в 1-й день, кальция фолинат** в дозе 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последующей 48-часовой инфузией #фторурацила** в дозе 2400-3200 мг/м</w:t>
            </w:r>
            <w:r w:rsidRPr="008C7027">
              <w:rPr>
                <w:rFonts w:ascii="Verdana" w:eastAsia="Times New Roman" w:hAnsi="Verdana" w:cs="Times New Roman"/>
                <w:sz w:val="12"/>
                <w:szCs w:val="12"/>
                <w:vertAlign w:val="superscript"/>
                <w:lang w:eastAsia="ru-RU"/>
              </w:rPr>
              <w:t>2 </w:t>
            </w:r>
            <w:r w:rsidRPr="008C7027">
              <w:rPr>
                <w:rFonts w:ascii="Verdana" w:eastAsia="Times New Roman" w:hAnsi="Verdana" w:cs="Times New Roman"/>
                <w:sz w:val="27"/>
                <w:szCs w:val="27"/>
                <w:lang w:eastAsia="ru-RU"/>
              </w:rPr>
              <w:t>[127].</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XELIRI*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в дозе 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90-минутной инфузии в 1-й день, капецитабин** в дозе 1600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внутрь в сутки в 1-14-й дни.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22-й день [128]</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250-300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90-минутной инфузии в 1-й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22-й день [126, 168]</w:t>
            </w:r>
          </w:p>
        </w:tc>
      </w:tr>
    </w:tbl>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Продолжение табл. 5</w:t>
      </w:r>
    </w:p>
    <w:tbl>
      <w:tblPr>
        <w:tblW w:w="14024" w:type="dxa"/>
        <w:tblCellMar>
          <w:left w:w="0" w:type="dxa"/>
          <w:right w:w="0" w:type="dxa"/>
        </w:tblCellMar>
        <w:tblLook w:val="04A0" w:firstRow="1" w:lastRow="0" w:firstColumn="1" w:lastColumn="0" w:noHBand="0" w:noVBand="1"/>
      </w:tblPr>
      <w:tblGrid>
        <w:gridCol w:w="2851"/>
        <w:gridCol w:w="11173"/>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150-180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90-минутной инфузии в 1-й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 [150, 210]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7,5 мг/кг в виде 90-60-30-минутной инфузии каждые 3 нед или 5 мг/кг каждые 2 нед (может применяться с любым режимом химиотерапии метастатического рака толстой кишки)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Афлиберцепт**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 мг/кг в виде 1-часовой инфузии каждые 2 нед (вместе с режимом FOLFIRI или #афлиберцепт** с режимом de Gramont или иринотеканом** во 2-й и последующих линиях терапии) [148]</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1-часовой инфузии в 1-й день, далее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еженедельно (может применяться в монорежиме, в комбинации с иринотеканом**, с режимами de Gramont, FOLFOX, FOLFIRI и FOLFOXIRI при метастатическом раке толстой кишки).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Возможно назначение #цетуксимаба** в дозе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раз в 2 нед [129]</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Панитумумаб**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6 мг/кг в виде 1-часовой инфузии каждые 2 нед (может применяться в монорежиме, в комбинации с иринотеканом**, с режимами de Gramont, FOLFOX, FOLFIRI или с режимом FOLFOXIRI при метастатическом раке толстой кишки) [211]</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Рамуцирумаб**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8 мг/кг в виде 1-часовой инфузии каждые 2 нед (вместе с режимом FOLFIRI, или #рамуцирумаб** с режимом de Gramont или иринотеканом** во 2-й и последующих линиях терапии) [212]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Регорафениб**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160 мг 1 раз в день р. о. в 1–21-й дни, далее 1 нед перерыва (по инструкции); или на первом курсе #80 мг в сутки внутрь в 1-ю неделю, #120 мг в сутки внутрь во 2-ю неделю, #160 мг в сутки внутрь в 3-ю неделю, затем 1 нед перерыва.</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Эскалация дозы возможна только при удовлетворительной переносимости препарата. Последующие курсы проводятся в переносимой дозе препарата. [130]</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 мг/кг или 200 мг в/в капельно 30 мин каждые 3 нед, или 400 мг в/в каждые 6 нед (только при MSI) [82, 213]. Возможна комбинация с режимом XELOX.</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 мг/кг или 240 мг в/в капельно 30 мин каждые 2 нед, или 480 мг в/в каждые 4 нед (только при MSI) [83]. Возможна комбинация с режимом FOLFOX или XELOX (в последнем случае в дозе 360 мг 1 раз в 3 недели)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#Пролголимаб**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 мг/кг в/в капельно 30-60 минут каждые 2 недели (только при MSI) [249]</w:t>
            </w:r>
          </w:p>
        </w:tc>
      </w:tr>
    </w:tbl>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Окончание табл. 5</w:t>
      </w:r>
    </w:p>
    <w:tbl>
      <w:tblPr>
        <w:tblW w:w="14024" w:type="dxa"/>
        <w:tblCellMar>
          <w:left w:w="0" w:type="dxa"/>
          <w:right w:w="0" w:type="dxa"/>
        </w:tblCellMar>
        <w:tblLook w:val="04A0" w:firstRow="1" w:lastRow="0" w:firstColumn="1" w:lastColumn="0" w:noHBand="0" w:noVBand="1"/>
      </w:tblPr>
      <w:tblGrid>
        <w:gridCol w:w="3274"/>
        <w:gridCol w:w="10750"/>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Ниволумаб** + ипилимумаб**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Ниволумаб** в дозе 3 мг/кг в/в капельно 30 мин каждые 3 нед и ипилимумаб** в дозе 1 мг/кг в/в капельно 30 мин 1 раз в 3 нед (4 введения, в дальнейшем продолжается монотерапия ниволумабом** в дозе 240 мг или 3 мг/кг в/в капельно 1 раз в 2 нед или 480 мг в/в капельно 1 раз в 4 нед (в 1-й и последующих линиях) (только при MSI) [84, 235].</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Или #ниволумаб** в дозе 3 мг/кг в/в капельно 30 мин каждые 2 нед и #ипилимумаб** в дозе 1 мг/кг в/в капельно 30 мин 1 раз в 6 нед до прогрессирования или развития непереносимой токсичности в 1-й линии (только при MSI) [138]</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#Трастузумаб** + #лапатиниб**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#Трастузумаб** в дозе 4 мг/кг в/в в 1-й день 1-го цикла, затем 2 мг/кг в/в еженедельно или 6 мг/кг в/в в 1-й день 1-го цикла, затем 4 мг/кг в/в 1 раз в 2 недели или 8 мг/кг в/в в 1-й день 1-го цикла, затем 6 мг/кг в/в 1 раз в 3 недели .</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#Лапатиниб** в дозе 1000 мг внутрь ежедневно (только при гиперэкспрессии или амплификации </w:t>
            </w:r>
            <w:r w:rsidRPr="008C7027">
              <w:rPr>
                <w:rFonts w:ascii="Verdana" w:eastAsia="Times New Roman" w:hAnsi="Verdana" w:cs="Times New Roman"/>
                <w:i/>
                <w:iCs/>
                <w:color w:val="333333"/>
                <w:sz w:val="27"/>
                <w:szCs w:val="27"/>
                <w:lang w:eastAsia="ru-RU"/>
              </w:rPr>
              <w:t>Her-2/neu</w:t>
            </w:r>
            <w:r w:rsidRPr="008C7027">
              <w:rPr>
                <w:rFonts w:ascii="Verdana" w:eastAsia="Times New Roman" w:hAnsi="Verdana" w:cs="Times New Roman"/>
                <w:sz w:val="27"/>
                <w:szCs w:val="27"/>
                <w:lang w:eastAsia="ru-RU"/>
              </w:rPr>
              <w:t>) [133, 169]</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#Трастузумаб + #пертузумаб**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#Трастузумаб** в дозе 8 мг/кг в/в – нагрузочная доза в 1-й день 1-го цикла, затем 6 мг/кг в/в каждый 21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#Пертузумаб** в дозе 840 мг в/в – нагрузочная доза в 1-й день 1-го цикла, затем 420 мг в/в каждый 21 день (только при гиперэкспрессии или амплификации </w:t>
            </w:r>
            <w:r w:rsidRPr="008C7027">
              <w:rPr>
                <w:rFonts w:ascii="Verdana" w:eastAsia="Times New Roman" w:hAnsi="Verdana" w:cs="Times New Roman"/>
                <w:i/>
                <w:iCs/>
                <w:color w:val="333333"/>
                <w:sz w:val="27"/>
                <w:szCs w:val="27"/>
                <w:lang w:eastAsia="ru-RU"/>
              </w:rPr>
              <w:t>Her-2/neu</w:t>
            </w:r>
            <w:r w:rsidRPr="008C7027">
              <w:rPr>
                <w:rFonts w:ascii="Verdana" w:eastAsia="Times New Roman" w:hAnsi="Verdana" w:cs="Times New Roman"/>
                <w:sz w:val="27"/>
                <w:szCs w:val="27"/>
                <w:lang w:eastAsia="ru-RU"/>
              </w:rPr>
              <w:t>) [132, 133]</w:t>
            </w:r>
          </w:p>
        </w:tc>
      </w:tr>
    </w:tbl>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Режим характеризуется более высокой, чем FOLFIRI, частотой развития диареи.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Примечание:</w:t>
      </w:r>
      <w:r w:rsidRPr="008C7027">
        <w:rPr>
          <w:rFonts w:ascii="Times New Roman" w:eastAsia="Times New Roman" w:hAnsi="Times New Roman" w:cs="Times New Roman"/>
          <w:i/>
          <w:iCs/>
          <w:color w:val="333333"/>
          <w:spacing w:val="4"/>
          <w:sz w:val="27"/>
          <w:szCs w:val="27"/>
          <w:lang w:eastAsia="ru-RU"/>
        </w:rPr>
        <w:t xml:space="preserve"> возможность проведения химиотерапии в сочетании с таргетной терапией в соответствии с рекомендациями определяется доступностью лекарственных препаратов. В случае дефектуры  кальция фолината**, возможно уменьшить дозу кальция фолината** в режимах с инфузионным или струйным введением фторурацила** (например, FOLFOX, </w:t>
      </w:r>
      <w:r w:rsidRPr="008C7027">
        <w:rPr>
          <w:rFonts w:ascii="Times New Roman" w:eastAsia="Times New Roman" w:hAnsi="Times New Roman" w:cs="Times New Roman"/>
          <w:i/>
          <w:iCs/>
          <w:color w:val="333333"/>
          <w:spacing w:val="4"/>
          <w:sz w:val="27"/>
          <w:szCs w:val="27"/>
          <w:lang w:eastAsia="ru-RU"/>
        </w:rPr>
        <w:lastRenderedPageBreak/>
        <w:t>FOLFIRI, FOLFOXIRI) до фиксированной дозы 50 мг в 1 день, или же вообще исключить из схем, без значимого влияния на их эффективность и переносимость.</w:t>
      </w:r>
    </w:p>
    <w:p w:rsidR="008C7027" w:rsidRPr="008C7027" w:rsidRDefault="008C7027" w:rsidP="008C702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Ослабленным пациентам с оценкой состояния &gt;2 баллов по шкале ECOG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малотоксичная монохимиотерапия аналогами пиримидина с добавлением или без добавления таргетной терапии в зависимости от мутационного статуса и локализации первичной опухоли или симптоматическая терапия; пациентам с MSI можно назначить пембролизумаб** или ниволумаб** в монорежиме или комбинацию ипилимумаба** с ниволумабом** [16].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Комментарий: </w:t>
      </w:r>
      <w:r w:rsidRPr="008C7027">
        <w:rPr>
          <w:rFonts w:ascii="Times New Roman" w:eastAsia="Times New Roman" w:hAnsi="Times New Roman" w:cs="Times New Roman"/>
          <w:i/>
          <w:iCs/>
          <w:color w:val="333333"/>
          <w:spacing w:val="4"/>
          <w:sz w:val="27"/>
          <w:szCs w:val="27"/>
          <w:lang w:eastAsia="ru-RU"/>
        </w:rPr>
        <w:t>пациентам старше 70 лет</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желательно проведение комплексной гериатрической оценки (mycarg.org), для понимания рисков развития осложнений 3-5 степени при применении комбинаций препаратов и необходимости коррекции доз препаратов, что позволит повысить качество жизни данных пациентов и преемственность проводимого лечения.</w:t>
      </w:r>
      <w:r w:rsidRPr="008C7027">
        <w:rPr>
          <w:rFonts w:ascii="Times New Roman" w:eastAsia="Times New Roman" w:hAnsi="Times New Roman" w:cs="Times New Roman"/>
          <w:b/>
          <w:bCs/>
          <w:color w:val="222222"/>
          <w:spacing w:val="4"/>
          <w:sz w:val="27"/>
          <w:szCs w:val="27"/>
          <w:lang w:eastAsia="ru-RU"/>
        </w:rPr>
        <w:t> </w:t>
      </w:r>
    </w:p>
    <w:p w:rsidR="008C7027" w:rsidRPr="008C7027" w:rsidRDefault="008C7027" w:rsidP="008C702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к режимам химиотерапии на основе иринотекана**, оксалиплатина**, фторурацила** и капецитабина** при неоперабельном генерализованном раке толстой кишки рассмотреть возможность добавления МКА: бевацизумаба**, цетуксимаба** или панитумумаба**, что увеличивает продолжительность жизни [16, 81, 117].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в режиме монотерапии бевацизумаб** малоэффективен и не реуокмендуется. В случае, когда результат мутационного анализа задерживается, возможно начинать химиотерапию, а в дальнейшем, при получении результата, добавлять таргетный препарат со 2–4-го курса. В случае прогрессирования возможно продолжение применения бевацизумаба** со сменой режима (ESMO-MCBS 1 балл – в соответствии со шкалой клинической пользы ESMO препараты делятся на высокий уровень эффективности – 4-5 баллов, умеренного уровня 2-3 балла, низкого уровня 0-1 балл). На сегодняшний день неизвестны клинические или молекулярные факторы, предсказывающие эффективность бевацизумаба**. Наибольшую активность бевацизумаб** демонстрирует в 1-й и 2-й линиях терапии (ESMO-MCBS 3 балла); добавление бевацизумаба** к режимам на основе оксалиплатина** или иринотекана** во 2-й линии лечения достоверно </w:t>
      </w:r>
      <w:r w:rsidRPr="008C7027">
        <w:rPr>
          <w:rFonts w:ascii="Times New Roman" w:eastAsia="Times New Roman" w:hAnsi="Times New Roman" w:cs="Times New Roman"/>
          <w:i/>
          <w:iCs/>
          <w:color w:val="333333"/>
          <w:spacing w:val="4"/>
          <w:sz w:val="27"/>
          <w:szCs w:val="27"/>
          <w:lang w:eastAsia="ru-RU"/>
        </w:rPr>
        <w:lastRenderedPageBreak/>
        <w:t>увеличивает продолжительность жизни. Во 2-й линии терапии возможно назначение других антиангиогенных МКА – афлиберцепта** (ESMO-MCBS 1 балл) или рамуцирумаба** (ESMO-MCBS 1 балл), которые применяются только в сочетании с режимом FOLFIRI. Непрямое сравнение данных трех антиангиогенных моноклональных антител позволяют говорить об их схожей эффективности. В связи с чем, с финансовой точки зрения и меньшей токсичности, рекомендуется рассмотреть преимущественное назначение бевацизумаба**. При развитии значимой токсичности возможно продолжать терапию афлиберцептом** или рамуцирумабом** или в сочетании с режимом De Gramont или иринотеканом**. В отличие от бевацизумаба*</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 неоперабельных метастазах цетуксимаб* или панитумумаб** активны как в режиме монотерапии, так и в комбинации с химиотерапией, но лишь у пациентов с отсутствием мутации в генах RAS, BRAF, отсутствием гиперэкспрессии HER-2/neu, микросателлитно стабильным фенотипом и при локализации первичной опухоли в левых отделах толстой кишки. Цетуксимаб** и панитумумаб** не должны применяться с капецитабином**, режимами FLOX, XELOX, XELIRI, IFL. Самостоятельная активность цетуксимаба** и панитумумаба** позволяет рекомендовать их применение в режиме монотерапии в качестве 3–4-й линии </w:t>
      </w:r>
      <w:r w:rsidRPr="008C7027">
        <w:rPr>
          <w:rFonts w:ascii="Times New Roman" w:eastAsia="Times New Roman" w:hAnsi="Times New Roman" w:cs="Times New Roman"/>
          <w:color w:val="222222"/>
          <w:spacing w:val="4"/>
          <w:sz w:val="27"/>
          <w:szCs w:val="27"/>
          <w:lang w:eastAsia="ru-RU"/>
        </w:rPr>
        <w:t>(ESMO-MCBS 4 балла)</w:t>
      </w:r>
      <w:r w:rsidRPr="008C7027">
        <w:rPr>
          <w:rFonts w:ascii="Times New Roman" w:eastAsia="Times New Roman" w:hAnsi="Times New Roman" w:cs="Times New Roman"/>
          <w:i/>
          <w:iCs/>
          <w:color w:val="333333"/>
          <w:spacing w:val="4"/>
          <w:sz w:val="27"/>
          <w:szCs w:val="27"/>
          <w:lang w:eastAsia="ru-RU"/>
        </w:rPr>
        <w:t>. На поздних линиях возможно применение панитумумаба** или цетуксимаба** и в случае правосторонней локализации первичной опухоли при отсутствии мутаций в генах RAS и BRAF. Совместное применение бевацизумаба** и цетуксимаба** или панитумумаба** ухудшает результаты лечения и не рекомендуется. При левосторонней локализации первичной опухоли предпочтение в комбинации с анти-EGFR-антителами в первой линии отдается режимам FOLFOX или FOLFIRI (ESMO-MCBS 4 балла при сравнении с химиотерапией и 3 балла при сравнении с комбинациями с бевацизумабом**). При правосторонней локализации первичной опухоли предпочтение в комбинации с бевацизумабом** в первой линии отдается режиму FOLFOXIRI (ESMO-MCBS 3 балла) независимо от мутационного статуса генов RAS, BRAF. Цели паллиативной химиотерапии – увеличение продолжительности жизни, уменьшение выраженности симптомов болезни и улучшение качества жизни. Пациенты, получившие все 3 активных химиопрепарата (иринотекан**, оксалиплатин** и аналоги пиримидина), имеют достоверно бóльшую продолжительность жизни. При этом неважно, за сколько линий терапии это удается реализовать. До сих пор неясна оптимальная продолжительность 1-й линии терапии. Возможные варианты:</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lastRenderedPageBreak/>
        <w:t>1) непрерывная терапия до прогрессирования заболевания или развития неприемлемых токсических явлений;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2) проведение лечения на протяжении 3-6 мес. с последующим наблюдением и повторным назначением ранее эффективного лечения;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3) применение двойной комбинации в течение не менее чем 3-4 мес с последующей поддержкой аналогами пиримидина (стратегия поддерживающей терапии имеет преимущества перед полным прекращением лечения). В случае применения комбинации химиотерапии с бевацизумабом** поддерживающая терапия бевацизумабом** и аналогами пиримидина должна проводиться до появления признаков прогрессирования болезни или развития неприемлемых токсических явлений. При использовании комбинации химиотерапии с цетуксимабом** или панитумумабом** также рекомендуется поддерживающая терапия комбинацией инфузий кальция фолината**, фторурацила** и цетуксимаба** или панитумумаба** или монотерапия МКА до прогрессирования заболевания [26].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На выживаемость пациентов влияет и последовательность назначения таргетной терапии. Так, если в 1-й линии терапии был назначен бевацизумаб**, то во 2-й линии оптимально продолжать антиангиогенную терапию даже при отсутствии мутаций в генах RAS и BRAF, что дает преимущество в отношении выживаемости в сравнении с таковой у пациентов, которым во 2-й линии назначали цетуксимаб** или панитумумаб** [151, 152]. Если в 1-й линии был назначен цетуксимаб** или панитумумаб**, во 2-й линии оптимально использовать схемы с включением бевацизумаба**, или афлиберцепта**, или рамуцирумаба**. Непрямое сравнение данных трех антиангиогенных моноклональных антител позволяют говорить об их схожей эффективности. В связи с чем, с финансовой точки зрения и меньшей токсичности, рекомендуется рассмотреть преимущественное назначение бевацизумаба**. Продолжение применения цетуксимаба** или панитумумаба** при прогрессировании не улучшает показатели выживаемости пациентов даже при отсутствии мутаций в генах RAS и BRAF [153]. Исключением являются ситуации, когда анти-EGFR антитела были прекращены в отсутствие прогрессирования болезни [241].</w:t>
      </w:r>
    </w:p>
    <w:p w:rsidR="008C7027" w:rsidRPr="008C7027" w:rsidRDefault="008C7027" w:rsidP="008C702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Во 2-й и последующих линиях терапии при наличии в опухоли MSI </w:t>
      </w:r>
      <w:r w:rsidRPr="008C7027">
        <w:rPr>
          <w:rFonts w:ascii="Times New Roman" w:eastAsia="Times New Roman" w:hAnsi="Times New Roman" w:cs="Times New Roman"/>
          <w:b/>
          <w:bCs/>
          <w:color w:val="222222"/>
          <w:spacing w:val="4"/>
          <w:sz w:val="27"/>
          <w:szCs w:val="27"/>
          <w:lang w:eastAsia="ru-RU"/>
        </w:rPr>
        <w:t>рекомендована, </w:t>
      </w:r>
      <w:r w:rsidRPr="008C7027">
        <w:rPr>
          <w:rFonts w:ascii="Times New Roman" w:eastAsia="Times New Roman" w:hAnsi="Times New Roman" w:cs="Times New Roman"/>
          <w:color w:val="222222"/>
          <w:spacing w:val="4"/>
          <w:sz w:val="27"/>
          <w:szCs w:val="27"/>
          <w:lang w:eastAsia="ru-RU"/>
        </w:rPr>
        <w:t>если ранее не проводилась,</w:t>
      </w:r>
      <w:r w:rsidRPr="008C7027">
        <w:rPr>
          <w:rFonts w:ascii="Times New Roman" w:eastAsia="Times New Roman" w:hAnsi="Times New Roman" w:cs="Times New Roman"/>
          <w:b/>
          <w:bCs/>
          <w:color w:val="222222"/>
          <w:spacing w:val="4"/>
          <w:sz w:val="27"/>
          <w:szCs w:val="27"/>
          <w:lang w:eastAsia="ru-RU"/>
        </w:rPr>
        <w:t> </w:t>
      </w:r>
      <w:r w:rsidRPr="008C7027">
        <w:rPr>
          <w:rFonts w:ascii="Times New Roman" w:eastAsia="Times New Roman" w:hAnsi="Times New Roman" w:cs="Times New Roman"/>
          <w:color w:val="222222"/>
          <w:spacing w:val="4"/>
          <w:sz w:val="27"/>
          <w:szCs w:val="27"/>
          <w:lang w:eastAsia="ru-RU"/>
        </w:rPr>
        <w:t xml:space="preserve">монотерапия ниволумабом** или пембролизумабом** в монорежиме или комбинацией ниволумаба** и ипилимумаба**. Последний вариант характеризуется </w:t>
      </w:r>
      <w:r w:rsidRPr="008C7027">
        <w:rPr>
          <w:rFonts w:ascii="Times New Roman" w:eastAsia="Times New Roman" w:hAnsi="Times New Roman" w:cs="Times New Roman"/>
          <w:color w:val="222222"/>
          <w:spacing w:val="4"/>
          <w:sz w:val="27"/>
          <w:szCs w:val="27"/>
          <w:lang w:eastAsia="ru-RU"/>
        </w:rPr>
        <w:lastRenderedPageBreak/>
        <w:t>большей частотой получения объективного ответа, однако данные о сравнении отдаленных параметров выживаемости в научной литературе не представлены [82–84]. При отсутствии прогрессирования возможно прекратить лечение после 1 года терапии анти-PD1-атителами [167].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у пациентов с мутацией в генах RAS пембролизумаб** в монорежиме в рамках рандомизиированного исследования показал меньшую эффективность в первой линии в сравнении с пациентами без мутаций; при применении схемы ипилимумамаба** с ниволумабом** данных тенденций отмечено не было. Учитывая возможный риск раннего прогрессирования при применении монотерапии анти-PD-1-антителами при раке толстой кишки, у пациентов с большим объемом опухолевого поражения, возможно рассмотреть назначение комбинации режима FOLFOX/XELOX с пембролизумабом** или ниволумабом**. Аналогичные подходы, как при MSI, могут быть рассмотрены при выявлении патогенных мутаций в генах POLD1 и POLE при метастатическом раке толстой кишки.</w:t>
      </w:r>
    </w:p>
    <w:p w:rsidR="008C7027" w:rsidRPr="008C7027" w:rsidRDefault="008C7027" w:rsidP="008C7027">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 пациентов с функциональным статусом ECOG по шкале 0-1 с прогрессированием или непереносимостью на оксалиплатине**, иринотекане** и аналогах фторпиримидинов, бевацизумабе** и анти-EGFR антителах (по показаниям) рекомендуется назначение препарата регорафениба** (ESMO-MCBS 1 балл). Рекомендуется начинать терапию регорафенибом** в следующем режиме: #80 мг/сут </w:t>
      </w:r>
      <w:r w:rsidRPr="008C7027">
        <w:rPr>
          <w:rFonts w:ascii="Times New Roman" w:eastAsia="Times New Roman" w:hAnsi="Times New Roman" w:cs="Times New Roman"/>
          <w:i/>
          <w:iCs/>
          <w:color w:val="333333"/>
          <w:spacing w:val="4"/>
          <w:sz w:val="27"/>
          <w:szCs w:val="27"/>
          <w:lang w:eastAsia="ru-RU"/>
        </w:rPr>
        <w:t>р.о.</w:t>
      </w:r>
      <w:r w:rsidRPr="008C7027">
        <w:rPr>
          <w:rFonts w:ascii="Times New Roman" w:eastAsia="Times New Roman" w:hAnsi="Times New Roman" w:cs="Times New Roman"/>
          <w:color w:val="222222"/>
          <w:spacing w:val="4"/>
          <w:sz w:val="27"/>
          <w:szCs w:val="27"/>
          <w:lang w:eastAsia="ru-RU"/>
        </w:rPr>
        <w:t> – 1-я неделя, #120 мг/сут </w:t>
      </w:r>
      <w:r w:rsidRPr="008C7027">
        <w:rPr>
          <w:rFonts w:ascii="Times New Roman" w:eastAsia="Times New Roman" w:hAnsi="Times New Roman" w:cs="Times New Roman"/>
          <w:i/>
          <w:iCs/>
          <w:color w:val="333333"/>
          <w:spacing w:val="4"/>
          <w:sz w:val="27"/>
          <w:szCs w:val="27"/>
          <w:lang w:eastAsia="ru-RU"/>
        </w:rPr>
        <w:t>р.о</w:t>
      </w:r>
      <w:r w:rsidRPr="008C7027">
        <w:rPr>
          <w:rFonts w:ascii="Times New Roman" w:eastAsia="Times New Roman" w:hAnsi="Times New Roman" w:cs="Times New Roman"/>
          <w:color w:val="222222"/>
          <w:spacing w:val="4"/>
          <w:sz w:val="27"/>
          <w:szCs w:val="27"/>
          <w:lang w:eastAsia="ru-RU"/>
        </w:rPr>
        <w:t>. – 2-я неделя, #160 мг/сут </w:t>
      </w:r>
      <w:r w:rsidRPr="008C7027">
        <w:rPr>
          <w:rFonts w:ascii="Times New Roman" w:eastAsia="Times New Roman" w:hAnsi="Times New Roman" w:cs="Times New Roman"/>
          <w:i/>
          <w:iCs/>
          <w:color w:val="333333"/>
          <w:spacing w:val="4"/>
          <w:sz w:val="27"/>
          <w:szCs w:val="27"/>
          <w:lang w:eastAsia="ru-RU"/>
        </w:rPr>
        <w:t>р.о</w:t>
      </w:r>
      <w:r w:rsidRPr="008C7027">
        <w:rPr>
          <w:rFonts w:ascii="Times New Roman" w:eastAsia="Times New Roman" w:hAnsi="Times New Roman" w:cs="Times New Roman"/>
          <w:color w:val="222222"/>
          <w:spacing w:val="4"/>
          <w:sz w:val="27"/>
          <w:szCs w:val="27"/>
          <w:lang w:eastAsia="ru-RU"/>
        </w:rPr>
        <w:t>. – 3-я неделя, затем – 1 нед перерыв. Эскалация дозы возможна только при удовлетворительной переносимости препарата [214].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шанс достижения длительной ремиссии при применении регорафениба низкий у пациентос с длительностью метастатической болзени менее 18 месяцев, при поражении более 2 органов метастазами, при метастатическом поражении печени, повышенном уровне ЛДГ, при функциональном статусе по шкале ECOG 2-4. При наличии перечисленных факторов регорафениб не рекомендуется назначать.</w:t>
      </w:r>
    </w:p>
    <w:p w:rsidR="008C7027" w:rsidRPr="008C7027" w:rsidRDefault="008C7027" w:rsidP="008C7027">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Во 2-й и последующих линиях терапии при гиперэкспрессии или амплификации гена </w:t>
      </w:r>
      <w:r w:rsidRPr="008C7027">
        <w:rPr>
          <w:rFonts w:ascii="Times New Roman" w:eastAsia="Times New Roman" w:hAnsi="Times New Roman" w:cs="Times New Roman"/>
          <w:i/>
          <w:iCs/>
          <w:color w:val="333333"/>
          <w:spacing w:val="4"/>
          <w:sz w:val="27"/>
          <w:szCs w:val="27"/>
          <w:lang w:eastAsia="ru-RU"/>
        </w:rPr>
        <w:t>Her-2/neu</w:t>
      </w:r>
      <w:r w:rsidRPr="008C7027">
        <w:rPr>
          <w:rFonts w:ascii="Times New Roman" w:eastAsia="Times New Roman" w:hAnsi="Times New Roman" w:cs="Times New Roman"/>
          <w:color w:val="222222"/>
          <w:spacing w:val="4"/>
          <w:sz w:val="27"/>
          <w:szCs w:val="27"/>
          <w:lang w:eastAsia="ru-RU"/>
        </w:rPr>
        <w:t> и отсутствии мутаций в генах </w:t>
      </w:r>
      <w:r w:rsidRPr="008C7027">
        <w:rPr>
          <w:rFonts w:ascii="Times New Roman" w:eastAsia="Times New Roman" w:hAnsi="Times New Roman" w:cs="Times New Roman"/>
          <w:i/>
          <w:iCs/>
          <w:color w:val="333333"/>
          <w:spacing w:val="4"/>
          <w:sz w:val="27"/>
          <w:szCs w:val="27"/>
          <w:lang w:eastAsia="ru-RU"/>
        </w:rPr>
        <w:t>RAS</w:t>
      </w:r>
      <w:r w:rsidRPr="008C7027">
        <w:rPr>
          <w:rFonts w:ascii="Times New Roman" w:eastAsia="Times New Roman" w:hAnsi="Times New Roman" w:cs="Times New Roman"/>
          <w:color w:val="222222"/>
          <w:spacing w:val="4"/>
          <w:sz w:val="27"/>
          <w:szCs w:val="27"/>
          <w:lang w:eastAsia="ru-RU"/>
        </w:rPr>
        <w:t> и </w:t>
      </w:r>
      <w:r w:rsidRPr="008C7027">
        <w:rPr>
          <w:rFonts w:ascii="Times New Roman" w:eastAsia="Times New Roman" w:hAnsi="Times New Roman" w:cs="Times New Roman"/>
          <w:i/>
          <w:iCs/>
          <w:color w:val="333333"/>
          <w:spacing w:val="4"/>
          <w:sz w:val="27"/>
          <w:szCs w:val="27"/>
          <w:lang w:eastAsia="ru-RU"/>
        </w:rPr>
        <w:t>BRAF</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b/>
          <w:bCs/>
          <w:color w:val="222222"/>
          <w:spacing w:val="4"/>
          <w:sz w:val="27"/>
          <w:szCs w:val="27"/>
          <w:lang w:eastAsia="ru-RU"/>
        </w:rPr>
        <w:t>рекомендовано </w:t>
      </w:r>
      <w:r w:rsidRPr="008C7027">
        <w:rPr>
          <w:rFonts w:ascii="Times New Roman" w:eastAsia="Times New Roman" w:hAnsi="Times New Roman" w:cs="Times New Roman"/>
          <w:color w:val="222222"/>
          <w:spacing w:val="4"/>
          <w:sz w:val="27"/>
          <w:szCs w:val="27"/>
          <w:lang w:eastAsia="ru-RU"/>
        </w:rPr>
        <w:t xml:space="preserve">назначение комбинаций </w:t>
      </w:r>
      <w:r w:rsidRPr="008C7027">
        <w:rPr>
          <w:rFonts w:ascii="Times New Roman" w:eastAsia="Times New Roman" w:hAnsi="Times New Roman" w:cs="Times New Roman"/>
          <w:color w:val="222222"/>
          <w:spacing w:val="4"/>
          <w:sz w:val="27"/>
          <w:szCs w:val="27"/>
          <w:lang w:eastAsia="ru-RU"/>
        </w:rPr>
        <w:lastRenderedPageBreak/>
        <w:t>#трастузумаба** и #лапатиниба** или #трастузумаба** и #пертузумаба** (табл. 5) [132, 133].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8C7027" w:rsidRPr="008C7027" w:rsidRDefault="008C7027" w:rsidP="008C7027">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 3-й и последующих линиях терапии </w:t>
      </w:r>
      <w:r w:rsidRPr="008C7027">
        <w:rPr>
          <w:rFonts w:ascii="Times New Roman" w:eastAsia="Times New Roman" w:hAnsi="Times New Roman" w:cs="Times New Roman"/>
          <w:b/>
          <w:bCs/>
          <w:color w:val="222222"/>
          <w:spacing w:val="4"/>
          <w:sz w:val="27"/>
          <w:szCs w:val="27"/>
          <w:lang w:eastAsia="ru-RU"/>
        </w:rPr>
        <w:t>рекомендовано </w:t>
      </w:r>
      <w:r w:rsidRPr="008C7027">
        <w:rPr>
          <w:rFonts w:ascii="Times New Roman" w:eastAsia="Times New Roman" w:hAnsi="Times New Roman" w:cs="Times New Roman"/>
          <w:color w:val="222222"/>
          <w:spacing w:val="4"/>
          <w:sz w:val="27"/>
          <w:szCs w:val="27"/>
          <w:lang w:eastAsia="ru-RU"/>
        </w:rPr>
        <w:t>повторное назначение режимов химиотерапии с добавлением или без добавления таргетной терапии, которые были эффективны в ранее проведенных линиях лечения [154, 215].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повторное</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применение в 3 и последующих линиях бевацизумаба** с зареистрированными на территории РФ препаратами не имеет достаточной доказательной базы, чтобы рекомендовать данный подход, особенно при мутации в генах RAS. В случае выявления редких транслокаций в генах ALK, RET NTRK1-3, гиперэкспрессии Her-2/neu, назначение соотвествующих ингибиторов возможно по результатам врачебной комиссии.</w:t>
      </w:r>
    </w:p>
    <w:p w:rsidR="008C7027" w:rsidRPr="008C7027" w:rsidRDefault="008C7027" w:rsidP="008C7027">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мутациях в гене </w:t>
      </w:r>
      <w:r w:rsidRPr="008C7027">
        <w:rPr>
          <w:rFonts w:ascii="Times New Roman" w:eastAsia="Times New Roman" w:hAnsi="Times New Roman" w:cs="Times New Roman"/>
          <w:i/>
          <w:iCs/>
          <w:color w:val="333333"/>
          <w:spacing w:val="4"/>
          <w:sz w:val="27"/>
          <w:szCs w:val="27"/>
          <w:lang w:eastAsia="ru-RU"/>
        </w:rPr>
        <w:t>BRAF</w:t>
      </w:r>
      <w:r w:rsidRPr="008C7027">
        <w:rPr>
          <w:rFonts w:ascii="Times New Roman" w:eastAsia="Times New Roman" w:hAnsi="Times New Roman" w:cs="Times New Roman"/>
          <w:color w:val="222222"/>
          <w:spacing w:val="4"/>
          <w:sz w:val="27"/>
          <w:szCs w:val="27"/>
          <w:lang w:eastAsia="ru-RU"/>
        </w:rPr>
        <w:t> в качестве 1-й линии при удовлетворительном состоянии пациента и при отсутствии противопоказаний назначать режим FOLFOXIRI или FOLFOX в комбинации с применением МКА бевацизумаба** или </w:t>
      </w:r>
      <w:r w:rsidRPr="008C7027">
        <w:rPr>
          <w:rFonts w:ascii="Times New Roman" w:eastAsia="Times New Roman" w:hAnsi="Times New Roman" w:cs="Times New Roman"/>
          <w:i/>
          <w:iCs/>
          <w:color w:val="333333"/>
          <w:spacing w:val="4"/>
          <w:sz w:val="27"/>
          <w:szCs w:val="27"/>
          <w:lang w:eastAsia="ru-RU"/>
        </w:rPr>
        <w:t>BRAF </w:t>
      </w:r>
      <w:r w:rsidRPr="008C7027">
        <w:rPr>
          <w:rFonts w:ascii="Times New Roman" w:eastAsia="Times New Roman" w:hAnsi="Times New Roman" w:cs="Times New Roman"/>
          <w:color w:val="222222"/>
          <w:spacing w:val="4"/>
          <w:sz w:val="27"/>
          <w:szCs w:val="27"/>
          <w:lang w:eastAsia="ru-RU"/>
        </w:rPr>
        <w:t>инигибитор + анти-</w:t>
      </w:r>
      <w:r w:rsidRPr="008C7027">
        <w:rPr>
          <w:rFonts w:ascii="Times New Roman" w:eastAsia="Times New Roman" w:hAnsi="Times New Roman" w:cs="Times New Roman"/>
          <w:i/>
          <w:iCs/>
          <w:color w:val="333333"/>
          <w:spacing w:val="4"/>
          <w:sz w:val="27"/>
          <w:szCs w:val="27"/>
          <w:lang w:eastAsia="ru-RU"/>
        </w:rPr>
        <w:t>EGFR</w:t>
      </w:r>
      <w:r w:rsidRPr="008C7027">
        <w:rPr>
          <w:rFonts w:ascii="Times New Roman" w:eastAsia="Times New Roman" w:hAnsi="Times New Roman" w:cs="Times New Roman"/>
          <w:color w:val="222222"/>
          <w:spacing w:val="4"/>
          <w:sz w:val="27"/>
          <w:szCs w:val="27"/>
          <w:lang w:eastAsia="ru-RU"/>
        </w:rPr>
        <w:t>-антитела + mFOLFOX6[58, 155, 245].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применение режима FOLFOXIRI с бевацизумабом** определяет большую частоту объективных эффектов, но не увеличивает выживаемость без прогрессирования и общую выживаемость в сравнении с двойными комбинациями с бевацизумабом**. В некоторых ректроспективных работах отмечена его большая эффективность при правосторонней локализации и мутации в гене BRAF.  При прогрессировании заболевания в ходе 1-й линии терапии при мутации в гене BRAF возможно назначение режима FOLFIRI с использованием афлиберцепта**/бевацизумаба**/рамуцирумаба** [85] или комбинации цетуксимаба** или панитумумаба** с энкорафенибом/#вемурафенибом**/#дабрафенибом** и #траметинибом** [86, 87]. При невозможности назначения анти-EGFR антител, возможно, рассмотреть применение комбинации #вемурафениба** и #кобиметиниба**, что менее предпочтительно. (табл. 6) (мутации в гене BRAF делятся на 3 </w:t>
      </w:r>
      <w:r w:rsidRPr="008C7027">
        <w:rPr>
          <w:rFonts w:ascii="Times New Roman" w:eastAsia="Times New Roman" w:hAnsi="Times New Roman" w:cs="Times New Roman"/>
          <w:i/>
          <w:iCs/>
          <w:color w:val="333333"/>
          <w:spacing w:val="4"/>
          <w:sz w:val="27"/>
          <w:szCs w:val="27"/>
          <w:lang w:eastAsia="ru-RU"/>
        </w:rPr>
        <w:lastRenderedPageBreak/>
        <w:t>класса (приложение А5), описываемый подход с таргетной терапией активен при I и II классе мутаций). В случае невозможности назначения химиотерапии в первой линии терапии при мутации в гене BRAF возможно рассмотреть терапию комбинацией цетуксимаба** или панитумумаба** с энкорафенибом/#вемурафенибом**/#дабрафенибом**, с #траметинибом** или без него. В некоторых клинических ситуациях, требующих быстрого достижения объективного ответа, возможно назначение сочетания химиотерапии (иринотекан**, FOLFOX, FOLFIRI) и анти-EGFR-антител с BRAF-ингибиторами. При мутации в гене BRAF 3 класса лечение проводится как при диком типе гена. При сочетании мутации в гене BRAF и MSI предпочтение отдается иммунотерапии – комбинации ипилимумаба** с ниволумабом** или пембролизумабу**/ниволумабу**/#пролголимабу** в монорежиме.</w:t>
      </w:r>
    </w:p>
    <w:p w:rsidR="008C7027" w:rsidRPr="008C7027" w:rsidRDefault="008C7027" w:rsidP="008C7027">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Длительные (свыше 6 часов) инфузии фторурацила** </w:t>
      </w:r>
      <w:r w:rsidRPr="008C7027">
        <w:rPr>
          <w:rFonts w:ascii="Times New Roman" w:eastAsia="Times New Roman" w:hAnsi="Times New Roman" w:cs="Times New Roman"/>
          <w:b/>
          <w:bCs/>
          <w:color w:val="222222"/>
          <w:spacing w:val="4"/>
          <w:sz w:val="27"/>
          <w:szCs w:val="27"/>
          <w:lang w:eastAsia="ru-RU"/>
        </w:rPr>
        <w:t>рекомендовано</w:t>
      </w:r>
      <w:r w:rsidRPr="008C7027">
        <w:rPr>
          <w:rFonts w:ascii="Times New Roman" w:eastAsia="Times New Roman" w:hAnsi="Times New Roman" w:cs="Times New Roman"/>
          <w:color w:val="222222"/>
          <w:spacing w:val="4"/>
          <w:sz w:val="27"/>
          <w:szCs w:val="27"/>
          <w:lang w:eastAsia="ru-RU"/>
        </w:rPr>
        <w:t> проводить через центральный венозный доступ с использованием инфузоматов [88].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t>Таблица 6.</w:t>
      </w:r>
      <w:r w:rsidRPr="008C7027">
        <w:rPr>
          <w:rFonts w:ascii="Times New Roman" w:eastAsia="Times New Roman" w:hAnsi="Times New Roman" w:cs="Times New Roman"/>
          <w:i/>
          <w:iCs/>
          <w:color w:val="333333"/>
          <w:spacing w:val="4"/>
          <w:sz w:val="27"/>
          <w:szCs w:val="27"/>
          <w:lang w:eastAsia="ru-RU"/>
        </w:rPr>
        <w:t> Режимы применения препаратов в терапии колоректального рака с мутацией в гене BRAF</w:t>
      </w:r>
    </w:p>
    <w:tbl>
      <w:tblPr>
        <w:tblW w:w="14024" w:type="dxa"/>
        <w:tblCellMar>
          <w:left w:w="0" w:type="dxa"/>
          <w:right w:w="0" w:type="dxa"/>
        </w:tblCellMar>
        <w:tblLook w:val="04A0" w:firstRow="1" w:lastRow="0" w:firstColumn="1" w:lastColumn="0" w:noHBand="0" w:noVBand="1"/>
      </w:tblPr>
      <w:tblGrid>
        <w:gridCol w:w="3871"/>
        <w:gridCol w:w="10153"/>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FOLFIRI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в дозе 180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90-минутной инфузии в 1-й день, кальция фолинат**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струйно и 46-часовой инфузией</w:t>
            </w:r>
            <w:r w:rsidRPr="008C7027">
              <w:rPr>
                <w:rFonts w:ascii="Verdana" w:eastAsia="Times New Roman" w:hAnsi="Verdana" w:cs="Times New Roman"/>
                <w:sz w:val="12"/>
                <w:szCs w:val="12"/>
                <w:vertAlign w:val="superscript"/>
                <w:lang w:eastAsia="ru-RU"/>
              </w:rPr>
              <w:t> </w:t>
            </w:r>
            <w:r w:rsidRPr="008C7027">
              <w:rPr>
                <w:rFonts w:ascii="Verdana" w:eastAsia="Times New Roman" w:hAnsi="Verdana" w:cs="Times New Roman"/>
                <w:sz w:val="27"/>
                <w:szCs w:val="27"/>
                <w:lang w:eastAsia="ru-RU"/>
              </w:rPr>
              <w:t>#фторурацила** в дозе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 на 15-й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Возможно добавление бевацизумаба** в дозе 5 мг/кг, или афлиберцепта** в дозе 4 мг/кг, или рамуцирумаба** в дозе 8 мг/кг в/в капельно в 1-й день каждого курса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 ингибитор BRAF +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в дозе 180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90-минутной инфузии в 1-й день (1 раз в 2 нед),</w:t>
            </w:r>
            <w:r w:rsidRPr="008C7027">
              <w:rPr>
                <w:rFonts w:ascii="Verdana" w:eastAsia="Times New Roman" w:hAnsi="Verdana" w:cs="Times New Roman"/>
                <w:sz w:val="12"/>
                <w:szCs w:val="12"/>
                <w:vertAlign w:val="superscript"/>
                <w:lang w:eastAsia="ru-RU"/>
              </w:rPr>
              <w:t> </w:t>
            </w:r>
            <w:r w:rsidRPr="008C7027">
              <w:rPr>
                <w:rFonts w:ascii="Verdana" w:eastAsia="Times New Roman" w:hAnsi="Verdana" w:cs="Times New Roman"/>
                <w:sz w:val="27"/>
                <w:szCs w:val="27"/>
                <w:lang w:eastAsia="ru-RU"/>
              </w:rPr>
              <w:t>#цетуксимаб**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в 1-й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 с 8-го дня (или #цетуксимаб** 500 мг/м2 в/в каждые 2 недели),</w:t>
            </w:r>
            <w:r w:rsidRPr="008C7027">
              <w:rPr>
                <w:rFonts w:ascii="Verdana" w:eastAsia="Times New Roman" w:hAnsi="Verdana" w:cs="Times New Roman"/>
                <w:sz w:val="12"/>
                <w:szCs w:val="12"/>
                <w:vertAlign w:val="superscript"/>
                <w:lang w:eastAsia="ru-RU"/>
              </w:rPr>
              <w:t> </w:t>
            </w:r>
            <w:r w:rsidRPr="008C7027">
              <w:rPr>
                <w:rFonts w:ascii="Verdana" w:eastAsia="Times New Roman" w:hAnsi="Verdana" w:cs="Times New Roman"/>
                <w:sz w:val="27"/>
                <w:szCs w:val="27"/>
                <w:lang w:eastAsia="ru-RU"/>
              </w:rPr>
              <w:t>#вемурафениб** в дозе 960 мг внутрь 2 раза в день ежедневно [156, 166]</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Ингибитор BRAF + МЕК + панитумумаб** или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#Дабрафениб** в дозе по 150 мг 2 раза в сутки внутрь ежедневно, #траметиниб** в дозе 2 мг 1 раз в день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#панитумумаб** 6 мг/кг в/в капельно 1 день 1 раз в 2 нед или #цетуксимаб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 (или #цетуксимаб** 500 мг/м2 в/в каждые 2 недели) [87, 215]</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Ингибитор BRAF + панитумумаб** или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#Дабрафениб** в дозе по 150 мг 2 раза в сутки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#панитумумаб** в дозе 6 мг/кг в/в капельно 1 день 1 раз в 2 нед или #цетуксимаб**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 (или #цетуксимаб**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каждые 2 недели).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Или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#вемурафениб** в дозе по 960 мг внутрь 2 раза в день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#панитумумаб** в дозе 6 мг/кг в/в капельно 1 день 1 раз в 2 нед или #цетуксимаб в дозе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 (или #цетуксимаб** 500 мг/м2 в/в каждые 2 недели) [87, 180-183, 216]</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Или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Энкорафениб 300 мг 1 раз в день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#Панитумумаб** 6 мг/кг в/в капельно 1 день 1 раз в 2 недели или #цетуксимаб**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b/>
                <w:bCs/>
                <w:sz w:val="27"/>
                <w:szCs w:val="27"/>
                <w:lang w:eastAsia="ru-RU"/>
              </w:rPr>
              <w:t> </w:t>
            </w:r>
            <w:r w:rsidRPr="008C7027">
              <w:rPr>
                <w:rFonts w:ascii="Verdana" w:eastAsia="Times New Roman" w:hAnsi="Verdana" w:cs="Times New Roman"/>
                <w:sz w:val="27"/>
                <w:szCs w:val="27"/>
                <w:lang w:eastAsia="ru-RU"/>
              </w:rPr>
              <w:t>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b/>
                <w:bCs/>
                <w:sz w:val="27"/>
                <w:szCs w:val="27"/>
                <w:lang w:eastAsia="ru-RU"/>
              </w:rPr>
              <w:t> </w:t>
            </w:r>
            <w:r w:rsidRPr="008C7027">
              <w:rPr>
                <w:rFonts w:ascii="Verdana" w:eastAsia="Times New Roman" w:hAnsi="Verdana" w:cs="Times New Roman"/>
                <w:sz w:val="27"/>
                <w:szCs w:val="27"/>
                <w:lang w:eastAsia="ru-RU"/>
              </w:rPr>
              <w:t>в/в капельно еженедельно (или #цетуксимаб** 500 мг/м2 в/в каждые 2 недели)  [242, 258]</w:t>
            </w:r>
          </w:p>
        </w:tc>
      </w:tr>
    </w:tbl>
    <w:p w:rsidR="008C7027" w:rsidRPr="008C7027" w:rsidRDefault="008C7027" w:rsidP="008C7027">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024" w:type="dxa"/>
        <w:tblCellMar>
          <w:left w:w="0" w:type="dxa"/>
          <w:right w:w="0" w:type="dxa"/>
        </w:tblCellMar>
        <w:tblLook w:val="04A0" w:firstRow="1" w:lastRow="0" w:firstColumn="1" w:lastColumn="0" w:noHBand="0" w:noVBand="1"/>
      </w:tblPr>
      <w:tblGrid>
        <w:gridCol w:w="4502"/>
        <w:gridCol w:w="9522"/>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Схема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Ингибиторы BRAF + МЕК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#Дабрафениб** в дозе по 150 мг 2 раза в сутки внутрь ежедневно, #траметиниб** в дозе 2 мг 1 раз в день внутрь ежедневно [157].</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Или #вемурафениб** в дозе по 960 мг внутрь 2 раза в день ежедневно и #кобиметиниб** в дозе 60 мг внутрь 1 раз в день в 1-21-й дни, далее 1 нед перерыва, каждые 28 дней [158]</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 </w:t>
            </w:r>
            <w:r w:rsidRPr="008C7027">
              <w:rPr>
                <w:rFonts w:ascii="Verdana" w:eastAsia="Times New Roman" w:hAnsi="Verdana" w:cs="Times New Roman"/>
                <w:i/>
                <w:iCs/>
                <w:color w:val="333333"/>
                <w:sz w:val="27"/>
                <w:szCs w:val="27"/>
                <w:lang w:eastAsia="ru-RU"/>
              </w:rPr>
              <w:t>BRAF </w:t>
            </w:r>
            <w:r w:rsidRPr="008C7027">
              <w:rPr>
                <w:rFonts w:ascii="Verdana" w:eastAsia="Times New Roman" w:hAnsi="Verdana" w:cs="Times New Roman"/>
                <w:sz w:val="27"/>
                <w:szCs w:val="27"/>
                <w:lang w:eastAsia="ru-RU"/>
              </w:rPr>
              <w:t>ингибитор + </w:t>
            </w:r>
            <w:r w:rsidRPr="008C7027">
              <w:rPr>
                <w:rFonts w:ascii="Verdana" w:eastAsia="Times New Roman" w:hAnsi="Verdana" w:cs="Times New Roman"/>
                <w:i/>
                <w:iCs/>
                <w:color w:val="333333"/>
                <w:sz w:val="27"/>
                <w:szCs w:val="27"/>
                <w:lang w:eastAsia="ru-RU"/>
              </w:rPr>
              <w:t>МЕК </w:t>
            </w:r>
            <w:r w:rsidRPr="008C7027">
              <w:rPr>
                <w:rFonts w:ascii="Verdana" w:eastAsia="Times New Roman" w:hAnsi="Verdana" w:cs="Times New Roman"/>
                <w:sz w:val="27"/>
                <w:szCs w:val="27"/>
                <w:lang w:eastAsia="ru-RU"/>
              </w:rPr>
              <w:t>ингибитор + анти-EGFR 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80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b/>
                <w:bCs/>
                <w:sz w:val="27"/>
                <w:szCs w:val="27"/>
                <w:lang w:eastAsia="ru-RU"/>
              </w:rPr>
              <w:t> </w:t>
            </w:r>
            <w:r w:rsidRPr="008C7027">
              <w:rPr>
                <w:rFonts w:ascii="Verdana" w:eastAsia="Times New Roman" w:hAnsi="Verdana" w:cs="Times New Roman"/>
                <w:sz w:val="27"/>
                <w:szCs w:val="27"/>
                <w:lang w:eastAsia="ru-RU"/>
              </w:rPr>
              <w:t>90</w:t>
            </w:r>
            <w:r w:rsidRPr="008C7027">
              <w:rPr>
                <w:rFonts w:ascii="Verdana" w:eastAsia="Times New Roman" w:hAnsi="Verdana" w:cs="Times New Roman"/>
                <w:sz w:val="27"/>
                <w:szCs w:val="27"/>
                <w:lang w:eastAsia="ru-RU"/>
              </w:rPr>
              <w:noBreakHyphen/>
              <w:t>минутная инфузия в 1</w:t>
            </w:r>
            <w:r w:rsidRPr="008C7027">
              <w:rPr>
                <w:rFonts w:ascii="Verdana" w:eastAsia="Times New Roman" w:hAnsi="Verdana" w:cs="Times New Roman"/>
                <w:sz w:val="27"/>
                <w:szCs w:val="27"/>
                <w:lang w:eastAsia="ru-RU"/>
              </w:rPr>
              <w:noBreakHyphen/>
              <w:t>й день еженедельно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#Дабрафениб** 150 мг 2 раза в сутки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#Траметиниб** 2 мг 1 раз в день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#цетуксимаб**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b/>
                <w:bCs/>
                <w:sz w:val="27"/>
                <w:szCs w:val="27"/>
                <w:lang w:eastAsia="ru-RU"/>
              </w:rPr>
              <w:t> </w:t>
            </w:r>
            <w:r w:rsidRPr="008C7027">
              <w:rPr>
                <w:rFonts w:ascii="Verdana" w:eastAsia="Times New Roman" w:hAnsi="Verdana" w:cs="Times New Roman"/>
                <w:sz w:val="27"/>
                <w:szCs w:val="27"/>
                <w:lang w:eastAsia="ru-RU"/>
              </w:rPr>
              <w:t>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2</w:t>
            </w:r>
            <w:r w:rsidRPr="008C7027">
              <w:rPr>
                <w:rFonts w:ascii="Verdana" w:eastAsia="Times New Roman" w:hAnsi="Verdana" w:cs="Times New Roman"/>
                <w:b/>
                <w:bCs/>
                <w:sz w:val="27"/>
                <w:szCs w:val="27"/>
                <w:lang w:eastAsia="ru-RU"/>
              </w:rPr>
              <w:t> </w:t>
            </w:r>
            <w:r w:rsidRPr="008C7027">
              <w:rPr>
                <w:rFonts w:ascii="Verdana" w:eastAsia="Times New Roman" w:hAnsi="Verdana" w:cs="Times New Roman"/>
                <w:sz w:val="27"/>
                <w:szCs w:val="27"/>
                <w:lang w:eastAsia="ru-RU"/>
              </w:rPr>
              <w:t>в/в капельно еженедельно  (или #цетуксимаб**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каждые 2 недели) [243]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i/>
                <w:iCs/>
                <w:color w:val="333333"/>
                <w:sz w:val="27"/>
                <w:szCs w:val="27"/>
                <w:lang w:eastAsia="ru-RU"/>
              </w:rPr>
              <w:lastRenderedPageBreak/>
              <w:t>BRAF </w:t>
            </w:r>
            <w:r w:rsidRPr="008C7027">
              <w:rPr>
                <w:rFonts w:ascii="Verdana" w:eastAsia="Times New Roman" w:hAnsi="Verdana" w:cs="Times New Roman"/>
                <w:sz w:val="27"/>
                <w:szCs w:val="27"/>
                <w:lang w:eastAsia="ru-RU"/>
              </w:rPr>
              <w:t>ингибитор</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МЕК </w:t>
            </w:r>
            <w:r w:rsidRPr="008C7027">
              <w:rPr>
                <w:rFonts w:ascii="Verdana" w:eastAsia="Times New Roman" w:hAnsi="Verdana" w:cs="Times New Roman"/>
                <w:sz w:val="27"/>
                <w:szCs w:val="27"/>
                <w:lang w:eastAsia="ru-RU"/>
              </w:rPr>
              <w:t>ингибитор</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 анти-EGFR 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#Дабрафениб** 150 мг 2 раза в сутки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#Траметиниб** 2 мг 1 раз в день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#Панитумумаб** 6 мг / кг в/в капельно 1 день 1 раз в 2 недели или #цетуксимаб**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 (или #цетуксимаб**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каждые 2 недели)  [244, 259, 260]</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Или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#Энкорафениб 300 мг 1 раз в день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#Биниметиниб 45 мг 2 раза в день внутрь ежеденевно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#цетуксимаб**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 (или #цетуксимаб**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каждые 2 недели) [242]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i/>
                <w:iCs/>
                <w:color w:val="333333"/>
                <w:sz w:val="27"/>
                <w:szCs w:val="27"/>
                <w:lang w:eastAsia="ru-RU"/>
              </w:rPr>
              <w:t>BRAF </w:t>
            </w:r>
            <w:r w:rsidRPr="008C7027">
              <w:rPr>
                <w:rFonts w:ascii="Verdana" w:eastAsia="Times New Roman" w:hAnsi="Verdana" w:cs="Times New Roman"/>
                <w:sz w:val="27"/>
                <w:szCs w:val="27"/>
                <w:lang w:eastAsia="ru-RU"/>
              </w:rPr>
              <w:t>инигибитор</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 анти-</w:t>
            </w:r>
            <w:r w:rsidRPr="008C7027">
              <w:rPr>
                <w:rFonts w:ascii="Verdana" w:eastAsia="Times New Roman" w:hAnsi="Verdana" w:cs="Times New Roman"/>
                <w:i/>
                <w:iCs/>
                <w:color w:val="333333"/>
                <w:sz w:val="27"/>
                <w:szCs w:val="27"/>
                <w:lang w:eastAsia="ru-RU"/>
              </w:rPr>
              <w:t>EGFR</w:t>
            </w:r>
            <w:r w:rsidRPr="008C7027">
              <w:rPr>
                <w:rFonts w:ascii="Verdana" w:eastAsia="Times New Roman" w:hAnsi="Verdana" w:cs="Times New Roman"/>
                <w:sz w:val="27"/>
                <w:szCs w:val="27"/>
                <w:lang w:eastAsia="ru-RU"/>
              </w:rPr>
              <w:t>-антитела + mFOLFOX6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#Оксалиплатин** 85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2</w:t>
            </w:r>
            <w:r w:rsidRPr="008C7027">
              <w:rPr>
                <w:rFonts w:ascii="Verdana" w:eastAsia="Times New Roman" w:hAnsi="Verdana" w:cs="Times New Roman"/>
                <w:sz w:val="27"/>
                <w:szCs w:val="27"/>
                <w:lang w:eastAsia="ru-RU"/>
              </w:rPr>
              <w:noBreakHyphen/>
              <w:t>часовая инфузия в 1</w:t>
            </w:r>
            <w:r w:rsidRPr="008C7027">
              <w:rPr>
                <w:rFonts w:ascii="Verdana" w:eastAsia="Times New Roman" w:hAnsi="Verdana" w:cs="Times New Roman"/>
                <w:sz w:val="27"/>
                <w:szCs w:val="27"/>
                <w:lang w:eastAsia="ru-RU"/>
              </w:rPr>
              <w:noBreakHyphen/>
              <w:t>й день, #кальция фолинат**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часов с последующим болюсом #фторурацила**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струйно и 46</w:t>
            </w:r>
            <w:r w:rsidRPr="008C7027">
              <w:rPr>
                <w:rFonts w:ascii="Verdana" w:eastAsia="Times New Roman" w:hAnsi="Verdana" w:cs="Times New Roman"/>
                <w:sz w:val="27"/>
                <w:szCs w:val="27"/>
                <w:lang w:eastAsia="ru-RU"/>
              </w:rPr>
              <w:noBreakHyphen/>
              <w:t>часовой инфузией #фторурацила**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/сут.).</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#Энкорафениб 300 мг 1 раз в день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#Панитумумаб** 6 мг/кг в/в капельно 1 день 1 раз в 2 недели или #цетуксимаб**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на 15</w:t>
            </w:r>
            <w:r w:rsidRPr="008C7027">
              <w:rPr>
                <w:rFonts w:ascii="Verdana" w:eastAsia="Times New Roman" w:hAnsi="Verdana" w:cs="Times New Roman"/>
                <w:sz w:val="27"/>
                <w:szCs w:val="27"/>
                <w:lang w:eastAsia="ru-RU"/>
              </w:rPr>
              <w:noBreakHyphen/>
              <w:t>й день [245, 258].</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i/>
                <w:iCs/>
                <w:color w:val="333333"/>
                <w:sz w:val="27"/>
                <w:szCs w:val="27"/>
                <w:lang w:eastAsia="ru-RU"/>
              </w:rPr>
              <w:t>BRAF </w:t>
            </w:r>
            <w:r w:rsidRPr="008C7027">
              <w:rPr>
                <w:rFonts w:ascii="Verdana" w:eastAsia="Times New Roman" w:hAnsi="Verdana" w:cs="Times New Roman"/>
                <w:sz w:val="27"/>
                <w:szCs w:val="27"/>
                <w:lang w:eastAsia="ru-RU"/>
              </w:rPr>
              <w:t>инигибитор</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 анти-</w:t>
            </w:r>
            <w:r w:rsidRPr="008C7027">
              <w:rPr>
                <w:rFonts w:ascii="Verdana" w:eastAsia="Times New Roman" w:hAnsi="Verdana" w:cs="Times New Roman"/>
                <w:i/>
                <w:iCs/>
                <w:color w:val="333333"/>
                <w:sz w:val="27"/>
                <w:szCs w:val="27"/>
                <w:lang w:eastAsia="ru-RU"/>
              </w:rPr>
              <w:t>EGFR</w:t>
            </w:r>
            <w:r w:rsidRPr="008C7027">
              <w:rPr>
                <w:rFonts w:ascii="Verdana" w:eastAsia="Times New Roman" w:hAnsi="Verdana" w:cs="Times New Roman"/>
                <w:sz w:val="27"/>
                <w:szCs w:val="27"/>
                <w:lang w:eastAsia="ru-RU"/>
              </w:rPr>
              <w:t>-антитела + FOLFIRI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180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w:t>
            </w:r>
            <w:r w:rsidRPr="008C7027">
              <w:rPr>
                <w:rFonts w:ascii="Verdana" w:eastAsia="Times New Roman" w:hAnsi="Verdana" w:cs="Times New Roman"/>
                <w:sz w:val="27"/>
                <w:szCs w:val="27"/>
                <w:lang w:eastAsia="ru-RU"/>
              </w:rPr>
              <w:noBreakHyphen/>
              <w:t>минутной инфузии в 1</w:t>
            </w:r>
            <w:r w:rsidRPr="008C7027">
              <w:rPr>
                <w:rFonts w:ascii="Verdana" w:eastAsia="Times New Roman" w:hAnsi="Verdana" w:cs="Times New Roman"/>
                <w:sz w:val="27"/>
                <w:szCs w:val="27"/>
                <w:lang w:eastAsia="ru-RU"/>
              </w:rPr>
              <w:noBreakHyphen/>
              <w:t>й день</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#фторурацила**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струйно и 46</w:t>
            </w:r>
            <w:r w:rsidRPr="008C7027">
              <w:rPr>
                <w:rFonts w:ascii="Verdana" w:eastAsia="Times New Roman" w:hAnsi="Verdana" w:cs="Times New Roman"/>
                <w:sz w:val="27"/>
                <w:szCs w:val="27"/>
                <w:lang w:eastAsia="ru-RU"/>
              </w:rPr>
              <w:noBreakHyphen/>
              <w:t>часовой инфузией #фторурацила**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#Энкорафениб 300 мг 1 раз в день внутрь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#цетуксимаб**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1 день, затем по 250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капельно еженедельно (или #цетуксимаб**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каждые 2 недели)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Начало очередного курса на 15</w:t>
            </w:r>
            <w:r w:rsidRPr="008C7027">
              <w:rPr>
                <w:rFonts w:ascii="Verdana" w:eastAsia="Times New Roman" w:hAnsi="Verdana" w:cs="Times New Roman"/>
                <w:sz w:val="27"/>
                <w:szCs w:val="27"/>
                <w:lang w:eastAsia="ru-RU"/>
              </w:rPr>
              <w:noBreakHyphen/>
              <w:t>й день [245].</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#Иринотекан 180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виде 90</w:t>
            </w:r>
            <w:r w:rsidRPr="008C7027">
              <w:rPr>
                <w:rFonts w:ascii="Verdana" w:eastAsia="Times New Roman" w:hAnsi="Verdana" w:cs="Times New Roman"/>
                <w:sz w:val="27"/>
                <w:szCs w:val="27"/>
                <w:lang w:eastAsia="ru-RU"/>
              </w:rPr>
              <w:noBreakHyphen/>
              <w:t>минутной инфузии в 1</w:t>
            </w:r>
            <w:r w:rsidRPr="008C7027">
              <w:rPr>
                <w:rFonts w:ascii="Verdana" w:eastAsia="Times New Roman" w:hAnsi="Verdana" w:cs="Times New Roman"/>
                <w:sz w:val="27"/>
                <w:szCs w:val="27"/>
                <w:lang w:eastAsia="ru-RU"/>
              </w:rPr>
              <w:noBreakHyphen/>
              <w:t>й день</w:t>
            </w:r>
          </w:p>
          <w:p w:rsidR="008C7027" w:rsidRPr="008C7027" w:rsidRDefault="008C7027" w:rsidP="008C7027">
            <w:pPr>
              <w:numPr>
                <w:ilvl w:val="0"/>
                <w:numId w:val="78"/>
              </w:numPr>
              <w:spacing w:after="0" w:line="240" w:lineRule="atLeast"/>
              <w:ind w:left="315"/>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#Кальция фолинат**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в течение 2 ч с последующим болюсным введением #</w:t>
            </w:r>
            <w:r w:rsidRPr="008C7027">
              <w:rPr>
                <w:rFonts w:ascii="Verdana" w:eastAsia="Times New Roman" w:hAnsi="Verdana" w:cs="Times New Roman"/>
                <w:i/>
                <w:iCs/>
                <w:color w:val="333333"/>
                <w:sz w:val="27"/>
                <w:szCs w:val="27"/>
                <w:lang w:eastAsia="ru-RU"/>
              </w:rPr>
              <w:t>фторурацила</w:t>
            </w:r>
            <w:r w:rsidRPr="008C7027">
              <w:rPr>
                <w:rFonts w:ascii="Verdana" w:eastAsia="Times New Roman" w:hAnsi="Verdana" w:cs="Times New Roman"/>
                <w:sz w:val="27"/>
                <w:szCs w:val="27"/>
                <w:lang w:eastAsia="ru-RU"/>
              </w:rPr>
              <w:t>** 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 в струйно и 46</w:t>
            </w:r>
            <w:r w:rsidRPr="008C7027">
              <w:rPr>
                <w:rFonts w:ascii="Verdana" w:eastAsia="Times New Roman" w:hAnsi="Verdana" w:cs="Times New Roman"/>
                <w:sz w:val="27"/>
                <w:szCs w:val="27"/>
                <w:lang w:eastAsia="ru-RU"/>
              </w:rPr>
              <w:noBreakHyphen/>
              <w:t>часовой инфузией #</w:t>
            </w:r>
            <w:r w:rsidRPr="008C7027">
              <w:rPr>
                <w:rFonts w:ascii="Verdana" w:eastAsia="Times New Roman" w:hAnsi="Verdana" w:cs="Times New Roman"/>
                <w:i/>
                <w:iCs/>
                <w:color w:val="333333"/>
                <w:sz w:val="27"/>
                <w:szCs w:val="27"/>
                <w:lang w:eastAsia="ru-RU"/>
              </w:rPr>
              <w:t>фторурацила</w:t>
            </w:r>
            <w:r w:rsidRPr="008C7027">
              <w:rPr>
                <w:rFonts w:ascii="Verdana" w:eastAsia="Times New Roman" w:hAnsi="Verdana" w:cs="Times New Roman"/>
                <w:sz w:val="27"/>
                <w:szCs w:val="27"/>
                <w:lang w:eastAsia="ru-RU"/>
              </w:rPr>
              <w:t>** 2400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(по 1200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 сутки).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i/>
                <w:iCs/>
                <w:color w:val="333333"/>
                <w:sz w:val="27"/>
                <w:szCs w:val="27"/>
                <w:lang w:eastAsia="ru-RU"/>
              </w:rPr>
              <w:t>#вемурафениб**</w:t>
            </w:r>
            <w:r w:rsidRPr="008C7027">
              <w:rPr>
                <w:rFonts w:ascii="Verdana" w:eastAsia="Times New Roman" w:hAnsi="Verdana" w:cs="Times New Roman"/>
                <w:i/>
                <w:iCs/>
                <w:color w:val="333333"/>
                <w:sz w:val="12"/>
                <w:szCs w:val="12"/>
                <w:vertAlign w:val="superscript"/>
                <w:lang w:eastAsia="ru-RU"/>
              </w:rPr>
              <w:t>#</w:t>
            </w:r>
            <w:r w:rsidRPr="008C7027">
              <w:rPr>
                <w:rFonts w:ascii="Verdana" w:eastAsia="Times New Roman" w:hAnsi="Verdana" w:cs="Times New Roman"/>
                <w:i/>
                <w:iCs/>
                <w:color w:val="333333"/>
                <w:sz w:val="27"/>
                <w:szCs w:val="27"/>
                <w:lang w:eastAsia="ru-RU"/>
              </w:rPr>
              <w:t> 960 мг внутрь 2 раза в день ежедневно</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#цетуксимаб** 500 мг/м</w:t>
            </w:r>
            <w:r w:rsidRPr="008C7027">
              <w:rPr>
                <w:rFonts w:ascii="Verdana" w:eastAsia="Times New Roman" w:hAnsi="Verdana" w:cs="Times New Roman"/>
                <w:sz w:val="12"/>
                <w:szCs w:val="12"/>
                <w:vertAlign w:val="superscript"/>
                <w:lang w:eastAsia="ru-RU"/>
              </w:rPr>
              <w:t>2</w:t>
            </w:r>
            <w:r w:rsidRPr="008C7027">
              <w:rPr>
                <w:rFonts w:ascii="Verdana" w:eastAsia="Times New Roman" w:hAnsi="Verdana" w:cs="Times New Roman"/>
                <w:sz w:val="27"/>
                <w:szCs w:val="27"/>
                <w:lang w:eastAsia="ru-RU"/>
              </w:rPr>
              <w:t> в/в каждые 2 недели</w:t>
            </w:r>
          </w:p>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Начало очередного курса на 15</w:t>
            </w:r>
            <w:r w:rsidRPr="008C7027">
              <w:rPr>
                <w:rFonts w:ascii="Verdana" w:eastAsia="Times New Roman" w:hAnsi="Verdana" w:cs="Times New Roman"/>
                <w:sz w:val="27"/>
                <w:szCs w:val="27"/>
                <w:lang w:eastAsia="ru-RU"/>
              </w:rPr>
              <w:noBreakHyphen/>
              <w:t>й день [254]</w:t>
            </w:r>
          </w:p>
        </w:tc>
      </w:tr>
    </w:tbl>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i/>
          <w:iCs/>
          <w:color w:val="333333"/>
          <w:spacing w:val="4"/>
          <w:sz w:val="27"/>
          <w:szCs w:val="27"/>
          <w:lang w:eastAsia="ru-RU"/>
        </w:rPr>
        <w:lastRenderedPageBreak/>
        <w:t>Примечание:</w:t>
      </w:r>
      <w:r w:rsidRPr="008C7027">
        <w:rPr>
          <w:rFonts w:ascii="Times New Roman" w:eastAsia="Times New Roman" w:hAnsi="Times New Roman" w:cs="Times New Roman"/>
          <w:i/>
          <w:iCs/>
          <w:color w:val="333333"/>
          <w:spacing w:val="4"/>
          <w:sz w:val="27"/>
          <w:szCs w:val="27"/>
          <w:lang w:eastAsia="ru-RU"/>
        </w:rPr>
        <w:t> возможность проведения химиотерапии в сочетании с таргетной терапией в соответствии с рекомендациями определяется доступностью лекарственных препаратов.</w:t>
      </w:r>
    </w:p>
    <w:p w:rsidR="008C7027" w:rsidRPr="008C7027" w:rsidRDefault="008C7027" w:rsidP="008C70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C7027">
        <w:rPr>
          <w:rFonts w:ascii="Times New Roman" w:eastAsia="Times New Roman" w:hAnsi="Times New Roman" w:cs="Times New Roman"/>
          <w:b/>
          <w:bCs/>
          <w:color w:val="222222"/>
          <w:spacing w:val="4"/>
          <w:sz w:val="33"/>
          <w:szCs w:val="33"/>
          <w:lang w:eastAsia="ru-RU"/>
        </w:rPr>
        <w:t>3.4. Симптоматическая терапия</w:t>
      </w:r>
    </w:p>
    <w:p w:rsidR="008C7027" w:rsidRPr="008C7027" w:rsidRDefault="008C7027" w:rsidP="008C702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с острым кровотечением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выполнить срочное эндоскопическое исследование органов желудочно-кишечного тракта (Остановка кровотечения из периферического сосуда эндоскопическая с использованием электрокоагуля-ции», «Остановка кровотечения эндоскопическая с использованием термокоагуляции», «Эндоскопическая остановка кровотечения с помощью лазерной фотокоагуляции»), системную гемостатическую терапию. В зависимости от результатов исследования производят эндоскопическую остановку кровотечения. При невозможности/неэффективности эндоскопического гемостаза проводится экстренное хирургическое вмешательство [89].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опухолевом стенозе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эндоскопическое стентирование зоны опухолевого (Эндоскопическое стентирование при опухолевом стенозе) стеноза или оперативное лечение [89, 90].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Для лечения хронического болевого синдрома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color w:val="222222"/>
          <w:spacing w:val="4"/>
          <w:sz w:val="27"/>
          <w:szCs w:val="27"/>
          <w:lang w:eastAsia="ru-RU"/>
        </w:rPr>
        <w:t>дистанционной лучевой терапии (Дистанционная лучевая терапия опухолей ободочной кишки), медикаментозной терапии, локорегионарной анестезии (Местная анестезия) в зависимости от причины болевого синдрома [89].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лечении асцита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рассмотреть возможность применения лапароцентеза [91].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целями так называемой «наилучшей поддерживающей терапии» (best supportive care) являются профилактика и облегчение симптомов заболевания и поддержание качества жизни пациентов и их близких независимо от стадии заболевания и потребности в других видах терапии. В случае рака ободочной кишки меры, направленные на облегчение основных симптомов, способствуют увеличению продолжительности жизни.</w:t>
      </w:r>
    </w:p>
    <w:p w:rsidR="008C7027" w:rsidRPr="008C7027" w:rsidRDefault="008C7027" w:rsidP="008C7027">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препаратами с эметогенным побочным действием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проведение профилактики и лечения тошноты и рвоты [1,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Принципы диагностики, профилактики и лечения тошноты и рвоты при проведении противоопухолевой лекарственной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Владимирова Л.Ю. и соавт. Тошнота и рвота [3].</w:t>
      </w:r>
      <w:r w:rsidRPr="008C7027">
        <w:rPr>
          <w:rFonts w:ascii="Times New Roman" w:eastAsia="Times New Roman" w:hAnsi="Times New Roman" w:cs="Times New Roman"/>
          <w:color w:val="222222"/>
          <w:spacing w:val="4"/>
          <w:sz w:val="27"/>
          <w:szCs w:val="27"/>
          <w:lang w:eastAsia="ru-RU"/>
        </w:rPr>
        <w:t> </w:t>
      </w:r>
      <w:hyperlink r:id="rId5" w:history="1">
        <w:r w:rsidRPr="008C7027">
          <w:rPr>
            <w:rFonts w:ascii="Times New Roman" w:eastAsia="Times New Roman" w:hAnsi="Times New Roman" w:cs="Times New Roman"/>
            <w:i/>
            <w:iCs/>
            <w:color w:val="0000FF"/>
            <w:spacing w:val="4"/>
            <w:sz w:val="27"/>
            <w:szCs w:val="27"/>
            <w:u w:val="single"/>
            <w:lang w:eastAsia="ru-RU"/>
          </w:rPr>
          <w:t>https://rosoncoweb.ru/standarts/?chapter=nausea_vomiting</w:t>
        </w:r>
      </w:hyperlink>
    </w:p>
    <w:p w:rsidR="008C7027" w:rsidRPr="008C7027" w:rsidRDefault="008C7027" w:rsidP="008C7027">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У пациентов с метастатическим поражением костей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костных осложнений [4].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Принципы диагностики, профилактики и лечения костных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Багрова С.Г. и соавт. Патология костной ткани [5].</w:t>
      </w:r>
      <w:r w:rsidRPr="008C7027">
        <w:rPr>
          <w:rFonts w:ascii="Times New Roman" w:eastAsia="Times New Roman" w:hAnsi="Times New Roman" w:cs="Times New Roman"/>
          <w:color w:val="222222"/>
          <w:spacing w:val="4"/>
          <w:sz w:val="27"/>
          <w:szCs w:val="27"/>
          <w:lang w:eastAsia="ru-RU"/>
        </w:rPr>
        <w:t> </w:t>
      </w:r>
      <w:hyperlink r:id="rId6" w:history="1">
        <w:r w:rsidRPr="008C7027">
          <w:rPr>
            <w:rFonts w:ascii="Times New Roman" w:eastAsia="Times New Roman" w:hAnsi="Times New Roman" w:cs="Times New Roman"/>
            <w:i/>
            <w:iCs/>
            <w:color w:val="0000FF"/>
            <w:spacing w:val="4"/>
            <w:sz w:val="27"/>
            <w:szCs w:val="27"/>
            <w:u w:val="single"/>
            <w:lang w:eastAsia="ru-RU"/>
          </w:rPr>
          <w:t>https://rosoncoweb.ru/standarts/?chapter=bone_pathology</w:t>
        </w:r>
      </w:hyperlink>
    </w:p>
    <w:p w:rsidR="008C7027" w:rsidRPr="008C7027" w:rsidRDefault="008C7027" w:rsidP="008C7027">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венозных тромбоэмболических осложнений [6-8].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xml:space="preserve"> Принципы диагностики, профилактики и лечения венозных тромбоэмболических осложнений изложены в Практических Рекомендациях Российского общества клинической онкологии по профилактике и лечению </w:t>
      </w:r>
      <w:r w:rsidRPr="008C7027">
        <w:rPr>
          <w:rFonts w:ascii="Times New Roman" w:eastAsia="Times New Roman" w:hAnsi="Times New Roman" w:cs="Times New Roman"/>
          <w:i/>
          <w:iCs/>
          <w:color w:val="333333"/>
          <w:spacing w:val="4"/>
          <w:sz w:val="27"/>
          <w:szCs w:val="27"/>
          <w:lang w:eastAsia="ru-RU"/>
        </w:rPr>
        <w:lastRenderedPageBreak/>
        <w:t>осложнений злокачественных опухолей и противоопухолевой лекарственной терапии: Сомонова О.В. и соавт. Тромбоэмболические осложнения [9].</w:t>
      </w:r>
      <w:r w:rsidRPr="008C7027">
        <w:rPr>
          <w:rFonts w:ascii="Times New Roman" w:eastAsia="Times New Roman" w:hAnsi="Times New Roman" w:cs="Times New Roman"/>
          <w:color w:val="222222"/>
          <w:spacing w:val="4"/>
          <w:sz w:val="27"/>
          <w:szCs w:val="27"/>
          <w:lang w:eastAsia="ru-RU"/>
        </w:rPr>
        <w:t> </w:t>
      </w:r>
      <w:hyperlink r:id="rId7" w:history="1">
        <w:r w:rsidRPr="008C7027">
          <w:rPr>
            <w:rFonts w:ascii="Times New Roman" w:eastAsia="Times New Roman" w:hAnsi="Times New Roman" w:cs="Times New Roman"/>
            <w:i/>
            <w:iCs/>
            <w:color w:val="0000FF"/>
            <w:spacing w:val="4"/>
            <w:sz w:val="27"/>
            <w:szCs w:val="27"/>
            <w:u w:val="single"/>
            <w:lang w:eastAsia="ru-RU"/>
          </w:rPr>
          <w:t>https://rosoncoweb.ru/standarts/?chapter=thromboembolism</w:t>
        </w:r>
      </w:hyperlink>
    </w:p>
    <w:p w:rsidR="008C7027" w:rsidRPr="008C7027" w:rsidRDefault="008C7027" w:rsidP="008C7027">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фебрильной нейтропении и инфекционных осложнений [10-12].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Детальный алгоритм диагностики, профилактики и лечения фебрильной нейтропении и инфекционных осложнений, принципы антибактериальной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Сакаева Д.Д. и соавт. Практические рекомендации по диагностике и лечению фебрильной нейтропении [13].</w:t>
      </w:r>
      <w:r w:rsidRPr="008C7027">
        <w:rPr>
          <w:rFonts w:ascii="Times New Roman" w:eastAsia="Times New Roman" w:hAnsi="Times New Roman" w:cs="Times New Roman"/>
          <w:color w:val="222222"/>
          <w:spacing w:val="4"/>
          <w:sz w:val="27"/>
          <w:szCs w:val="27"/>
          <w:lang w:eastAsia="ru-RU"/>
        </w:rPr>
        <w:t> </w:t>
      </w:r>
      <w:hyperlink r:id="rId8" w:history="1">
        <w:r w:rsidRPr="008C7027">
          <w:rPr>
            <w:rFonts w:ascii="Times New Roman" w:eastAsia="Times New Roman" w:hAnsi="Times New Roman" w:cs="Times New Roman"/>
            <w:i/>
            <w:iCs/>
            <w:color w:val="0000FF"/>
            <w:spacing w:val="4"/>
            <w:sz w:val="27"/>
            <w:szCs w:val="27"/>
            <w:u w:val="single"/>
            <w:lang w:eastAsia="ru-RU"/>
          </w:rPr>
          <w:t>https://rosoncoweb.ru/standarts/?chapter=febrile_neutropenia</w:t>
        </w:r>
      </w:hyperlink>
    </w:p>
    <w:p w:rsidR="008C7027" w:rsidRPr="008C7027" w:rsidRDefault="008C7027" w:rsidP="008C7027">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коррекция гепатотоксичности [14, 15].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Принципы диагностики, профилактики и лечения гепатотоксичности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Ткаченко П.Е. и соавт. Гепатотоксичность [16].</w:t>
      </w:r>
      <w:r w:rsidRPr="008C7027">
        <w:rPr>
          <w:rFonts w:ascii="Times New Roman" w:eastAsia="Times New Roman" w:hAnsi="Times New Roman" w:cs="Times New Roman"/>
          <w:color w:val="222222"/>
          <w:spacing w:val="4"/>
          <w:sz w:val="27"/>
          <w:szCs w:val="27"/>
          <w:lang w:eastAsia="ru-RU"/>
        </w:rPr>
        <w:t> </w:t>
      </w:r>
      <w:hyperlink r:id="rId9" w:history="1">
        <w:r w:rsidRPr="008C7027">
          <w:rPr>
            <w:rFonts w:ascii="Times New Roman" w:eastAsia="Times New Roman" w:hAnsi="Times New Roman" w:cs="Times New Roman"/>
            <w:i/>
            <w:iCs/>
            <w:color w:val="0000FF"/>
            <w:spacing w:val="4"/>
            <w:sz w:val="27"/>
            <w:szCs w:val="27"/>
            <w:u w:val="single"/>
            <w:lang w:eastAsia="ru-RU"/>
          </w:rPr>
          <w:t>https://rosoncoweb.ru/standarts/?chapter=hepatotoxicity</w:t>
        </w:r>
      </w:hyperlink>
    </w:p>
    <w:p w:rsidR="008C7027" w:rsidRPr="008C7027" w:rsidRDefault="008C7027" w:rsidP="008C7027">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пациентам противоопухолевой лекарственной терапии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лечения кардиоваскулярных осложнений [17-20].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xml:space="preserve"> Принципы диагностики, профилактики и лечения сердечно-сосудистых осложнений при проведении противоопухолевой терапии изложены в Практических Рекомендациях Российского общества по профилактике и лечению осложнений злокачественных опухолей и противоопухолевой лекарственной терапии: Виценя М.В. И соавт. </w:t>
      </w:r>
      <w:r w:rsidRPr="008C7027">
        <w:rPr>
          <w:rFonts w:ascii="Times New Roman" w:eastAsia="Times New Roman" w:hAnsi="Times New Roman" w:cs="Times New Roman"/>
          <w:i/>
          <w:iCs/>
          <w:color w:val="333333"/>
          <w:spacing w:val="4"/>
          <w:sz w:val="27"/>
          <w:szCs w:val="27"/>
          <w:lang w:eastAsia="ru-RU"/>
        </w:rPr>
        <w:lastRenderedPageBreak/>
        <w:t>Кардиоваскулярная токсичность [21].</w:t>
      </w:r>
      <w:r w:rsidRPr="008C7027">
        <w:rPr>
          <w:rFonts w:ascii="Times New Roman" w:eastAsia="Times New Roman" w:hAnsi="Times New Roman" w:cs="Times New Roman"/>
          <w:color w:val="222222"/>
          <w:spacing w:val="4"/>
          <w:sz w:val="27"/>
          <w:szCs w:val="27"/>
          <w:lang w:eastAsia="ru-RU"/>
        </w:rPr>
        <w:t> </w:t>
      </w:r>
      <w:hyperlink r:id="rId10" w:history="1">
        <w:r w:rsidRPr="008C7027">
          <w:rPr>
            <w:rFonts w:ascii="Times New Roman" w:eastAsia="Times New Roman" w:hAnsi="Times New Roman" w:cs="Times New Roman"/>
            <w:i/>
            <w:iCs/>
            <w:color w:val="0000FF"/>
            <w:spacing w:val="4"/>
            <w:sz w:val="27"/>
            <w:szCs w:val="27"/>
            <w:u w:val="single"/>
            <w:lang w:eastAsia="ru-RU"/>
          </w:rPr>
          <w:t>https://rosoncoweb.ru/standarts/?chapter=cardiovascular_toxicity</w:t>
        </w:r>
      </w:hyperlink>
    </w:p>
    <w:p w:rsidR="008C7027" w:rsidRPr="008C7027" w:rsidRDefault="008C7027" w:rsidP="008C7027">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дерматологических реакций [22].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Принципы диагностики, профилактики и лечения кожных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Королева И.А. и соавт. Дерматологические реакции [23].</w:t>
      </w:r>
      <w:r w:rsidRPr="008C7027">
        <w:rPr>
          <w:rFonts w:ascii="Times New Roman" w:eastAsia="Times New Roman" w:hAnsi="Times New Roman" w:cs="Times New Roman"/>
          <w:color w:val="222222"/>
          <w:spacing w:val="4"/>
          <w:sz w:val="27"/>
          <w:szCs w:val="27"/>
          <w:lang w:eastAsia="ru-RU"/>
        </w:rPr>
        <w:t> </w:t>
      </w:r>
      <w:hyperlink r:id="rId11" w:history="1">
        <w:r w:rsidRPr="008C7027">
          <w:rPr>
            <w:rFonts w:ascii="Times New Roman" w:eastAsia="Times New Roman" w:hAnsi="Times New Roman" w:cs="Times New Roman"/>
            <w:i/>
            <w:iCs/>
            <w:color w:val="0000FF"/>
            <w:spacing w:val="4"/>
            <w:sz w:val="27"/>
            <w:szCs w:val="27"/>
            <w:u w:val="single"/>
            <w:lang w:eastAsia="ru-RU"/>
          </w:rPr>
          <w:t>https://rosoncoweb.ru/standarts/?chapter=dermatological_reactions</w:t>
        </w:r>
      </w:hyperlink>
    </w:p>
    <w:p w:rsidR="008C7027" w:rsidRPr="008C7027" w:rsidRDefault="008C7027" w:rsidP="008C7027">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Для поддержания метаболических резервов организма онкологического пациента и повышения его устойчивости к лечению (хирургическому, лекарственному, лучевому) </w:t>
      </w:r>
      <w:r w:rsidRPr="008C7027">
        <w:rPr>
          <w:rFonts w:ascii="Times New Roman" w:eastAsia="Times New Roman" w:hAnsi="Times New Roman" w:cs="Times New Roman"/>
          <w:b/>
          <w:bCs/>
          <w:color w:val="222222"/>
          <w:spacing w:val="4"/>
          <w:sz w:val="27"/>
          <w:szCs w:val="27"/>
          <w:lang w:eastAsia="ru-RU"/>
        </w:rPr>
        <w:t>рекомендована</w:t>
      </w:r>
      <w:r w:rsidRPr="008C7027">
        <w:rPr>
          <w:rFonts w:ascii="Times New Roman" w:eastAsia="Times New Roman" w:hAnsi="Times New Roman" w:cs="Times New Roman"/>
          <w:color w:val="222222"/>
          <w:spacing w:val="4"/>
          <w:sz w:val="27"/>
          <w:szCs w:val="27"/>
          <w:lang w:eastAsia="ru-RU"/>
        </w:rPr>
        <w:t> нутритивная поддержка. Выбор метода нутритивной поддержки определяется различными видами нарушений питания у пациента. Может быть рекомендована установка назогастральной, назоинтестинальной, чрескожной, эндоскопической, лапароскопической, лапаротомной стомы, эндоскопическое стентирование при опухолевом стенозе, паллиативная лучевая терапия [24, 25].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1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Принципы проведения нутритивной поддержки представлены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А.В. и соавт. Нутритивная поддержка [26].</w:t>
      </w:r>
      <w:r w:rsidRPr="008C7027">
        <w:rPr>
          <w:rFonts w:ascii="Times New Roman" w:eastAsia="Times New Roman" w:hAnsi="Times New Roman" w:cs="Times New Roman"/>
          <w:color w:val="222222"/>
          <w:spacing w:val="4"/>
          <w:sz w:val="27"/>
          <w:szCs w:val="27"/>
          <w:lang w:eastAsia="ru-RU"/>
        </w:rPr>
        <w:t> </w:t>
      </w:r>
      <w:hyperlink r:id="rId12" w:history="1">
        <w:r w:rsidRPr="008C7027">
          <w:rPr>
            <w:rFonts w:ascii="Times New Roman" w:eastAsia="Times New Roman" w:hAnsi="Times New Roman" w:cs="Times New Roman"/>
            <w:i/>
            <w:iCs/>
            <w:color w:val="0000FF"/>
            <w:spacing w:val="4"/>
            <w:sz w:val="27"/>
            <w:szCs w:val="27"/>
            <w:u w:val="single"/>
            <w:lang w:eastAsia="ru-RU"/>
          </w:rPr>
          <w:t>https://rosoncoweb.ru/standarts/?chapter=nutritional_support</w:t>
        </w:r>
      </w:hyperlink>
    </w:p>
    <w:p w:rsidR="008C7027" w:rsidRPr="008C7027" w:rsidRDefault="008C7027" w:rsidP="008C7027">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нефротоксичности [27-29].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Детальный алгоритм диагностики, профилактики и лечения нефротоксичности представлен в Практических рекомендациях Российского общества клинической онкологии по профилактике и лечению осложнений </w:t>
      </w:r>
      <w:r w:rsidRPr="008C7027">
        <w:rPr>
          <w:rFonts w:ascii="Times New Roman" w:eastAsia="Times New Roman" w:hAnsi="Times New Roman" w:cs="Times New Roman"/>
          <w:i/>
          <w:iCs/>
          <w:color w:val="333333"/>
          <w:spacing w:val="4"/>
          <w:sz w:val="27"/>
          <w:szCs w:val="27"/>
          <w:lang w:eastAsia="ru-RU"/>
        </w:rPr>
        <w:lastRenderedPageBreak/>
        <w:t>злокачественных опухолей и противоопухолевой лекарственной терапии: Громова Е.Г. и соавт. Нефротоксичность [30].</w:t>
      </w:r>
      <w:r w:rsidRPr="008C7027">
        <w:rPr>
          <w:rFonts w:ascii="Times New Roman" w:eastAsia="Times New Roman" w:hAnsi="Times New Roman" w:cs="Times New Roman"/>
          <w:color w:val="222222"/>
          <w:spacing w:val="4"/>
          <w:sz w:val="27"/>
          <w:szCs w:val="27"/>
          <w:lang w:eastAsia="ru-RU"/>
        </w:rPr>
        <w:t> </w:t>
      </w:r>
      <w:hyperlink r:id="rId13" w:history="1">
        <w:r w:rsidRPr="008C7027">
          <w:rPr>
            <w:rFonts w:ascii="Times New Roman" w:eastAsia="Times New Roman" w:hAnsi="Times New Roman" w:cs="Times New Roman"/>
            <w:i/>
            <w:iCs/>
            <w:color w:val="0000FF"/>
            <w:spacing w:val="4"/>
            <w:sz w:val="27"/>
            <w:szCs w:val="27"/>
            <w:u w:val="single"/>
            <w:lang w:eastAsia="ru-RU"/>
          </w:rPr>
          <w:t>https://rosoncoweb.ru/standarts/?chapter=nephrotoxicity</w:t>
        </w:r>
      </w:hyperlink>
    </w:p>
    <w:p w:rsidR="008C7027" w:rsidRPr="008C7027" w:rsidRDefault="008C7027" w:rsidP="008C7027">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иммуноопосредованных нежелательных явлений [31-34].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Детальный алгоритм диагностики, профилактики и лечения иммуноопосредованных нежелательных явлений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Проценко С.А. и соавт. Иммуноопосредованные нежелательные явления [35].</w:t>
      </w:r>
      <w:r w:rsidRPr="008C7027">
        <w:rPr>
          <w:rFonts w:ascii="Times New Roman" w:eastAsia="Times New Roman" w:hAnsi="Times New Roman" w:cs="Times New Roman"/>
          <w:color w:val="222222"/>
          <w:spacing w:val="4"/>
          <w:sz w:val="27"/>
          <w:szCs w:val="27"/>
          <w:lang w:eastAsia="ru-RU"/>
        </w:rPr>
        <w:t> </w:t>
      </w:r>
      <w:hyperlink r:id="rId14" w:history="1">
        <w:r w:rsidRPr="008C7027">
          <w:rPr>
            <w:rFonts w:ascii="Times New Roman" w:eastAsia="Times New Roman" w:hAnsi="Times New Roman" w:cs="Times New Roman"/>
            <w:i/>
            <w:iCs/>
            <w:color w:val="0000FF"/>
            <w:spacing w:val="4"/>
            <w:sz w:val="27"/>
            <w:szCs w:val="27"/>
            <w:u w:val="single"/>
            <w:lang w:eastAsia="ru-RU"/>
          </w:rPr>
          <w:t>https://rosoncoweb.ru/standarts/?chapter=immunerelated_adverse_events</w:t>
        </w:r>
      </w:hyperlink>
    </w:p>
    <w:p w:rsidR="008C7027" w:rsidRPr="008C7027" w:rsidRDefault="008C7027" w:rsidP="008C7027">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мукозитов [36, 37].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Детальный алгоритм диагностики, профилактики и лечения мукозитов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Семиглазова Т.Ю. и соавт. Мукозиты [38]. </w:t>
      </w:r>
      <w:hyperlink r:id="rId15" w:history="1">
        <w:r w:rsidRPr="008C7027">
          <w:rPr>
            <w:rFonts w:ascii="Times New Roman" w:eastAsia="Times New Roman" w:hAnsi="Times New Roman" w:cs="Times New Roman"/>
            <w:i/>
            <w:iCs/>
            <w:color w:val="0000FF"/>
            <w:spacing w:val="4"/>
            <w:sz w:val="27"/>
            <w:szCs w:val="27"/>
            <w:u w:val="single"/>
            <w:lang w:eastAsia="ru-RU"/>
          </w:rPr>
          <w:t>https://rosoncoweb.ru/standarts/?chapter=mucositis</w:t>
        </w:r>
      </w:hyperlink>
    </w:p>
    <w:p w:rsidR="008C7027" w:rsidRPr="008C7027" w:rsidRDefault="008C7027" w:rsidP="008C7027">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лечение анемии, которая возникает как симптом злокачественного новообразования и как нежелательное явление при проведении противоопухолевой лекарственной терапии [39, 40].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Порядок и принципы профилактики и лечения анемии соответствуют принципам, изложенным в клинических рекомендациях «Анемия при злокачественных новообразованиях» (ID: КР624, год утверждения 2020, </w:t>
      </w:r>
      <w:hyperlink r:id="rId16" w:history="1">
        <w:r w:rsidRPr="008C7027">
          <w:rPr>
            <w:rFonts w:ascii="Times New Roman" w:eastAsia="Times New Roman" w:hAnsi="Times New Roman" w:cs="Times New Roman"/>
            <w:i/>
            <w:iCs/>
            <w:color w:val="0000FF"/>
            <w:spacing w:val="4"/>
            <w:sz w:val="27"/>
            <w:szCs w:val="27"/>
            <w:u w:val="single"/>
            <w:lang w:eastAsia="ru-RU"/>
          </w:rPr>
          <w:t>www.cr.rosminzdrav.ru</w:t>
        </w:r>
      </w:hyperlink>
      <w:r w:rsidRPr="008C7027">
        <w:rPr>
          <w:rFonts w:ascii="Times New Roman" w:eastAsia="Times New Roman" w:hAnsi="Times New Roman" w:cs="Times New Roman"/>
          <w:i/>
          <w:iCs/>
          <w:color w:val="333333"/>
          <w:spacing w:val="4"/>
          <w:sz w:val="27"/>
          <w:szCs w:val="27"/>
          <w:lang w:eastAsia="ru-RU"/>
        </w:rPr>
        <w:t>) и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Анемия [41].</w:t>
      </w:r>
    </w:p>
    <w:p w:rsidR="008C7027" w:rsidRPr="008C7027" w:rsidRDefault="008C7027" w:rsidP="008C702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При проведении лечения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лечение синдрома анорексии-кахексии [42].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Детальный алгоритм диагностики и лечения синдрома анорексии-кахексии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А.В. и соавт. Практические рекомендации по лечению синдрома анорексии-кахексии у онкологических больных [43].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7" w:history="1">
        <w:r w:rsidRPr="008C7027">
          <w:rPr>
            <w:rFonts w:ascii="Times New Roman" w:eastAsia="Times New Roman" w:hAnsi="Times New Roman" w:cs="Times New Roman"/>
            <w:i/>
            <w:iCs/>
            <w:color w:val="0000FF"/>
            <w:spacing w:val="4"/>
            <w:sz w:val="27"/>
            <w:szCs w:val="27"/>
            <w:u w:val="single"/>
            <w:lang w:eastAsia="ru-RU"/>
          </w:rPr>
          <w:t>https://rosoncoweb.ru/standarts/?chapter=anorexia-cachexia</w:t>
        </w:r>
      </w:hyperlink>
    </w:p>
    <w:p w:rsidR="008C7027" w:rsidRPr="008C7027" w:rsidRDefault="008C7027" w:rsidP="008C7027">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пациентам цикловой противоопухолевой лекарственной терапии с включением непрерывных длительных (свыше 6 часов) инфузий противоопухолевых препаратов (фторурацила**, доксорубицина** и т.д.) или при неудовлетворительном состоянии периферических вен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использование центрального венозного доступа и инфузионных помп [44].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Выбор варианта центрального доступа определяется запланированной длительностью всего курса лечения, предпочтениями пациента, анатомическими особенностями. При длительных (свыше 3 месяцев) курсах терапии наиболее удобным является имплантация подкожной венозной порт-системы. При меньших сроках альтернативой может служить периферически имплантируемый центральный венозный катетер. Принципы использования центрального венозного доступа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Исянгулова А.З. и соавт. Центральный венозный доступ [45]. </w:t>
      </w:r>
      <w:hyperlink r:id="rId18" w:history="1">
        <w:r w:rsidRPr="008C7027">
          <w:rPr>
            <w:rFonts w:ascii="Times New Roman" w:eastAsia="Times New Roman" w:hAnsi="Times New Roman" w:cs="Times New Roman"/>
            <w:i/>
            <w:iCs/>
            <w:color w:val="0000FF"/>
            <w:spacing w:val="4"/>
            <w:sz w:val="27"/>
            <w:szCs w:val="27"/>
            <w:u w:val="single"/>
            <w:lang w:eastAsia="ru-RU"/>
          </w:rPr>
          <w:t>https://rosoncoweb.ru/standarts/?chapter=central_venous_access</w:t>
        </w:r>
      </w:hyperlink>
    </w:p>
    <w:p w:rsidR="008C7027" w:rsidRPr="008C7027" w:rsidRDefault="008C7027" w:rsidP="008C7027">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экстравазатов противоопухолевых препаратов. При планировании противоопухолевой лекарственной терапии важен выбор сосудистого доступа для профилактики экстравазации противоопухолевых препаратов [46].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Алгоритмы выбора сосудистого доступа, профилактики, диагностики и лечения эксравазации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Буйденок Ю.В. и соавт. Экстравазация противоопухолевых препаратов [47]. </w:t>
      </w:r>
      <w:hyperlink r:id="rId19" w:history="1">
        <w:r w:rsidRPr="008C7027">
          <w:rPr>
            <w:rFonts w:ascii="Times New Roman" w:eastAsia="Times New Roman" w:hAnsi="Times New Roman" w:cs="Times New Roman"/>
            <w:i/>
            <w:iCs/>
            <w:color w:val="0000FF"/>
            <w:spacing w:val="4"/>
            <w:sz w:val="27"/>
            <w:szCs w:val="27"/>
            <w:u w:val="single"/>
            <w:lang w:eastAsia="ru-RU"/>
          </w:rPr>
          <w:t>https://rosoncoweb.ru/standarts/?chapter=extravasation_antitumor_drugs</w:t>
        </w:r>
      </w:hyperlink>
    </w:p>
    <w:p w:rsidR="008C7027" w:rsidRPr="008C7027" w:rsidRDefault="008C7027" w:rsidP="008C7027">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противоопухолевого лечения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лечение хронического болевого синдрома [48].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Алгоритмы диагностики и лечения хронического болевого синдрома у онкологических больных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Когония Л.М. и соавт. Хронический болевой синдром [49]. </w:t>
      </w:r>
      <w:hyperlink r:id="rId20" w:history="1">
        <w:r w:rsidRPr="008C7027">
          <w:rPr>
            <w:rFonts w:ascii="Times New Roman" w:eastAsia="Times New Roman" w:hAnsi="Times New Roman" w:cs="Times New Roman"/>
            <w:i/>
            <w:iCs/>
            <w:color w:val="0000FF"/>
            <w:spacing w:val="4"/>
            <w:sz w:val="27"/>
            <w:szCs w:val="27"/>
            <w:u w:val="single"/>
            <w:lang w:eastAsia="ru-RU"/>
          </w:rPr>
          <w:t>https://rosoncoweb.ru/standarts/?chapter=chronic_pain_syndrome</w:t>
        </w:r>
      </w:hyperlink>
    </w:p>
    <w:p w:rsidR="008C7027" w:rsidRPr="008C7027" w:rsidRDefault="008C7027" w:rsidP="008C7027">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инфузионных реакций [50].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Алгоритмы профилактики, диагностики и лечения инфузионных реакций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Инфузионные реакции [51]. </w:t>
      </w:r>
      <w:hyperlink r:id="rId21" w:history="1">
        <w:r w:rsidRPr="008C7027">
          <w:rPr>
            <w:rFonts w:ascii="Times New Roman" w:eastAsia="Times New Roman" w:hAnsi="Times New Roman" w:cs="Times New Roman"/>
            <w:i/>
            <w:iCs/>
            <w:color w:val="0000FF"/>
            <w:spacing w:val="4"/>
            <w:sz w:val="27"/>
            <w:szCs w:val="27"/>
            <w:u w:val="single"/>
            <w:lang w:eastAsia="ru-RU"/>
          </w:rPr>
          <w:t>https://rosoncoweb.ru/standarts/?chapter=infusion_reactions</w:t>
        </w:r>
      </w:hyperlink>
    </w:p>
    <w:p w:rsidR="008C7027" w:rsidRPr="008C7027" w:rsidRDefault="008C7027" w:rsidP="008C7027">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мониторинг и лечение реактивации/обострения хронических вирусных гепатитов [52].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xml:space="preserve"> Принципы мониторинга и лечебной тактики у онкологических пациентов с хроническим вирусным гепатитом изложены в Практических Рекомендациях Российского общества клинической онкологии по </w:t>
      </w:r>
      <w:r w:rsidRPr="008C7027">
        <w:rPr>
          <w:rFonts w:ascii="Times New Roman" w:eastAsia="Times New Roman" w:hAnsi="Times New Roman" w:cs="Times New Roman"/>
          <w:i/>
          <w:iCs/>
          <w:color w:val="333333"/>
          <w:spacing w:val="4"/>
          <w:sz w:val="27"/>
          <w:szCs w:val="27"/>
          <w:lang w:eastAsia="ru-RU"/>
        </w:rPr>
        <w:lastRenderedPageBreak/>
        <w:t>профилактике и лечению осложнений злокачественных опухолей и противоопухолевой лекарственной терапии: Феоктистова П.С. и соавт. Хронические вирусные гепатиты [53]. </w:t>
      </w:r>
      <w:hyperlink r:id="rId22" w:history="1">
        <w:r w:rsidRPr="008C7027">
          <w:rPr>
            <w:rFonts w:ascii="Times New Roman" w:eastAsia="Times New Roman" w:hAnsi="Times New Roman" w:cs="Times New Roman"/>
            <w:i/>
            <w:iCs/>
            <w:color w:val="0000FF"/>
            <w:spacing w:val="4"/>
            <w:sz w:val="27"/>
            <w:szCs w:val="27"/>
            <w:u w:val="single"/>
            <w:lang w:eastAsia="ru-RU"/>
          </w:rPr>
          <w:t>https://rosoncoweb.ru/standarts/?chapter=chronic_viral_hepatitis</w:t>
        </w:r>
      </w:hyperlink>
    </w:p>
    <w:p w:rsidR="008C7027" w:rsidRPr="008C7027" w:rsidRDefault="008C7027" w:rsidP="008C7027">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неврологических осложнений [54].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Принципы диагностики, профилактики и лечения неврологических осложнений противоопухолевой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Латипова Д.Х. и соавт. Неврологические осложнения [55]. </w:t>
      </w:r>
      <w:hyperlink r:id="rId23" w:history="1">
        <w:r w:rsidRPr="008C7027">
          <w:rPr>
            <w:rFonts w:ascii="Times New Roman" w:eastAsia="Times New Roman" w:hAnsi="Times New Roman" w:cs="Times New Roman"/>
            <w:i/>
            <w:iCs/>
            <w:color w:val="0000FF"/>
            <w:spacing w:val="4"/>
            <w:sz w:val="27"/>
            <w:szCs w:val="27"/>
            <w:u w:val="single"/>
            <w:lang w:eastAsia="ru-RU"/>
          </w:rPr>
          <w:t>https://rosoncoweb.ru/standarts/?chapter=neurological_complication</w:t>
        </w:r>
      </w:hyperlink>
    </w:p>
    <w:p w:rsidR="008C7027" w:rsidRPr="008C7027" w:rsidRDefault="008C7027" w:rsidP="008C7027">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проведении противоопухолевой гормональной терапии пациентам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профилактика и лечение гормоноопосредованных побочных явлений [56].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i/>
          <w:iCs/>
          <w:color w:val="333333"/>
          <w:spacing w:val="4"/>
          <w:sz w:val="27"/>
          <w:szCs w:val="27"/>
          <w:lang w:eastAsia="ru-RU"/>
        </w:rPr>
        <w:t> Принципы диагностики, профилактики и лечения гормоноопосредованных побочных явлений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Стенина М.Б. и соавт. Гормоноопосредованные побочные явления [57]. </w:t>
      </w:r>
      <w:hyperlink r:id="rId24" w:history="1">
        <w:r w:rsidRPr="008C7027">
          <w:rPr>
            <w:rFonts w:ascii="Times New Roman" w:eastAsia="Times New Roman" w:hAnsi="Times New Roman" w:cs="Times New Roman"/>
            <w:i/>
            <w:iCs/>
            <w:color w:val="0000FF"/>
            <w:spacing w:val="4"/>
            <w:sz w:val="27"/>
            <w:szCs w:val="27"/>
            <w:u w:val="single"/>
            <w:lang w:eastAsia="ru-RU"/>
          </w:rPr>
          <w:t>https://rosoncoweb.ru/standarts/?chapter=hormone-mediated_side_events</w:t>
        </w:r>
      </w:hyperlink>
    </w:p>
    <w:p w:rsidR="008C7027" w:rsidRPr="008C7027" w:rsidRDefault="008C7027" w:rsidP="008C7027">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Пациентам при раке поджелудочной железы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заместительная ферментная терапия в случае секреторной недостаточности [58].</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b/>
          <w:bCs/>
          <w:i/>
          <w:iCs/>
          <w:color w:val="333333"/>
          <w:spacing w:val="4"/>
          <w:sz w:val="27"/>
          <w:szCs w:val="27"/>
          <w:lang w:eastAsia="ru-RU"/>
        </w:rPr>
        <w:t>.</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Алгоритмы диагностики и лечения внешнесекреторной недостаточности при раке поджелудочной железы изложены в Практических Рекомендациях Российского общества клинической онкологии по профилактике и лечению осложнений злокачественных опухолей и </w:t>
      </w:r>
      <w:r w:rsidRPr="008C7027">
        <w:rPr>
          <w:rFonts w:ascii="Times New Roman" w:eastAsia="Times New Roman" w:hAnsi="Times New Roman" w:cs="Times New Roman"/>
          <w:i/>
          <w:iCs/>
          <w:color w:val="333333"/>
          <w:spacing w:val="4"/>
          <w:sz w:val="27"/>
          <w:szCs w:val="27"/>
          <w:lang w:eastAsia="ru-RU"/>
        </w:rPr>
        <w:lastRenderedPageBreak/>
        <w:t>противоопухолевой лекарственной терапии: Сытов А.В. и соавт. Заместительная ферментная терапия при раке поджелудочной железы [59]. </w:t>
      </w:r>
      <w:hyperlink r:id="rId25" w:history="1">
        <w:r w:rsidRPr="008C7027">
          <w:rPr>
            <w:rFonts w:ascii="Times New Roman" w:eastAsia="Times New Roman" w:hAnsi="Times New Roman" w:cs="Times New Roman"/>
            <w:i/>
            <w:iCs/>
            <w:color w:val="0000FF"/>
            <w:spacing w:val="4"/>
            <w:sz w:val="27"/>
            <w:szCs w:val="27"/>
            <w:u w:val="single"/>
            <w:lang w:eastAsia="ru-RU"/>
          </w:rPr>
          <w:t>https://rosoncoweb.ru/standarts/?chapter=pancreatic_enzyme_replacement_therapy</w:t>
        </w:r>
      </w:hyperlink>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C7027" w:rsidRPr="008C7027" w:rsidRDefault="008C7027" w:rsidP="008C7027">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 наличии показаний не отказывать пациентам, завершившим лечение по поводу рака ободочной кишки в проведении заместительной гормональной терапии, использовании оральных контрацептивов, любых видов санаторно-курортного лечения, физиотерапии [223-230].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Комментарий:</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отсутствуют доказательные данные или известные механизмы, которые могут привести к повышению риска прогрессирования рака ободочной кишки при проведении заместительной гормональной терапии, любых видов санаторно-курортного лечения, физиотерапии. Данный тезис не отменяет возможных противопоказаний, связанных с наличием длительно незаживающих ран, очагов хронического воспаления, повышенного риска развития грыж и других факторов, которые могут быть связаны с перенесённым ранее лечением. Данные противопоказания являются общими для ран, очагов воспаления любой этиологии. Само наличие в анамнезе рака ободочной кишки не является противопоказанием к проведению каких бы то ни было методов лекарственного лечения, физиотерапии, санаторно-курортного лечения. При оценке показаний к проведению любых видов неонкологического лечения и реабилитации следует ориентироваться только на имеющиеся у пациента проблемы со здоровьем, вне зависимости от их этиологии, но не на факт наличия онкологического анамнеза.</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 xml:space="preserve">Назначение санаторно-курортного лечения, физиотерапии, лекарственного лечения по </w:t>
      </w:r>
      <w:r w:rsidRPr="008C7027">
        <w:rPr>
          <w:rFonts w:ascii="Times New Roman" w:eastAsia="Times New Roman" w:hAnsi="Times New Roman" w:cs="Times New Roman"/>
          <w:i/>
          <w:iCs/>
          <w:color w:val="333333"/>
          <w:spacing w:val="4"/>
          <w:sz w:val="27"/>
          <w:szCs w:val="27"/>
          <w:lang w:eastAsia="ru-RU"/>
        </w:rPr>
        <w:lastRenderedPageBreak/>
        <w:t>поводу сопутствующих заболеваний, включая заместительную гормональную терапию и оральные контрацептивы, не требует консультации врача-онколога.</w:t>
      </w:r>
      <w:r w:rsidRPr="008C7027">
        <w:rPr>
          <w:rFonts w:ascii="Times New Roman" w:eastAsia="Times New Roman" w:hAnsi="Times New Roman" w:cs="Times New Roman"/>
          <w:color w:val="222222"/>
          <w:spacing w:val="4"/>
          <w:sz w:val="27"/>
          <w:szCs w:val="27"/>
          <w:lang w:eastAsia="ru-RU"/>
        </w:rPr>
        <w:t>                    </w:t>
      </w:r>
    </w:p>
    <w:p w:rsidR="008C7027" w:rsidRPr="008C7027" w:rsidRDefault="008C7027" w:rsidP="008C7027">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Во время предреабилитации </w:t>
      </w:r>
      <w:r w:rsidRPr="008C7027">
        <w:rPr>
          <w:rFonts w:ascii="Times New Roman" w:eastAsia="Times New Roman" w:hAnsi="Times New Roman" w:cs="Times New Roman"/>
          <w:b/>
          <w:bCs/>
          <w:color w:val="222222"/>
          <w:spacing w:val="4"/>
          <w:sz w:val="27"/>
          <w:szCs w:val="27"/>
          <w:lang w:eastAsia="ru-RU"/>
        </w:rPr>
        <w:t>рекомендовано</w:t>
      </w:r>
      <w:r w:rsidRPr="008C7027">
        <w:rPr>
          <w:rFonts w:ascii="Times New Roman" w:eastAsia="Times New Roman" w:hAnsi="Times New Roman" w:cs="Times New Roman"/>
          <w:color w:val="222222"/>
          <w:spacing w:val="4"/>
          <w:sz w:val="27"/>
          <w:szCs w:val="27"/>
          <w:lang w:eastAsia="ru-RU"/>
        </w:rPr>
        <w:t> проведение лечебной физкультуры (ЛФК), психологической и нутритивной поддержки, информирования пациентов [92–95].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программа комплексной реабилитации пациентов с колоректальным раком, в которую входят занятия ЛФК дома (комплекс физических упражнений средней интенсивности, включающий как аэробную, так и анаэробную нагрузку), консультирование по вопросам питания, работа с психологом для преодоления тревоги и депрессии (начинается за 28 дней до операции и продолжается в течение 8 нед после), значительно улучшает качество жизни в послеоперационном периоде. Психологическая реабилитация с использованием методик борьбы со стрессом (релаксация, формирование позитивного настроя), длящаяся в течение 40-60 мин 6 дней в неделю, начатая за 5 дней до операции и продолжающаяся 30 дней после нее, значительно улучшает качество жизни.</w:t>
      </w:r>
    </w:p>
    <w:p w:rsidR="008C7027" w:rsidRPr="008C7027" w:rsidRDefault="008C7027" w:rsidP="008C7027">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применять тактики реабилитации fast track («быстрый путь») и ERAS (early rehabilitation after surgery – ранняя реабилитация после операции), предполагающие комплексное обезболивание, раннее энтеральное питание, отказ от рутинного применения зондов и дренажей, раннюю мобилизацию (активизацию и вертикализацию) пациентов уже с 1-2-х суток после операции [96].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применение побудительной спирометрии, подъем головного конца кровати, раннее начало дыхательной гимнастики и ранняя активизация пациентов помогает предотвращать застойные явления в легких в послеоперационном периоде [97].</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i/>
          <w:iCs/>
          <w:color w:val="333333"/>
          <w:spacing w:val="4"/>
          <w:sz w:val="27"/>
          <w:szCs w:val="27"/>
          <w:lang w:eastAsia="ru-RU"/>
        </w:rPr>
        <w:t xml:space="preserve">Для профилактики снижения мышечной массы, возникновения легочных и тромботических осложнений показано пребывание в кровати в течение 2 ч до операции и не более 6 ч после нее. Дыхательная гимнастика начинается сразу после нормализации сознания пациента после операции. Тактике дыхательной гимнастики в послеоперационном периоде пациента обучают до операции. После оперативного лечения пациентам с колоректальным раком </w:t>
      </w:r>
      <w:r w:rsidRPr="008C7027">
        <w:rPr>
          <w:rFonts w:ascii="Times New Roman" w:eastAsia="Times New Roman" w:hAnsi="Times New Roman" w:cs="Times New Roman"/>
          <w:i/>
          <w:iCs/>
          <w:color w:val="333333"/>
          <w:spacing w:val="4"/>
          <w:sz w:val="27"/>
          <w:szCs w:val="27"/>
          <w:lang w:eastAsia="ru-RU"/>
        </w:rPr>
        <w:lastRenderedPageBreak/>
        <w:t>рекомендовано диафрагмальное дыхание, которое способствует улучшению циркуляции лимфы в организме и позволяет вентилировать нижние доли легких, которые при грудном типе дыхания обычно наполняются воздухом недостаточно.</w:t>
      </w:r>
    </w:p>
    <w:p w:rsidR="008C7027" w:rsidRPr="008C7027" w:rsidRDefault="008C7027" w:rsidP="008C7027">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Во время 2-го этапа реабилитации при лечении синдрома передней резекции прямой кишки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проводить функциональное обследование, включающее применение методик измерения сокращения прямой кишки и сфинктера ануса (аноректальной зоны) [98–101, 118, 119].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 </w:t>
      </w:r>
      <w:r w:rsidRPr="008C7027">
        <w:rPr>
          <w:rFonts w:ascii="Times New Roman" w:eastAsia="Times New Roman" w:hAnsi="Times New Roman" w:cs="Times New Roman"/>
          <w:i/>
          <w:iCs/>
          <w:color w:val="333333"/>
          <w:spacing w:val="4"/>
          <w:sz w:val="27"/>
          <w:szCs w:val="27"/>
          <w:lang w:eastAsia="ru-RU"/>
        </w:rPr>
        <w:t>при данном синдроме</w:t>
      </w:r>
      <w:r w:rsidRPr="008C7027">
        <w:rPr>
          <w:rFonts w:ascii="Times New Roman" w:eastAsia="Times New Roman" w:hAnsi="Times New Roman" w:cs="Times New Roman"/>
          <w:b/>
          <w:bCs/>
          <w:i/>
          <w:iCs/>
          <w:color w:val="333333"/>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рекомендованы выполнение комплекса упражнений для укрепления мышц тазового дна, biofeedback-терапия, тибиальная нейромодуляция, электростимуляция мышц тазового дна и промежности [98–101]. При нарушении мочеиспускания и эректильной дисфункции показаны упражнения для укрепления мышц тазового дна, вiofeedback-терапия, тибиальная нейромодуляция, электростимуляция мышц тазового дна и промежности. При возникновении лимфедемы нижних конечностей следует проводить полную противоотечную терапию, включающую ношение компрессионного трикотажа, выполнение комплекса ЛФК (Лечебная физкультура при заболеваниях толстой кишки), уход за кожей. При возникновении лимфедемы нижних конечностей также нужно назначить перемежающуюся пневмокомпрессию конечностей (Прерывистая пневмокомпрессия нижних конечностей) в сочетании с полной противоотечной терапией, низкоинтенсивную лазеротерапию в сочетании с полной противоотечной терапией, электротерапию в сочетании с полной противоотечной терапией, низкочастотную магнитотерапию в сочетании с полной противоотечной терапией, глубокую осцилляцию (массаж переменным электрическим полем (Воздействие переменного электростатического поля)) в сочетании с полной противоотечной терапией.</w:t>
      </w:r>
    </w:p>
    <w:p w:rsidR="008C7027" w:rsidRPr="008C7027" w:rsidRDefault="008C7027" w:rsidP="008C7027">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Во время проведения химиотерапии </w:t>
      </w: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выполнение комплекса ЛФК (Лечебная физкультура при заболеваниях толстой кишки), применение методик релаксации, включающих диафрагмальное дыхание и прогрессирующую мышечную релаксацию, рассмотреть возможность назначения курса массажа [102–104].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Комментарии: </w:t>
      </w:r>
      <w:r w:rsidRPr="008C7027">
        <w:rPr>
          <w:rFonts w:ascii="Times New Roman" w:eastAsia="Times New Roman" w:hAnsi="Times New Roman" w:cs="Times New Roman"/>
          <w:i/>
          <w:iCs/>
          <w:color w:val="333333"/>
          <w:spacing w:val="4"/>
          <w:sz w:val="27"/>
          <w:szCs w:val="27"/>
          <w:lang w:eastAsia="ru-RU"/>
        </w:rPr>
        <w:t>объем и интенсивность ЛФК подбираются индивидуально, исходя из степени слабости (легкая, средняя, тяжелая). При улучшении общего состояния возможно увеличить интенсивность ЛФК. Рекомендуется сочетание аэробной нагрузки и силовой.</w:t>
      </w:r>
    </w:p>
    <w:p w:rsidR="008C7027" w:rsidRPr="008C7027" w:rsidRDefault="008C7027" w:rsidP="008C702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Во время 3-го этапа реабилитации рекомендовано ведение активного образа жизни, выполнение комплексов ЛФК (Лечебная физкультура при заболеваниях толстой кишки) после комбинированного лечения рака ободочной кишки [105–109].</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выполнение комплекса ЛФК пациентами с рецидивом рака снижает риск общей смертности на 29%. Выполнение комплекса ЛФК и физическая активность пациентов с диссеминированным опухолевым процессом уменьшают слабость, увеличивают мобильность, снижают уровень депрессии и улучшают качество жизни.</w:t>
      </w:r>
    </w:p>
    <w:p w:rsidR="008C7027" w:rsidRPr="008C7027" w:rsidRDefault="008C7027" w:rsidP="008C7027">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Не рекомендуется</w:t>
      </w:r>
      <w:r w:rsidRPr="008C7027">
        <w:rPr>
          <w:rFonts w:ascii="Times New Roman" w:eastAsia="Times New Roman" w:hAnsi="Times New Roman" w:cs="Times New Roman"/>
          <w:color w:val="222222"/>
          <w:spacing w:val="4"/>
          <w:sz w:val="27"/>
          <w:szCs w:val="27"/>
          <w:lang w:eastAsia="ru-RU"/>
        </w:rPr>
        <w:t> ограничивать пациентов с раком толстой кишки в применении методов реабилитации в рамках курортологического лечения при отсутствии данных, свидетельствующих о их негативном влиянии на здоровье.</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Комментарий:</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в настоящее время</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отсутствуют какие-либо данные, в том числе опубликованные исследования, свидетельствующие о повышении риска прогрессирования опухолевого процесса при использовании данных методов реабилитации.</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C7027" w:rsidRPr="008C7027" w:rsidRDefault="008C7027" w:rsidP="008C7027">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xml:space="preserve"> соблюдать следующую периодичность и использовать следующие методы наблюдения после завершения лечения по поводу рака толстой кишки: в первые 1-2 года физикальный осмотр и сбор жалоб каждые 3-6 мес; через 3-5 лет с момента операции – 1 раз в 6-12 мес. Через 5 лет и </w:t>
      </w:r>
      <w:r w:rsidRPr="008C7027">
        <w:rPr>
          <w:rFonts w:ascii="Times New Roman" w:eastAsia="Times New Roman" w:hAnsi="Times New Roman" w:cs="Times New Roman"/>
          <w:color w:val="222222"/>
          <w:spacing w:val="4"/>
          <w:sz w:val="27"/>
          <w:szCs w:val="27"/>
          <w:lang w:eastAsia="ru-RU"/>
        </w:rPr>
        <w:lastRenderedPageBreak/>
        <w:t>более с момента операции визиты проводятся ежегодно или при появлении жалоб. Объем обследования:</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анамнез и физикальное обследование;</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исследование уровня РЭА в крови каждые 3 мес в первые 2 года и каждые 6 мес в последующие 3 года (если РЭА был исходно повышен);</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колоноскопия через 1 и 3 года после резекции первичной опухоли, далее каждые 5 лет для выявления метахронной опухоли или удаления обнаруженных полипов толстой кишки (Удаление полипа толстой кишки эндоскопическое). При выявлении полипов колоноскопия выполняется ежегодно (В). В случае если до начала лечения колоноскопия не была выполнена по причине стенозирующей опухоли, ее производят в течение 3-6 мес после резекции;</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УЗИ органов брюшной полости и малого таза (Ультразвуковое исследование органов малого таза комплексное (трансвагинальное и трансабдоминальное) каждые 3-6 мес в зависимости от риска прогрессирования;</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рентгенография легких или прицельная рентгенография органов грудной клетки каждые 12 мес;</w:t>
      </w:r>
    </w:p>
    <w:p w:rsidR="008C7027" w:rsidRPr="008C7027" w:rsidRDefault="008C7027" w:rsidP="008C702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КТ органов грудной и брюшной полости с внутривенным болюсным контрастированием однократно через 12-18 мес после операции [16, 59, 120].</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Комментарии:</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задачей наблюдения является раннее выявление прогрессирования заболевания с целью раннего начала химиотерапии или хирургического лечения резектабельных метастатических очагов, рецидивных опухолей, а также выявление метахронных опухолей ободочной кишки (приложение А6). Профилактику и лечение осложнений, вызванных системным противоопухолевым лечением и лучевой терапией, целесообразно проводить по соответствующим рекомендациям.</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 323 от 21.11.2011 (ред. от 25.05.2019) «Об основах охраны здоровья граждан в Российской Федерации» организуется и оказывается: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выявлении у пациента рака ободочной кишки и ректосигмоидного отдела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w:t>
      </w:r>
      <w:r w:rsidRPr="008C7027">
        <w:rPr>
          <w:rFonts w:ascii="Times New Roman" w:eastAsia="Times New Roman" w:hAnsi="Times New Roman" w:cs="Times New Roman"/>
          <w:color w:val="222222"/>
          <w:spacing w:val="4"/>
          <w:sz w:val="27"/>
          <w:szCs w:val="27"/>
          <w:lang w:eastAsia="ru-RU"/>
        </w:rPr>
        <w:lastRenderedPageBreak/>
        <w:t>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выполнение иных исследований, необходимых для установления диагноза, включая распространенность онкологического процесса и стадию заболевания.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медицинскую организацию, оказывающую медицинскую помощь пациентам с онкологическими заболеваниями.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выявлении рака ободочной кишки и ректосигмоидного отдела или подозрении на него в ходе оказания скорой медицинской помощи пациента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w:t>
      </w:r>
      <w:r w:rsidRPr="008C7027">
        <w:rPr>
          <w:rFonts w:ascii="Times New Roman" w:eastAsia="Times New Roman" w:hAnsi="Times New Roman" w:cs="Times New Roman"/>
          <w:color w:val="222222"/>
          <w:spacing w:val="4"/>
          <w:sz w:val="27"/>
          <w:szCs w:val="27"/>
          <w:lang w:eastAsia="ru-RU"/>
        </w:rPr>
        <w:lastRenderedPageBreak/>
        <w:t>или первичного онкологического отделения) и оказания специализированной, в том числе высокотехнологичной, медицинской помощи.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раком прямой кишки, не должен превышать сроков, установленных в программе государственных гарантий бесплатного оказания гражданами медицинской помощи, утверждаемой Правительством Российской Федерации  7 календарных дней с даты морфологической верификации злокачественного.</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медицинских организациях, оказывающих медицинскую помощь пациентам с раком ободочной кишки и ректосигмоидного отдела,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раком ободочной кишки и ректосигмоидного отдела,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Показаниями к госпитализации в медицинскую организацию в экстренной или неотложной форме являются: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1) наличие осложнений рака ободочной кишки и ректосигмоидного отдела, требующих оказания специализированной медицинской помощи в экстренной и неотложной форме;</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лучевая терапия, лекарственная терапия и т. д.) рака ободочной кишки и ректосигмоидного отдела.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Показаниями к госпитализации в медицинскую организацию в плановой форме являются: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(хирургическому вмешательству, лучевой терапии, в том числе контактной, дистанционной и лучевой терапии других видов, лекарственной терапии и др.), требующему наблюдения в условиях круглосуточного или дневного стационара.</w:t>
      </w:r>
    </w:p>
    <w:p w:rsidR="008C7027" w:rsidRPr="008C7027" w:rsidRDefault="008C7027" w:rsidP="008C7027">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Рекомендуется</w:t>
      </w:r>
      <w:r w:rsidRPr="008C7027">
        <w:rPr>
          <w:rFonts w:ascii="Times New Roman" w:eastAsia="Times New Roman" w:hAnsi="Times New Roman" w:cs="Times New Roman"/>
          <w:color w:val="222222"/>
          <w:spacing w:val="4"/>
          <w:sz w:val="27"/>
          <w:szCs w:val="27"/>
          <w:lang w:eastAsia="ru-RU"/>
        </w:rPr>
        <w:t> перед операцией у всех больных раком ободочной кишки получить информированное согласие на проведение хирургического вмешательства и формирование колостомы (даже если это не входит в план операции) [33, 110].</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Показаниями к выписке пациента из медицинской организации являются: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3) необходимость перевода пациента в другую медицинскую организацию по соответствующему профилю оказания медицинской помощи.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составляется после предварительной консультации по предоставленным медицинским документам и/или после предварительного осмотра пациента врачами-специалистами медицинской организации, в которую планируется перевод.</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Дополнительной информации нет.</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989"/>
        <w:gridCol w:w="10951"/>
        <w:gridCol w:w="2084"/>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Выполнено</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для морфологической верификации диагноза до начала лечения, за исключением случаев экстренного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Выполнена оценка факторов риска прогрессирования у пациентов со II стадией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Назначено исследование микросателлитных повторов ДНК в биопсийном (операционном) материале методом ПЦР или ИГХ при II стадии болезни с факторами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Назначено определение мутации генов </w:t>
            </w:r>
            <w:r w:rsidRPr="008C7027">
              <w:rPr>
                <w:rFonts w:ascii="Verdana" w:eastAsia="Times New Roman" w:hAnsi="Verdana" w:cs="Times New Roman"/>
                <w:i/>
                <w:iCs/>
                <w:color w:val="333333"/>
                <w:sz w:val="27"/>
                <w:szCs w:val="27"/>
                <w:lang w:eastAsia="ru-RU"/>
              </w:rPr>
              <w:t>RAS</w:t>
            </w:r>
            <w:r w:rsidRPr="008C7027">
              <w:rPr>
                <w:rFonts w:ascii="Verdana" w:eastAsia="Times New Roman" w:hAnsi="Verdana" w:cs="Times New Roman"/>
                <w:sz w:val="27"/>
                <w:szCs w:val="27"/>
                <w:lang w:eastAsia="ru-RU"/>
              </w:rPr>
              <w:t>, </w:t>
            </w:r>
            <w:r w:rsidRPr="008C7027">
              <w:rPr>
                <w:rFonts w:ascii="Verdana" w:eastAsia="Times New Roman" w:hAnsi="Verdana" w:cs="Times New Roman"/>
                <w:i/>
                <w:iCs/>
                <w:color w:val="333333"/>
                <w:sz w:val="27"/>
                <w:szCs w:val="27"/>
                <w:lang w:eastAsia="ru-RU"/>
              </w:rPr>
              <w:t>BRAF</w:t>
            </w:r>
            <w:r w:rsidRPr="008C7027">
              <w:rPr>
                <w:rFonts w:ascii="Verdana" w:eastAsia="Times New Roman" w:hAnsi="Verdana" w:cs="Times New Roman"/>
                <w:sz w:val="27"/>
                <w:szCs w:val="27"/>
                <w:lang w:eastAsia="ru-RU"/>
              </w:rPr>
              <w:t> и статуса MSI и кспрессии или амплификации Her2 (при метастатической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 xml:space="preserve">Для пациентов с изолированным метастатическим поражением печени/легких проведен врачебный консилиум с участием торакального врача-хирурга или абдоминального врача-хирурга, или врача-хирурга, </w:t>
            </w:r>
            <w:r w:rsidRPr="008C7027">
              <w:rPr>
                <w:rFonts w:ascii="Verdana" w:eastAsia="Times New Roman" w:hAnsi="Verdana" w:cs="Times New Roman"/>
                <w:sz w:val="27"/>
                <w:szCs w:val="27"/>
                <w:lang w:eastAsia="ru-RU"/>
              </w:rPr>
              <w:lastRenderedPageBreak/>
              <w:t>специализирующемися на хирургии печени или легких, с целью оценки резектабельности метастатических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Инфузии фторурацила** выполнены через центральный венозный доступ (если пациенту проводится 46-часовая в/в инфузия фторурацила**)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и/или иммуногистохимическое исследование при выполнении патолого-анатомического исследования препарата удаленных тканей (при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Проведен 1-й курс адъювантной химиотерапии не позднее 8 недель с даты хирургического вмешательства (при проведении адъювантной химиотерапии 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Выполнена тотальная колоноскопия, или ирригоскопия, или КТ-колонография при невозможности выполнения тотальной колоноскопии до операции или в течение 3-6 мес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Выполнено компьютерная томография органов брюшной полости, или магнитно-резонансная томография органов брюшной полости с внутривенным контрастированием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Выполнена компьютерная томография органов грудной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да/нет</w:t>
            </w:r>
          </w:p>
        </w:tc>
      </w:tr>
    </w:tbl>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Список литературы</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Terzíc J., Grivennikov S., Karin E., Karin M. Inflammation and colon cancer. Gastroenterology 2010,138:2101–14.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Johns L.E., Houlston R.S. A systematic review and meta-analysis of familial colorectal cancer risk. Am J Gastroenterol 2001;96:2992–3003.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Tenesa A., Dunlop M.G. New insights into the aetiology of colorectal cancer from genome-wide association studies. Nat Rev Genet 2009;10:353–8.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Huxley R.R., Ansary-Moghaddam A., Clifton P. et al. The impact of dietary and lifestyle risk factors on risk of colorectal cancer: A quantitative overview of the epidemiological evidence. Int J Cancer 2009;125:171–80.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Watson A.J.M., Collins P.D. Colon cancer: a civilization disorder. Dig Dis 2011;29:222–8.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Meyerhardt J.A., Catalano P.J., Haller D.G. et al. Impact of diabetes mellitus on outcomes in patients with colon cancer. J Clin Oncol 2003;21:433–40.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Hjartåker A., Aagnes B., Robsahm T.E. et al. Subsite-specific dietary risk factors for colorectal cancer: a review of cohort studies. J Oncol 2013;2013:703854.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Theodoratou E., Farrington S.M., Tenesa A. et al. Associations between dietary and lifestyle risk factors and colorectal cancer in the Scottish population. Eur J Cancer Prev 2014;23:8–17.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Rasool S., Kadla S.A., Rasool V., Ganai B.A. A comparative overview of general risk factors associated with the incidence of colorectal cancer. Tumor Biol 2013;34:2469–76.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Esposito K., Chiodini P., Capuano A. et al. Colorectal cancer association with metabolic syndrome and its components: a systematic review with meta-analysis. Endocrine 2013;44:634–47.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Larsson S.C., Orsini N., Wolk A. Diabetes mellitus and risk of colorectal cancer: a meta-analysis. J Natl Cancer Inst 2005;97:1679–87.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Raskov H., Pommergaard H.C., Burcharth J., Rosenberg J. Colorectal carcinogenesis – update and perspectives. World J Gastroenterol 2014;20:18151–64.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Donohoe C., O’Farrell N., Doyle S., Reynolds J. The role of obesity in gastrointestinal cancer: evidence and opinion. Therap Adv Gastroenterol 2014;7:38–50.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Каприн А.Д., Старинский В.В., Шахзадова А.О. Злокачественные новообразования в России в 2022 году (заболеваемость и смертность) // М.: МНИОИ им. П.А. Герцена - филиал ФГБУ «НМИЦ радиологии» Минздрава России, – 2023. – илл. – 275 с.  ISBN 978-5-85502-280-3.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Speights V.O., Johnson M.W., Stoltenberg P.H. et al. Colorectal cancer: current trends in initial clinical manifestations. South Med J 1991;84(5):575–8.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Schmoll H.J., Van Cutsem E., Stein A. et al. ESMO consensus guidelines for management of patients with colon and rectal cancer. A personalized approach to clinical decision making. Ann Oncol 2012;23:2479–516.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Цуканов А.С., Шелыгин Ю.А., Фролов С.А. и др. Рекомендации по отбору пациентов для молекулярно-генетической диагностики синдрома Линча. Методические рекомендации. М., 2019.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Liu Z., Zhang Y., Niu Y. et al. A systematic review and meta-analysis of diagnostic and prognostic serum biomarkers of colorectal cancer. PLoS One 2014;9(8):e103910.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Langevin J.M., Nivatvongs S. The true incidence of synchronous cancer of the large bowel. A prospective study. Am J Surg 1984;147(3):330–3.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Mulder S.A., Kranse R., Damhuis R.A. et al. Prevalence and prognosis of synchronous colorectal cancer: a Dutch population-based study. Cancer Epidemiol 2011;35(5):442–7.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Finan P.J., Ritchie J.K., Hawley P.R. Synchronous and ‘early’ metachronous carcinomas of the colon and rectum. Br J Surg 1987;74:945–7.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Computed tomographic colonography compared with colonoscopy or barium enema for diagnosis of colorectal cancer in older symptomatic patients: two multicentre randomised trials with economic evaluation (the SIGGAR trials). Health Technol Assess 2015;19(54):1–134.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Floriani I., Torri V., Rulli E. et al. Performance of imaging modalities in diagnosis of liver metastases from colorectal cancer: a systematic review and meta-analysis. J Magn Reson Imaging 2010;31(1):19–31.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Nordholm-Carstensen A., Wille-Jørgensen P.A., Jorgensen L.N. et al. Indeterminate pulmonary nodules at colorectal cancer staging: a systematic review of predictive parameters for malignancy. Ann Surg Oncol 2013;20(12):4022–30.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Sun S., Yang C., Huang Z. et al. Diagnostic value of magnetic resonance versus computed tomography colonography for colorectal cancer: a PRISMA-compliant systematic review and meta-analysis. Medicine (Baltimore) 2018;97(22):e10883.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Brown G., Radcliffe A.G., Newcombe R.G. et al. Preoperative assessment of prognostic factors in rectal cancer using high-resolution magnetic resonance imaging. Br J Surg 2003;90(3):355–64.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Herrmann J., Lerman A., Sandhu N.P. et al. Evaluation and management of patients with heart disease and cancer: cardio-oncology. Mayo Clin Proc 2014;89(9):1287–306.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Starck M., Bohe M., Simanaitis M., Valentin L. Rectal endosonography can distinguish benign rectal lesions from invasive early rectal cancers. Colorectal Dis 2003;(3):246–50.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Lee E.J., Lee J.B., Lee S.H. et al. Endoscopic submucosal dissection for colorectal tumors--1,000 colorectal ESD cases: one specialized institute's experiences. Surg Endosc 2013;27(1):31–9.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Diagnostic value of endorectal ultrasound in preoperative assessment of lymph node involvement in colorectal cancer: A meta-analysis. Asian Pac J Cancer Prev 2015;16:3485–91.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Choi S.H., Kim S.Y., Park S.H. et al. Diagnostic performance of CT, gadoxetate disodium-enhanced MRI, and PET/CT for the diagnosis of colorectal liver metastasis: systematic review and meta-analysis. J Magn Reson Imaging 2018;47:1237–50.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Ko Y., Kim J., Park J.K. et al. Limited detection of small (≤10 mm) colorectal liver metastasis at preoperative CT in patients undergoing liver resection. PloS One 2017;12(12):e0189797.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Ribas Y., Hotouras A., Wexner S.D., D'Hoore A. Shared decision-making and informed consent process in rectal cancer treatment: weighing up oncological and functional outcomes. Colorectal Dis 2016;18(1):9–12.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Roth E.S., Fetzer D.T., Barron B.J. et al. Does colon cancer ever metastasize to bone first? a temporal analysis of colorectal cancer progression. BMC Cancer 2009;9:274.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Augestad K.M., Bakaki P.M., Rose J. et al. Metastatic spread pattern after curative colorectal cancer surgery. A retrospective, longitudinal analysis. Cancer Epidemiol 2015;39(5):734–44.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Daza J.F., Solis N.M., Parpia S. et al. A meta-analysis exploring the role of PET and PET-CT in the management of potentially resectable colorectal cancer liver metastases. Eur J Surg Oncol 2019;45(8):1341–8.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Muntean V., Oniu T., Lungoci C. et al. Staging laparoscopy in digestive cancers. J Gastrointestin Liver Dis 2009;18(4):461–7.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De Marco M.F., Janssen-Heijnen M.L., van der Heijden L.H., Coebergh J.W. Comorbidity and colorectal cancer according to subsite and stage: a population-based study. Eur J Cancer 2000;36(1):95–9.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Федянин М.Ю., Трякин А.А., Тюляндин С.А. Потенциальные предикторы эффективности анти-EGFR-терапии при метастатическом раке толстой кишки. Онкологическая колопроктология 2013;(2):21–30.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Khattak M.A., Martin H., Davidson A., Phillips M. Role of first-line anti-epidermal growth factor receptor therapy compared with anti-vascular endothelial growth factor therapy in advanced colorectal cancer: a meta-analysis of randomized clinical trials. Clin Colorectal Cancer 2015;14(2):81–90. DOI: 10.1016/j.clcc.2014.12.011.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Pietrantonio F., Petrelli F., Coinu A., et al. Predictive role of BRAF mutations in patients with advanced colorectal cancer receiving cetuximab and panitumumab: a meta-analysis. Eur J Cancer 2015;51(5):587–94.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Yoshino T., Arnold D., Taniguchi H. et al. Pan-Asian adapted ESMO consensus guidelines for the management of patients with metastatic colorectal cancer: a JSMO-ESMO initiative endorsed by CSCO, KACO, MOS, SSO and TOS. Ann Oncol 2018;29(1):44–70.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Hurlstone D.P., Cross S.S., Drew K. et al. An evaluation of colorectal endoscopic mucosal resection using high-magnification chromoscopic colonoscopy: a prospective study of 1000 colonoscopies. Endoscopy 2004;36(6):491–8.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Chiba H., Tachikawa J., Kurihara D. et al. Safety and efficacy of simultaneous colorectal ESD for large synchronous colorectal lesions. Endosc Int Open 2017;5(7):E595–602.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Lee E.J., Lee J.B., Lee S.H. et al. Endoscopic submucosal dissection for colorectal tumors--1,000 colorectal ESD cases: one specialized institute's experiences. Surg Endosc 2013;27(1):31–9.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Landmann R.G., Weiser M.R. Surgical management of locally advanced and locally recurrent colon cancer. Clin Colon Rectal Surg 2005;18(3):182–9.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Brandi G., De Lorenzo S., Nannini M. et al. Adjuvant chemotherapy for resected colorectal cancer metastases: Literature review and meta-analysis. World J Gastroenterol 2016;22(2):519.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Keikes L., Koopman M., Tanis P.J. et al. Evaluating the scientific basis of quality indicators in colorectal cancer care: a systematic review. Eur J Cancer 2017;86:166–77.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Yin Z., Liu C., Chen Y. et al. Timing of hepatectomy in resectable synchronous colorectal liver metastases (SCRLM): Simultaneous or delayed? Hepatology 2013;57(6):2346–57.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Feng Q., Wei Y., Zhu D. et al. Timing of hepatectomy for resectable synchronous colorectal liver metastases: for whom simultaneous resection is more suitable – a meta-analysis. PLoS One 2014;9(8):e104348.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Garden O.J., Rees M., Poston G.J. et al. Guidelines for resection of colorectal cancer liver metastases. Gut 2006;55(Suppl. 3):iii1–8.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Hughes K.S., Simon R., Songhorabodi S. et al. Resection of the liver for colorectal carcinoma metastases: a multi-institutional study of patterns of recurrence. Surgery 1986;100(2):278–84.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Richardson B., Preskitt J., Lichliter W. et al. The effect of multidisciplinary teams for rectal cancer on delivery of care and patient outcome: has the use of multidisciplinary teams for rectal cancer affected the utilization of available resources, proportion of patients meeting the standard of care, and does this translate into changes in patient outcome? Am J Surg 2016;211(1):46–52.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Chow F.C., Chok K.S. Colorectal liver metastases: an update on multidisciplinary approach. World J Hepatol 2019;11(2):150–72.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Brandi G., De Lorenzo S., Nannini M. et al. Adjuvant chemotherapy for resected colorectal cancer metastases: literature review and meta-analysis. World J Gastroenterol 2016;22(2):519–33.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Primrose J., Falk S., Finch-Jones M. et al. Systemic chemotherapy with or without cetuximab in patients with resectable colorectal liver metastasis: the New EPOC randomised controlled trial. Lancet Oncol 2014;15(6):601–11.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Geissler M., Riera-Knorrenschild J., Tannapfel A. et al. mFOLFOXIRI + panitumumab versus FOLFOXIRI as first-line treatment in patients with RAS wild-type metastatic colorectal cancer m(CRC): a randomized phase II VOLFI trial of the AIO (AIO-KRK0109). J Clin Oncol 2018;(Suppl. 15):3509.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Cremolini C., Loupakis F., Antoniotti C. et al. FOLFOXIRI plus bevacizumab versus FOLFIRI plus bevacizumab as first-line treatment of patients with metastatic colorectal cancer: updated overall survival and molecular subgroup analyses of the open-label, phase 3 TRIBE study. Lancet Oncol 2015;16(13):1306–15.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Baraniskin A., Buchberger B., Pox C. et al. Efficacy of bevacizumab in first-line treatment of metastatic colorectal cancer: A systematic review and meta-analysis. Eur J Cancer 2019;106:37–44.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Cetinkaya E., Dogrul A.B., Tirnaksiz M.B. Role of self expandable stents in management of colorectal cancers. World J Gastrointest Oncol 2016;8(1):113–20.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Goldberg R.M., Fleming T.R., Tangen C.M. et al. Surgery for recurrent colon cancer: strategies for identifying resectable recurrence and success rates after resection. Ann Intern Med 1998;129(1):27–35.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Bowne W.B., Lee B., Wong W.D. et al. Operative salvage for locoregional recurrent colon cancer after curative resection: an analysis of 100 cases. Dis Colon Rectum 2005;48(5):897–909.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Güenaga K.F., Matos D., Wille-Jørgensen P. Mechanical bowel preparation for elective colorectal surgery. Cochrane Database Syst Rev 2011;(9):CD001544.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Lacy A.M., García-Valdecasas J.C., Delgado S. et al. Laparoscopy-assisted colectomy versus open colectomy for treatment of non-metastatic colon cancer: a randomised trial. Lancet 2002;359(9325):2224–9.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Veldkamp R., Kuhry E., Hop W.C. et al. Laparoscopic surgery versus open surgery for colon cancer: short-term outcomes of a randomised trial. Lancet Oncol 2005;6(7):477–84.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Guillou P.J., Quirke P., Thorpe H. et al. Short-term endpoints of conventional versus laparoscopic-assisted surgery in patients with colorectal cancer (MRC CLASICC trial): multicentre, randomised controlled trial. Lancet 2005;365(9472):1718–26.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Fleshman J., Sargent D.J., Green E. et al. Laparoscopic colectomy for cancer is not inferior to open surgery based on 5-year data from the COST Study Group trial. Ann Surg 2007;246(4):655–62.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De Salvo G.L., Gava C., Pucciarelli S., Lise M. Curative surgery for obstruction from primary left colorectal carcinoma: primary or staged resection? Cochrane Database Syst Rev 2004;(2):CD002101.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Khot U.P., Lang A.W., Murali K., Parker M.C. Systematic review of the efficacy and safety of colorectal stents. Br J Surg 2002;89(9):1096–120.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Meyer F., Marusch F., Coch A. et al. Emergency operation in carcinomas of the left colon: value of Hartmann's procedure. Tech Coloproctol 2004;8(Suppl. 1):S226–9.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Iveson T., Sobrero A.F., Yoshino T. et al. Prospective pooled analysis of four randomized trials investigating duration of adjuvant (adj) oxaliplatin-based therapy (3 vs 6 months {m}) for patients (pts) with high-risk stage II colorectal cancer (CC). J Clin Oncol 2019;(Suppl.):3501.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Федянин М.Ю. Современная клиническая и молекулярно-биологическая платформа лечения пациентов раком толстой кишки: дис. … д-ра мед. наук. М., 2018. 414 c.</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Grothey A., Sobrero A.F., Shields A.F. et al. Duration of adjuvant chemotherapy for stage III colon cancer. N Engl J Med 2018;378:1177–88.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Alberts S.R., Sargent D.J., Nair S. et al. Effect of oxaliplatin, fluorouracil, and leucovorin with or without cetuximab on survival among patients with resected stage III colon cancer: a randomized trial. JAMA 2012;307:1383–93.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Allegra C.J., Yothers G., O’Connell M.J. et al. Bevacizumab in stage II-III colon cancer:</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5-year update of the National Surgical Adjuvant Breast and Bowel Project C-08 trial. J Clin Oncol 2013;31:359–64.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Seymour M.T., Maughan T.S., Ledermann J.A. et al. Different strategies of sequential and combination chemotherapy for patients with poor prognosis advanced colorectal cancer (MRC FOCUS): a randomised controlled trial. Lancet 2007;370:143–52.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Cunningham D., Sirohi B., Pluzanska A. et al. Two different first-line 5-fluorouracil regimens with or without oxaliplatin in patients with metastatic colorectal cancer. Ann Oncol 2009;20:244–50.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Ackland S.P., Jones M., Tu D. et al. A meta-analysis of two randomised trials of early chemotherapy in asymptomatic metastatic colorectal cancer. Br J Cancer 2005;93:1236–43.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Jonker D., Rumble R.B., Maroun J. Gastrointestinal Cancer Disease Site Group of Cancer Care Ontario’s Program in Evidence-Based Care. Role of oxaliplatin combined with</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5-fluorouracil and folinic acid in the first-and second-line treatment of advanced colorectal cancer. Curr Oncol 2006;13(5):173.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Tournigand C., Andre T., Achille E. et al. FOLFIRI followed by FOLFOX6 or the reverse sequence in advanced colorectal cancer: a randomized GERCOR study. J Clin Oncol 2004;22:229–37.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Van Helden E.J., Menke-van der Houven van Oordt C.W., Heymans M.W. et al. Optimal use of anti-EGFR monoclonal antibodies for patients with advanced colorectal cancer: a meta-analysis. Cancer Metastasis Rev 2017;36(2):395–406.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Le D.T., Uram J.N., Wang H. et al. PD-1 blockade in tumors with mismatch-repair deficiency. N Engl J Med 2015;372:2509–20.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Overman M.J., McDermott R., Leach J.L. et al. Nivolumab in patients with metastatic DNA mismatch repair-deficient or microsatellite instability-high colorectal cancer (CheckMate 142): an open-label, multicentre, phase 2 study. Lancet Oncol 2017;18(9):1182–91.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Overman M.J., Lonardi S., Wong K.Y.M. et al. Durable clinical benefit with nivolumab plus ipilimumab in DNA mismatch repair-deficient/microsatellite instability-high metastatic colorectal cancer. J Clin Oncol 2018;36(8):773–9.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Wirapati P., Pomella V., Vandenbosch B. et al. Velour trial biomarkers update: impact of RAS, BRAF, and sidedness on aflibercept activity. J Clin Oncol 2017;(Suppl. 15):3538.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Kopetz S., McDonough S.L., Morris V.K. et al. Randomized trial of irinotecan and cetuximab with or without vemurafenib in BRAF-mutant metastatic colorectal cancer (SWOG 1406). J Clin Oncol 2017;35(Suppl. 4):520.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Corcoran R.B., Andre T., Atreya C.E. et al. Combined BRAF, EGFR, and MEK inhibition in patients with BRAFV600E-mutant colorectal cancer. Cancer Discov 2018;8(4):428–43.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Hansen R., Quebbeman E., Ausman R. et al. Continuous systemic 5‐fluorouracil infusion in advanced colorectal cancer: Results in 91 patients. J Surg Oncol 1989;40(3):177–81.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Costi R., Leonardi F., Zanoni D. et al. Palliative care and end-stage colorectal cancer management: the surgeon meets the oncologist. World J Gastroenterol 2014;20(24):7602–21.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Bayraktar B., Ozemir I.A., Kefeli U. et al. Colorectal stenting for palliation and as a bridge to surgery: a 5-year follow-up study. World J Gastroenterol 2015;21(31):9373–9.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Saif M.W., Siddiqui I.A.P., Sohail M.A. Management of ascites due to gastrointestinal malignancy. Ann Saudi Med 2009;29(5):369–77.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Silver J.A., Baima J. Cancer prehabilitation: an opportunity to decrease treatment related morbidity, increase cancer treatment options, and improve physical and psychological health outcomes. Am J Phys Med Rehabil 2013;92:715–27.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Hijazia Y., Gondal U., Aziz O. A systematic review of prehabilitation programs in abdominal cancer surgery. Int J Surg 2017;39:156–62.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Gillis C., Li C., Lee L. et al. Prehabilitation versus rehabilitation: a randomized control trial in patients undergoing colorectal resection for cancer. Anesthesiology 2014;121:937–47.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Tsimopoulou I., Pasquali S., Howard R. et al. Psychological prehabilitation before cancer surgery: a systematic review. Ann Surg Oncol 2015;22(13):4117–23.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Li P., Fang F., Cai J.X. et al. Fast-track rehabilitation vs conventional care in laparoscopic colorectal resection for colorectal malignancy: a meta-analysis. World J Gastroenterol 2013;19:9119–26.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Wren S.M., Martin M., Yoon J.K., Bech F. Postoperative pneumonia-prevention program for the inpatient surgical ward. J Am Coll Surg 2010;210(4):491–5.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Soh J.S., Lee H.J., Jung K.W. et al. The diagnostic value of a digital rectal examination compared with high-resolution anorectal manometry in patients with chronic constipation and fecal incontinence. Am J Gastroenterol 2015;110:1197–204.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Lundby L., Duelund-Jakobsen J. Management of fecal incontinence after treatment for rectal cancer. Curr Opin Support Palliat Care 2011;5:60–4.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Sokol E.R. Management of fecal incontinence – focus on a vaginal insert for bowel control. Med Devices (Auckl) 2016;9:85–91.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Benezech A., Bouvier M., Vitton V. Faecal incontinence: current knowledges and perspectives. World J Gastrointest Pathophysiol 2016;7(1):59–71.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Kraljevi N. Rehabilitation for colorectal cancer. Review. Libri Oncol 2013;41(1–3):87–92.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Mustian K.M., Alfano C.M., Heckler C. et al. Comparison of pharmaceutical, psychological, and exercise treatments for cancer-related fatigue: a meta-analysis. JAMA Oncol 2017;3:961–8.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Kinkead B., Schettler P.J., Larson E.R. et al. Massage therapy decreases cancer-related fatigue: Results from a randomized early phase trial. Cancer 2018;124(3):546–54.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Wonga C.L., Lee H.H.C., Chang S.C. Colorectal cancer rehabilitation review. J Cancer Res Pract 2016;3(2):31–3.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Wolin K.Y., Yan Y., Colditz G.A. et al. Physical activity and colon cancer prevention: a meta-analysis Br J Cancer 2009;100:611–6.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Jeon J., Sato K., Niedzwiecki D. et al. Impact of physical activity after cancer diagnosis on survival in patients with recurrent colon cancer: findings from CALGB 89903/Alliance. Clin Colorectal Cancer 2013;12(4):233–8.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Segal R., Zwaal C., Green E. et al. Exercise for people with cancer: a systematic review. Curr Oncol 2017;24(4):e290–315.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Carmichael J.C., Keller D.S., Baldini G. et al. Clinical practice guidelines for enhanced recovery after colon and rectal surgery from the American Society of Colon and Rectal Surgeons and Society of American Gastrointestinal and Endoscopic Surgeons. Dis Colon Rectum 2017;60(8):761–84.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Fujino S., Miyoshi N., Ohue M., Takahashi Y. Prediction model and treatment of high-output ileostomy in colorectal cancer surgery. Mol Clin Oncol 2017;7(3):468–72.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Guo Y., Xiong B.H., Zhang T. et al. XELOX vs. FOLFOX in metastatic colorectal cancer: An updated meta-analysis. Cancer Invest 2016;34(2):94–104.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Marques R.P., Duarte G.S., Sterrantino C. et al. Triplet (FOLFOXIRI) versus doublet (FOLFOX or FOLFIRI) backbone chemotherapy as first-line treatment of metastatic colorectal cancer: A systematic review and meta-analysis. Crit Rev Oncol Hematol 2017;118:54–62.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Guo Y., Shi M., Shen X. et al. Capecitabine plus irinotecan versus 5-FU/leucovorin plus irinotecan in the treatment of colorectal cancer: a meta-analysis. Clin Colorectal Cancer 2014;13(2):110–8.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Zhao X.D., Cai B.B., Cao R.S., Shi R.H. et al. Palliative treatment for incurable malignant colorectal obstructions: a meta-analysis. World J Gastroenterol 2013;19(33):5565.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Stillwell A.P., Buettner P.G., Ho Y.H. Meta-analysis of survival of patients with stage IV colorectal cancer managed with surgical resection versus chemotherapy alone. World J Surg 2010;34(4):797–807.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Song X.J., Liu Z.L., Zeng R. et al. A meta-analysis of laparoscopic surgery versus conventional open surgery in the treatment of colorectal cancer. Medicine 2019;98(17):e15347.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Da Silva W.C., de Araujo V.E., e Abreu Lima E.M. et al. Comparative effectiveness and safety of monoclonal antibodies (bevacizumab, cetuximab, and panitumumab) in combination with chemotherapy for metastatic colorectal cancer: a systematic review and meta-analysis. BioDrugs 2018;32(6):585–606.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Visser W.S., Te Riele W.W., Boerma D. et al. Pelvic floor rehabilitation to improve functional outcome after a low anterior resection: a systematic review. Ann Coloproctol 2014;30(3):109–14.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Efthimiadis C., Basdanis G., Zatagias A. et al. Manometric and clinical evaluation of patients after low anterior resection for rectal cancer. Tech Coloproctol 2004;8(1):s205–7.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Jeffery M., Hickey B.E., Hider P.N. Follow-up strategies for patients treated for non‐metastatic colorectal cancer. Cochrane Database Syst Rev 2019;(9):CD002200.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Park J.G., Vasen H.F., Park K.J. et al. Amsterdam Criteria: The International Collaborative Group on hereditary non-polyposis colorectal cancer (ICG-HNPCC). Dis Colon Rectum 1991;34:424–5.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Syngal S., Fox E.A., Eng C. et al. Sensitivity and specificity of clinical criteria for hereditary non-polyposis colorectal cancer associated mutations in MSH2 and MLH1. J Med Genet 2000;37(9):641–5.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Moreira L., Balaguer F., Lindor N. et al. Identification of Lynch syndrome among patients with colorectal cancer. JAMA 2012;308(15):1555–65.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Therkildsen C., Bergmann T.K., Henrichsen-Schnack T., Ladelund S., Nilbert M. The predictive value of KRAS, NRAS, BRAF, PIK3CA and PTEN for anti-EGFR treatment in metastatic colorectal cancer: A systematic review and meta-analysis. Acta Oncol 2014;53(7):852–64.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xml:space="preserve">Zabaleta J., Iida T., Falcoz P.E. et al. Individual data meta-analysis for the study of survival after pulmonary metastasectomy in colorectal cancer patients: </w:t>
      </w:r>
      <w:r w:rsidRPr="008C7027">
        <w:rPr>
          <w:rFonts w:ascii="Times New Roman" w:eastAsia="Times New Roman" w:hAnsi="Times New Roman" w:cs="Times New Roman"/>
          <w:color w:val="222222"/>
          <w:spacing w:val="4"/>
          <w:sz w:val="27"/>
          <w:szCs w:val="27"/>
          <w:lang w:eastAsia="ru-RU"/>
        </w:rPr>
        <w:lastRenderedPageBreak/>
        <w:t>A history of resected liver metastases worsens the prognosis. Eur J Surg Oncol 2018;44(7):1006–12.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Chu E., DeVita V.T. Jr. Physicians’ Cancer Chemotherapy Drug Manual 2013. Jones &amp; Bartlett Learning, LLC, an Ascend Learning Company, 2013.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Fernandes G.D.S., Braghiroli M.I., Artioli M. et al. Combination of irinotecan, oxaliplatin and 5-fluorouracil as a rechallenge regimen for heavily pretreated metastatic colorectal cancer patients. J Gastrointest Cancer 2018;49(4):470–5.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Xu R.H., Muro K., Morita S. et al. Modified XELIRI (capecitabine plus irinotecan) versus FOLFIRI (leucovorin, fluorouracil and irinotecan), both either with or without bevacizumab, as second-line therapy for metastatic colorectal cancer (AXEPT): a multicentre, open-label, randomised, non-inferiority, phase 3 trial. Lancet Oncol 2018;19(5):660–71.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Fernandez-Plana J., Pericay C., Quintero G. et al. Biweekly cetuximab in combination with FOLFOX-4 in the first-line treatment of wild-type KRAS metastatic colorectal cancer: final results of a phase II, open-label, clinical trial (OPTIMIX-ACROSS Study). BMC Cancer 2014;14:865.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Bekaii-Saab T.S. et al. Regorafenib dose-optimisation in patients with refractory metastatic colorectal cancer (ReDOS): a randomised, multicentre, open-label, phase 2 study. Lancet Oncol 2019;20(8):1070–82.</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Bekaii-Saab TS,  Lach K,  Hsu L-I, et al.</w:t>
      </w:r>
      <w:r w:rsidRPr="008C7027">
        <w:rPr>
          <w:rFonts w:ascii="Times New Roman" w:eastAsia="Times New Roman" w:hAnsi="Times New Roman" w:cs="Times New Roman"/>
          <w:color w:val="222222"/>
          <w:spacing w:val="4"/>
          <w:sz w:val="20"/>
          <w:szCs w:val="20"/>
          <w:vertAlign w:val="superscript"/>
          <w:lang w:eastAsia="ru-RU"/>
        </w:rPr>
        <w:t> </w:t>
      </w:r>
      <w:r w:rsidRPr="008C7027">
        <w:rPr>
          <w:rFonts w:ascii="Times New Roman" w:eastAsia="Times New Roman" w:hAnsi="Times New Roman" w:cs="Times New Roman"/>
          <w:color w:val="222222"/>
          <w:spacing w:val="4"/>
          <w:sz w:val="27"/>
          <w:szCs w:val="27"/>
          <w:lang w:eastAsia="ru-RU"/>
        </w:rPr>
        <w:t>Impact of anti-EGFR therapies on HER2-positive metastatic colorectal cancer: A systematic literature review and meta-analysis of clinical outcomes. Oncologist. 2023 Oct 3;28(10):885-893. doi: 10.1093/oncolo/oyad200.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Meric-Bernstam F., Hurwitz H., Raghav K.P.S. et al. Pertuzumab plus trastuzumab for HER2-amplified metastatic colorectal cancer (MyPathway): an updated report from a multicentre, open-label, phase 2a, multiple basket study. Lancet Oncol 2019;20(4):518–30. DOI: 10.1016/S1470-2045(18)30904-5.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Sartore-Bianchi A., Trusolino L., Martino C. et al. Dual-targeted therapy with trastuzumab and lapatinib in treatment-refractory, KRAS codon 12/13 wild-type, HER2-positive metastatic colorectal cancer (HERACLES): a proof-of-concept, multicentre, open-label, phase 2 trial. Lancet Oncol 2016;17(6):738–46. DOI: 10.1016/S1470-2045(16)00150-9.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Li Q., Liu Y., Zhang H.M. et al. Influence of DPYD Genetic Polymorphisms on 5-fluorouracil toxicities in patients with colorectal cancer: a meta-analysis. Gastroenterol Res Pract 2014;2014:827989.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Zech C., Korpraphong P., Huppertz A. et al. Randomized multicentre trial of gadoxetic acid-enhanced MRI versus conventional MRI or CT in the staging of colorectal cancer liver metastases. Br J Surg 2014;101(6):613–21.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Seligmann J.F., FOxTROT Collaborative Group. FOxTROT: neoadjuvant FOLFOX chemotherapy with or without panitumumab (Pan) for patients (pts) with locally advanced colon cancer (CC). J Clin Oncol 2020;38(Suppl. 15):4013. DOI: 10.1200/JCO.2020.38.15_suppl.4013.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André T., Shiu K.K., Kim T.W. et al. Pembrolizumab in microsatellite-instability-high advanced colorectal cancer. N Engl J Med 2020;383(23):2207–18. DOI: 10.1056/NEJMoa2017699.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Lenz H.J., Lonardi S., Zagonel V. et al. Nivolumab (NIVO) + low-dose ipilimumab (IPI) as first-line (1L) therapy in microsatellite instability-high/DNA mismatch repair deficient (MSI-H/dMMR) metastatic colorectal cancer (mCRC): Clinical update. J Clin Oncol 2019;37(Suppl. 15):3521. DOI: 10.1200/JCO.2019.37.15_suppl.3521.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Sobrero A.F., Andre T., Meyerhardt J.A. et al. Overall survival (OS) and long-term disease-free survival (DFS) of three versus six months of adjuvant (adj) oxaliplatin and fluoropyrimidine-based therapy for patients (pts) with stage III colon cancer (CC): Final results from the IDEA (International Duration Evaluation of Adj chemotherapy) collaboration. J Clin Oncol 2020;38(Suppl. 15):4004. DOI: 10.1200/JCO.2020.38.15_suppl.4004.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Andre T., Bonni C., Navarro M. et al. Improved overall survival with oxaliplatin, fluorouracil, and leucovorin as adjuvant treatment in stage II or III colon cancer in the MOSAIC trial. J Clin Oncol 2009;27:3109–16.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Kuebler J.P., Wieand H.S., O’Connell M.J. et al. Oxaliplatin combined with weekly bolus fluorouracil and leucovorin as surgical adjuvant chemotherapy for stage II and III colon cancer: results from NSABP C-07. J Clin Oncol 2007;25:2198–204.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Kanemitsu Y., Shitara K., Mizusawa J. et al. A randomized phase III trial comparing primary tumor resection plus chemotherapy with chemotherapy alone in incurable stage IV colorectal cancer: JCOG1007 study (iPACS). J Clin Oncol 2020;38(Suppl. 4):7. DOI: 10.1200/JCO.2020.38.4_suppl.7.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Cheeseman S.L., Joel S.P., Chester J.D. et al. A ‘modified de Gramont’ regimen of fluorouracil, alone and with oxaliplatin, for advanced colorectal cancer. Br J Cancer 2002;87(4):393–9. DOI: 10.1038/sj.bjc.6600467.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Venook A.P., Niedzwiecki D., Lenz H.-J. et al. CALGB/SWOG 80405: Phase III trial of irinotecan/5-FU/leucovorin (FOLFIRI) or oxaliplatin/5-FU/leucovorin (FOLFOX) with bevacizumab or cetuximab for patients with KRAS wild-type untreated metastatic adenocarcinoma of the colon or rectum [abstract]. ASCO Meeting Abstracts 2014;32:LBA3.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Munemoto Y., Nakamura M., Takahashi M. et al. SAPPHIRE: a randomised phase II study of planned discontinuation or continuous treatment of oxaliplatin after six cycles of modified FOLFOX6 plus panitumumab in patients with colorectal cancer. Eur J Cancer 2019;119:158–67. DOI: 10.1016/j.ejca.2019.07.006.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Hurwitz H.I., Fehrenbacher L., Hainsworth J.D. et al. Bevacizumab in combination with fluorouracil and leucovorin: an active regimen for first-line metastatic colorectal cancer. J Clin Oncol 2005;23(15):3502–8.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Garcia-Carbonero R., Obermannova R., Bodoky G. et al. Quality-of-life results from RAISE: randomized, double-blind phase III study of FOLFIRI plus ramucirumab or placebo in patients with metastatic colorectal carcinoma after first-line therapy with bevacizumab, oxaliplatin, and a fluoropyrimidine. Ann Oncol 2015;26:115.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Van Cutsem E., Tabernero J., Lakomy R. et al. Addition of aflibercept to fluorouracil, leucovorin, and irinotecan improves survival in a phase III randomized trial in patients with metastatic colorectal cancer previously treated with an oxaliplatin-based regimen. J Clin Oncol 2012;30:3499–506.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Cunningham D., Lang I., Marcuello E. et al. Bevacizumab plus capecitabine versus capecitabine alone in elderly patients with previously untreated metastatic colorectal cancer (AVEX): an open-label, randomised phase 3 trial. Lancet Oncol 2013;14(11):1077–85.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Guo W., Zhang X., Wang Y. et al. FOLFIRI versus irinotecan monodrug as second-line treatment in metastatic colorectal cancer patients: an open, multicenter, prospective, randomized controlled phase III clinical study. J Clin Oncol 2020;38(Suppl. 15):4038. DOI: 10.1200/JCO.2020.38.15_suppl.4038.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Bennouna J., Hiret S., Bertaut A. et al. Continuation of bevacizumab vs cetuximab plus chemotherapy after first progression in KRAS wild-type metastatic colorectal cancer: the UNICANCER PRODIGE18 Randomized Clinical Trial. JAMA Oncol 2019;5(1):83–90. DOI: 10.1001/jamaoncol.2018.4465.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Hecht J.R., Cohn A., Dakhil S. et al. SPIRITT: a randomized, multicenter, phase ii study of panitumumab with FOLFIRI and bevacizumab with FOLFIRI as second-line treatment in patients with unresectable wild type KRAS metastatic colorectal cancer. Clin Colorectal Cancer 2015;14(2):72–80. DOI: 10.1016/j.clcc.2014.12.009.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Ciardiello F., Normanno N., Martinelli E. et al. Cetuximab continuation after first progression in metastatic colorectal cancer (CAPRI-GOIM): a randomized phase II trial of FOLFOX plus cetuximab versus FOLFOX. Ann Oncol 2016;27(6):1055–61. DOI: 10.1093/annonc/mdw136.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Köstek O., Hacıoğlu M.B., Sakin A. et al. Regorafenib or rechallenge chemotherapy: which is more effective in the third-line treatment of metastatic colorectal cancer? Cancer Chemother Pharmacol 2019;83(1):115–22. DOI: 10.1007/s00280-018-3713-6.</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Федянин М.Ю., Полянская Е.М., Эльснукаева Х.Х. и др. Метаанализ исследований по сравнению эффективности режимов FOLFOXIRI и FOLFOX или FOLFIRI с таргетной терапией при метастатическом раке толстой кишки с мутацией в гене BRAF. Медицинский совет 2020;(20):125–32.</w:t>
      </w:r>
      <w:hyperlink r:id="rId26" w:history="1">
        <w:r w:rsidRPr="008C7027">
          <w:rPr>
            <w:rFonts w:ascii="Times New Roman" w:eastAsia="Times New Roman" w:hAnsi="Times New Roman" w:cs="Times New Roman"/>
            <w:color w:val="0000FF"/>
            <w:spacing w:val="4"/>
            <w:sz w:val="27"/>
            <w:szCs w:val="27"/>
            <w:u w:val="single"/>
            <w:lang w:eastAsia="ru-RU"/>
          </w:rPr>
          <w:t> </w:t>
        </w:r>
      </w:hyperlink>
      <w:r w:rsidRPr="008C7027">
        <w:rPr>
          <w:rFonts w:ascii="Times New Roman" w:eastAsia="Times New Roman" w:hAnsi="Times New Roman" w:cs="Times New Roman"/>
          <w:color w:val="222222"/>
          <w:spacing w:val="4"/>
          <w:sz w:val="27"/>
          <w:szCs w:val="27"/>
          <w:lang w:eastAsia="ru-RU"/>
        </w:rPr>
        <w:t>DOI: 10.21518/2079-701X-2020-20-125-132.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Kopetz S., Guthrie K.A., Morris V.K. et al. Randomized trial of irinotecan and cetuximab with or without vemurafenib in BRAF-mutant metastatic colorectal cancer (SWOG S1406). J Clin Oncol 2021;39(4):285–94. DOI: 10.1200/JCO.20.01994.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Corcoran R.B., Atreya C.E., Falchook G.S. et al. Combined BRAF and MEK inhibition with dabrafenib and trametinib in BRAF V600-mutant colorectal cancer. J Clin Oncol 2015;33:4023–31.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Klute K., Garrett-Mayer E., Halabi S. et al. Cobimetinib plus vemurafenib (C + V) in patients (Pts) with colorectal cancer (CRC) with BRAF V600E mutations: Results from the TAPUR Study. J Clin Oncol 2020;38(Suppl. 4):122. DOI: 10.1200/JCO.2020.38.4_suppl.122.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Allegra C.J. et al. Initial safety report of NSABP C-08: A randomized phase III study of modified FOLFOX6 with or without bevacizumab for the adjuvant treatment of patients with stage II or III colon cancer. Journal of Clinical Oncology 2009;27(20)3385.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Peng J. et al. Safety and efficacy of a modified XELOX adjuvant regimen for patients with operated stage III colon cancer: a Chinese single-center experience. Cancer  Communications 2019;39(1):1–12.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Sharif S. et al. FOLFOX and FLOX regimens for the adjuvant treatment of resected stage II and III colon cancer. Cancer investigation 2008;26(9):956–63.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Demir L., Somal I., Oktay Tarhan M., Erten C. et al. The toxicity and efficacy of Nordic-FLOX regimen as adjuvant treatment of stage III colon cancer. J BUON 2011;16(4):682–8.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Sorbye H., Glimelius B., Berglund A. et al. Multicenter phase II study of Nordic fluorouracil and folinic acid bolus schedule combined with oxaliplatin as first-line treatment of metastatic colorectal cancer. J Clin Oncol 2004;22:31–8.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Gallois C.,  Shi Q., Meyers J.P. et al. Prognostic impact of early treatment discontinuation and early oxaliplatin discontinuation in patients treated with 6 months of oxaliplatin-based adjuvant chemotherapy for stage III colon cancer: an ACCENT/IDEA pooled analysis of 11 trials. Journal of Clinical Oncology 2022;40(Suppl. 4):11.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Трякин А.А., Бесова Н.С., Волков Н.М., Гладков О.А., Карасева В.В., Сакаева Д.Д. и соавт. Общие принципы проведения противоопухолевой лекарственной терапии. Практические рекомендации RUSSCO, часть 1. Злокачественные опухоли, 2024;14(3s2):33–46...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Matsuda A. et al. Comparison between biweekly and weekly cetuximab in patients with metastatic colorectal cancer: a meta-analysis. Anticancer Research 2020;40(6):3469–76.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Cohen R., Meurisse A., Pudlarz T. et al. One-year duration of nivolumab plus ipilimumab in patients (pts) with microsatellite instability-high/mismatch repair-deficient (MSI/dMMR) metastatic colorectal cancer (mCRC): Long-term follow-up of the GERCOR NIPICOL phase II study. Journal of Clinical Oncology 2022;40(Suppl. 4):13.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Winther S.B., Österlund P., Berglund A. et al. Randomized study comparing full dose monotherapy (S-1 followed by irinotecan) and reduced dose combination therapy (S-1/oxaliplatin followed by S-1/irinotecan) as initial therapy for older patients with metastatic colorectal cancer: NORDIC 9. BMC Cancer 2017;17:548.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Sartore-Bianchi A. et al. Dual-targeted therapy with trastuzumab and lapatinib in treatment-refractory, KRAS codon 12/13 wild-type, HER2-positive metastatic colorectal cancer (HERACLES): a proof-of-concept, multicentre, open-label, phase 2 trial. The Lancet Oncology 2016;17(6):738–46.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Tabernero J., Yoshino T., Cohn A.L. et al. Ramucirumab versus placebo in combination with second-line FOLFIRI in patients with metastatic colorectal carcinoma that progressed during or after first-line therapy with bevacizumab, oxaliplatin, and a fluoropyrimidine (RAISE): a randomised, double-blind, multicentre, phase 3 study. Lancet Oncol 2015;16(5):499–508. DOI: 10.1016/S1470-2045(15)70127-0.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Cunningham D., Lang I., Marcuello E., Lorusso V. et al. Bevacizumab plus capecitabine versus capecitabine alone in elderly patients with previously untreated metastatic colorectal cancer (AVEX): an open-label, randomised phase 3 trial. Lancet Oncol 2013;14(11):1077–85.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Hofheinz R., Wenz F., Post S. et al. Capecitabine (Cape) versus 5-fluorouracil (5-FU)-based (neo-)adjuvant chemoradiotherapy (CRT) for locally advanced rectal cancer (LARC): safety results of a randomized, phase III trial. J Clin Oncol 2009;27(15S):4014.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Feliu J. et al. Capecitabine and bevacizumab as first-line treatment in elderly patients with metastatic colorectal cancer. British journal of cancer 2010;102(10):1468–73.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Bang Y.H. et al. Bevacizumab plus capecitabine as later-line treatment for patients with metastatic colorectal cancer refractory to irinotecan, oxaliplatin, and fluoropyrimidines. Scientific Reports 2021;11(1):1–9.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Modest D.P., Martens U.M., Riera-Knorrenschild J. et al. FOLFOXIRI Plus Panitumumab As First-Line Treatment of RAS Wild-Type Metastatic Colorectal Cancer: The Randomized, Open-Label, Phase II VOLFI Study (AIO KRK0109). J Clin Oncol 2019;37(35):3401–11.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Федянин М.Ю., Полянская Е.М., Трякин А.А. и др. Влияние стартовой дозы регорафениба на общую выживаемость пациентов с метастатическим раком толстой кишки: систематический обзор и метаанализ. Современная онкология 2019;21(3):10–5. DOI: 10.26442/18151434.2019.3.19065.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Köstek O., Hacioğlu M.B., Sakin A., Demir T. et al. Regorafenib or rechallenge chemotherapy: which is more effective in the third-line treatment of metastatic colorectal cancer? Cancer Chemother Pharmacol 2019;83(1):115–22. DOI: 10.1007/s00280-018-3713-6.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Gundgaard M.G., Soerensen J.B., Ehrnrooth E. Third-line therapy for metastatic colorectal cancer. Cancer chemotherapy and pharmacology 2008;61(1):1–13.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Walter T. et al. Systematic review and network meta-analyses of third-line treatments for metastatic colorectal cancer. Journal of cancer research and clinical oncology 2020;146(10):2575–87.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Fedyanin M., Elsnukaeva H., Demidova I. et al. Efficacy of combinations of BRAF inhibitors and anti-EGFR antibodies in metastatic colorectal carcinoma (mCRC) patients with mBRAF in the real clinical practice. Annals of Oncology 2021;32(Suppl. 5):S530–82. </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Yaeger R. et al. Pilot trial of combined BRAF and EGFR inhibition in BRAF-mutant metastatic colorectal cancer patients. Clinical cancer research 2015;21(6):1313–20.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Hyman D.M. et al. Vemurafenib in multiple non-melanoma cancers with BRAF V600 mutations. New England Journal of Medicine 2015;373(8):726–36.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Wu Z. et al. BRAF and EGFR inhibitors synergize to increase cytotoxic effects and decrease stem cell capacities in BRAF (V600E)-mutant colorectal cancer cells. Acta Biochimica et Biophysica Sinica 2018;50(4):355–61.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Владимирова Л.Ю. и др. Практические рекомендации по профилактике и лечению тошноты и рвоты у онкологических больных. Злокачественные опухоли 2021;11(3s2-2):25–38.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Багрова С.Г. и др. Использование остеомодифицирующих агентов (ОМА) для профилактики и лечения патологии костной ткани при злокачественных новообразованиях. Злокачественные опухоли 2021;10(3s2-2):35–44.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Сакаева Д.Д. и др. Практические рекомендации по диагностике и лечению фебрильной нейтропении. Злокачественные опухоли 2021;11(3s2-2):55–63.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Ткаченко П.Е., Ивашкин В.Т., Маевская М.В. Клинические рекомендации по коррекции гепатотоксичности, индуцированной противоопухолевой терапией. Злокачественные опухоли 2021;10(3s2-2):52–65.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Виценя М.В. и др. Практические рекомендации по коррекции кардиоваскулярной токсичности противоопухолевой лекарственной терапии. Злокачественные опухоли 2021;10(3s2-2):66–87.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Королева И.А. и др. Практические рекомендации по лекарственному лечению дерматологических реакций у пациентов, получающих противоопухолевую лекарственную терапию. Злокачественные опухоли 2021;11(3S2-2):99–113.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Сытов А.В. и др. Практические рекомендации по нутритивной поддержке онкологических больных. Злокачественные опухоли 2021;11(3s2-2):114–22.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Громова Е.Г. и др. Практические рекомендации по коррекции нефротоксичности противоопухолевых препаратов. Злокачественные опухоли 2021;11(3s2-2):132–44.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Сомонова О.В. и др. Практические рекомендации по профилактике и лечению тромбоэмболических осложнений у онкологических больных. Злокачественные опухоли 2021;11(3S2-2):145–55.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Буйденок Ю.В. Рекомендации по лечению последствий экстравазации противоопухолевых препаратов. Злокачественные опухоли 2021;10(3s2-2):141–47.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Проценко С.А. и др. Практические рекомендации по управлению иммуноопосредованными нежелательными явлениями. Злокачественные опухоли 2021;11(3s2-2):187–223.</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Анемия при злокачественных новообразованиях. Клинические рекомендации Министерства здравоохранения Российской Федерации. Электронный ресурс: </w:t>
      </w:r>
      <w:hyperlink r:id="rId27" w:history="1">
        <w:r w:rsidRPr="008C7027">
          <w:rPr>
            <w:rFonts w:ascii="Times New Roman" w:eastAsia="Times New Roman" w:hAnsi="Times New Roman" w:cs="Times New Roman"/>
            <w:color w:val="0000FF"/>
            <w:spacing w:val="4"/>
            <w:sz w:val="27"/>
            <w:szCs w:val="27"/>
            <w:u w:val="single"/>
            <w:lang w:eastAsia="ru-RU"/>
          </w:rPr>
          <w:t>https://cr.minzdrav.gov.ru/schema/624_1</w:t>
        </w:r>
      </w:hyperlink>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WHO Classification of Tumours Editorial Board. Digestive system tumors (5th edition).  IARC; Lyon, 2019.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Jauhri M. et al. Prevalence and coexistence of KRAS, BRAF, PIK3CA, NRAS, TP53, and APC mutations in Indian colorectal cancer patients: next-generation sequencing – based cohort study. Tumor Biology 2017;39(2):1010428317692265.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Brannon A.R. et al. Comparative sequencing analysis reveals high genomic concordance between matched primary and metastatic colorectal cancer lesions. Genome biology 2014;15(8):1–10.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Loughrey M.B., Quirke P., Shepherd N. Dataset for colorectal cancer histopathology reports. The Royal College of Pathologists, 2014.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Динаева Э.А. и др. Значение эмпэгфилграстима в интенсивных режимах терапии опухолей ЖКТ // Доклад на сессии «Отечественные исследования в онкологии». Конференция RUSSCO «Опухоли ЖКТ», 15 апреля 2022.</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xml:space="preserve">Китагава Ю., Осуми Х., Шинозаки Э., Юмико Ота Ю. и др. Клиническая полезность гранулоцитарного колониестимулирующего фактора, </w:t>
      </w:r>
      <w:r w:rsidRPr="008C7027">
        <w:rPr>
          <w:rFonts w:ascii="Times New Roman" w:eastAsia="Times New Roman" w:hAnsi="Times New Roman" w:cs="Times New Roman"/>
          <w:color w:val="222222"/>
          <w:spacing w:val="4"/>
          <w:sz w:val="27"/>
          <w:szCs w:val="27"/>
          <w:lang w:eastAsia="ru-RU"/>
        </w:rPr>
        <w:lastRenderedPageBreak/>
        <w:t>конъюгированного с полиэтиленгликолем (PEG-G-CSF), для профилактики тяжелой нейтропении у пациентов с метастатическим колоректальным раком, получавших FOLFOXIRI плюс бевацизумаб: одноцентровое ретроспективное исследование. БМК Рак 2020;20:358. DOI: </w:t>
      </w:r>
      <w:hyperlink r:id="rId28" w:history="1">
        <w:r w:rsidRPr="008C7027">
          <w:rPr>
            <w:rFonts w:ascii="Times New Roman" w:eastAsia="Times New Roman" w:hAnsi="Times New Roman" w:cs="Times New Roman"/>
            <w:color w:val="0000FF"/>
            <w:spacing w:val="4"/>
            <w:sz w:val="27"/>
            <w:szCs w:val="27"/>
            <w:u w:val="single"/>
            <w:lang w:eastAsia="ru-RU"/>
          </w:rPr>
          <w:t>10.1186/s12885-020-06864-8</w:t>
        </w:r>
      </w:hyperlink>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Кроуфорд Д., Мур Д.С., Моррисон В.А., Дейл Д. Применение пегфилграстима в профилактических целях при нейтропении, вызванной химиотерапией, в США: обзор соблюдения настоящих рекомендаций по применению. Лечение рака и исследовательские коммуникации 2021;29:100466.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Lugli A. et al. Recommendations for reporting tumor budding in colorectal cancer based on the International Tumor Budding Consensus Conference (ITBCC) 2016. Modern pathology 2017;30(9):1299–311.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Moehler M. et al. Phase III trial of avelumab maintenance after first-line induction chemotherapy versus continuation of chemotherapy in patients with gastric cancers: results from JAVELIN gastric 100. Journal of Clinical Oncology 2021;39(9):966.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205. WHO Classification of Tumours Editorial Board. Digestive system tumors (5th edition). – IARC; Lyon, 2019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Jauhri M. et al. Prevalence and coexistence of KRAS, BRAF, PIK3CA, NRAS, TP53, and APC mutations in Indian colorectal cancer patients: next-generation sequencing–based cohort study //Tumor Biology. – 2017. – Т. 39. – №. 2. – С. 1010428317692265.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Brannon A. R. et al. Comparative sequencing analysis reveals high genomic concordance between matched primary and metastatic colorectal cancer lesions //Genome biology. – 2014. – Т. 15. – №. 8. – С. 1-10.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Modest D. P. et al. Panitumumab plus fluorouracil and folinic acid versus fluorouracil and folinic acid alone as maintenance therapy in RAS wild-type metastatic colorectal cancer: The randomized PANAMA trial (AIO KRK 0212) //Journal of Clinical Oncology. – 2022. – Т. 40. – №. 1. – С. 72-82.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xml:space="preserve">Aparicio T. et al. Bevacizumab+ chemotherapy versus chemotherapy alone in elderly patients with un-treated metastatic colorectal cancer: A randomized phase </w:t>
      </w:r>
      <w:r w:rsidRPr="008C7027">
        <w:rPr>
          <w:rFonts w:ascii="Times New Roman" w:eastAsia="Times New Roman" w:hAnsi="Times New Roman" w:cs="Times New Roman"/>
          <w:color w:val="222222"/>
          <w:spacing w:val="4"/>
          <w:sz w:val="27"/>
          <w:szCs w:val="27"/>
          <w:lang w:eastAsia="ru-RU"/>
        </w:rPr>
        <w:lastRenderedPageBreak/>
        <w:t>II trial—PRODIGE 20 study results //Annals of Oncology. – 2018. – Т. 29. – №. 1. – С. 133-138.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Fujita K. et al. Irinotecan, a key chemotherapeutic drug for metastatic colorectal cancer //World journal of gastroenterology. – 2015. – Т. 21. – №. 43. – С. 12234.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Dominik P Modest 1 2, Uwe M Martens 3, Jorge Riera-Knorrenschild, et al. FOLFOXIRI Plus Pani-tumumab As First-Line Treatment of RAS Wild-Type Metastatic Colorectal Cancer: The Randomized, Open-Label, Phase II VOLFI Study (AIO KRK0109). J Clin Oncol. 2019 Dec 10;37(35):3401-3411.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Josep Tabernero 1, Takayuki Yoshino 2, Allen Lee Cohn, et al. Ramucirumab versus placebo in combina-tion with second-line FOLFIRI in patients with metastatic colorectal carcinoma that progressed during or after first-line therapy with bevacizumab, oxaliplatin, and a fluoropyrimidine (RAISE): a randomised, double-blind, multicentre, phase 3 study. Lancet Oncol.</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Freshwater T. et al. Evaluation of dosing strategy for pembrolizumab for oncology indications //Journal for immunotherapy of cancer. – 2017. – Т. 5. – №. 1. – С. 1-9.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Grothey A. et al. Regorafenib monotherapy for previously treated metastatic colorectal cancer (CORRECT): an international, multicentre, randomised, placebo-controlled, phase 3 trial //The Lancet. – 2013. – Т. 381. – №. 9863. – С. 303-312.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Gundgaard M. G., Soerensen J. B., Ehrnrooth E. Third-line therapy for metastatic colorectal cancer //Cancer chemotherapy and pharmacology. – 2008. – Т. 61. – №. 1. – С. 1-13.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Walter T. et al. Systematic review and network meta-analyses of third-line treatments for metastatic colorectal cancer //Journal of cancer research and clinical oncology. – 2020. – Т. 146. – №. 10. – С. 2575-2587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 Fedyanin, H. Elsnukaeva, I. Demidova , et al. 448P - Efficacy of combinations of BRAF inhibitors and anti-EGFR antibodies in metastatic colorectal carcinoma (mCRC) patients with mBRAF in the real clinical practice. Annals of Oncology (2021) 32 (suppl_5): S530-S582. 10.1016/annonc/annonc698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Wu Z. et al. BRAF and EGFR inhibitors synergize to increase cytotoxic effects and decrease stem cell ca-pacities in BRAF (V600E)-mutant colorectal cancer cells //Acta Biochimica et Biophysica Sinica. – 2018. – Т. 50. – №. 4. – С. 355-361.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Vikas, Praveen, et al. "Mismatch repair and microsatellite instability testing for immune checkpoint inhibitor therapy: ASCO Endorsement of College of American Pathologists Guideline." Journal of clinical oncology 41.10 (2023): 1943-1948.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Trakarnsanga, Atthaphorn, et al. "Comparison of tumor regression grade systems for locally advanced rectal cancer after multimodality treatment." Journal of the National Cancer Institute 106.10 (2014): dju248.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Федянин М.Ю., Трякин А.А., Тер-Ованесов М.Д., Тюляндин С.А. Основные положения диагностики, прогноза и лечения метастазов по брюшине при раке толстой кишки. // Колопроктология. 2020; т.19, №4, с. 131-149. https://doi. org/10.33878/2073-7556-2020-19-4-131-149</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Alfonso, P. García, et al. "560MO Maintenance with 5FU/LV-Aflibercept after induction with FOLFIRI-Aflibercept vs FOLFIRI-Aflibercept until progression in older patients (pts) in 2nd line metastatic colorectal cancer (mCRC): The randomized AFEMA trial." Annals of Oncology 34 (2023): S416-S417.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Deli T, Orosz M, Jakab A. Hormone Replacement Therapy in Cancer Survivors - Review of the Literature. Pathol Oncol Res. 2020 Jan;26(1):63-78. doi: 10.1007/s12253-018-00569-x. Epub 2019 Jan 8. PMID: 30617760; PMCID: PMC7109141.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Hoel, D. G., et al. (2016). The risks and benefits of sun exposure 2016. Dermato-endocrinology, 8(1).</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Bregar, A., Taylor, K., &amp; Stuckey, A. (2014). Hormone therapy in survivors of gynaecological and breast cancer. </w:t>
      </w:r>
      <w:r w:rsidRPr="008C7027">
        <w:rPr>
          <w:rFonts w:ascii="Times New Roman" w:eastAsia="Times New Roman" w:hAnsi="Times New Roman" w:cs="Times New Roman"/>
          <w:i/>
          <w:iCs/>
          <w:color w:val="333333"/>
          <w:spacing w:val="4"/>
          <w:sz w:val="27"/>
          <w:szCs w:val="27"/>
          <w:lang w:eastAsia="ru-RU"/>
        </w:rPr>
        <w:t>The Obstetrician &amp; Gynaecologist</w:t>
      </w:r>
      <w:r w:rsidRPr="008C7027">
        <w:rPr>
          <w:rFonts w:ascii="Times New Roman" w:eastAsia="Times New Roman" w:hAnsi="Times New Roman" w:cs="Times New Roman"/>
          <w:color w:val="222222"/>
          <w:spacing w:val="4"/>
          <w:sz w:val="27"/>
          <w:szCs w:val="27"/>
          <w:lang w:eastAsia="ru-RU"/>
        </w:rPr>
        <w:t>, </w:t>
      </w:r>
      <w:r w:rsidRPr="008C7027">
        <w:rPr>
          <w:rFonts w:ascii="Times New Roman" w:eastAsia="Times New Roman" w:hAnsi="Times New Roman" w:cs="Times New Roman"/>
          <w:i/>
          <w:iCs/>
          <w:color w:val="333333"/>
          <w:spacing w:val="4"/>
          <w:sz w:val="27"/>
          <w:szCs w:val="27"/>
          <w:lang w:eastAsia="ru-RU"/>
        </w:rPr>
        <w:t>16</w:t>
      </w:r>
      <w:r w:rsidRPr="008C7027">
        <w:rPr>
          <w:rFonts w:ascii="Times New Roman" w:eastAsia="Times New Roman" w:hAnsi="Times New Roman" w:cs="Times New Roman"/>
          <w:color w:val="222222"/>
          <w:spacing w:val="4"/>
          <w:sz w:val="27"/>
          <w:szCs w:val="27"/>
          <w:lang w:eastAsia="ru-RU"/>
        </w:rPr>
        <w:t>(4), 251-258.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Maltser S, Cristian A, Silver JK, Morris GS, Stout NL. A focused review of safety considerations in cancer rehabilitation. PM&amp;R. 2017 Sep 1;9(9):S415-28.</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Derksen JW, Beijer S, Koopman M, Verkooijen HM, van de Poll-Franse LV, May AM. Monitoring potentially modifiable lifestyle factors in cancer survivors: a narrative review on currently available methodologies and innovations for large-scale surveillance. European Journal of Cancer. 2018 Nov 1;103:327-40.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Arem H, Loftfield E. Cancer epidemiology: a survey of modifiable risk factors for prevention and survivorship. American journal of lifestyle medicine. 2018 May;12(3):200-10.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Vijayvergia N, Denlinger CS. Lifestyle factors in cancer survivorship: where we are and where we are headed. Journal of personalized medicine. 2015 Jul 2;5(3):243-63.</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Serfaty D. Update on the contraceptive contraindications. </w:t>
      </w:r>
      <w:r w:rsidRPr="008C7027">
        <w:rPr>
          <w:rFonts w:ascii="Times New Roman" w:eastAsia="Times New Roman" w:hAnsi="Times New Roman" w:cs="Times New Roman"/>
          <w:i/>
          <w:iCs/>
          <w:color w:val="333333"/>
          <w:spacing w:val="4"/>
          <w:sz w:val="27"/>
          <w:szCs w:val="27"/>
          <w:lang w:eastAsia="ru-RU"/>
        </w:rPr>
        <w:t>J Gynecol Obstet Hum Reprod. </w:t>
      </w:r>
      <w:r w:rsidRPr="008C7027">
        <w:rPr>
          <w:rFonts w:ascii="Times New Roman" w:eastAsia="Times New Roman" w:hAnsi="Times New Roman" w:cs="Times New Roman"/>
          <w:color w:val="222222"/>
          <w:spacing w:val="4"/>
          <w:sz w:val="27"/>
          <w:szCs w:val="27"/>
          <w:lang w:eastAsia="ru-RU"/>
        </w:rPr>
        <w:t>2019;48(5):297–307. doi: 10.1016/j.jogoh.2019.02.006.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Jeanne Tie, M.D., Joshua D. Cohen, M.Phil, et al. Circulating Tumor DNA Analysis Guiding Adjuvant Therapy in Stage II Colon Cancer. N Engl J Med 2022;386:2261-2272.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Rene Adam, Céline Piedvache, Laurence Chiche, et al. Chemotherapy and liver transplantation versus chemotherapy alone in patients with definitively unresectable colorectal liver metastases: A prospective multicentric randomized trial (TRANSMET). Journal of Clinical Oncology Volume 42, Number 16_suppl June 2024.</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Mifen Chen, Zhenghang Wang, Zimi Liu, et al. PD-1/PD-L1 Inhibitor Plus Chemotherapy Versus PD-1/PD-L1 Inhibitor in Microsatellite Instability Gastrointestinal Cancers: A Multicenter Retrospective Study.  JCO Precision Oncology Volume 7 </w:t>
      </w:r>
      <w:hyperlink r:id="rId29" w:history="1">
        <w:r w:rsidRPr="008C7027">
          <w:rPr>
            <w:rFonts w:ascii="Times New Roman" w:eastAsia="Times New Roman" w:hAnsi="Times New Roman" w:cs="Times New Roman"/>
            <w:color w:val="0000FF"/>
            <w:spacing w:val="4"/>
            <w:sz w:val="27"/>
            <w:szCs w:val="27"/>
            <w:u w:val="single"/>
            <w:lang w:eastAsia="ru-RU"/>
          </w:rPr>
          <w:t>https://doi.org/10.1200/PO.22.00463</w:t>
        </w:r>
      </w:hyperlink>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Kohei Shitara , Jaffer A. Ajani , Markus Moehler, et al. Nivolumab plus chemotherapy or ipilimumab in gastro-oesophageal cancer. Nature. Vol 603. 31 March 2022.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Thierry Andre, Elena Elez, Eric Van Cutsem, et al. Nivolumab (NIVO) plus ipilimumab (IPI) vs chemotherapy (chemo) as first-line (1L) treatment for microsatellite instability-high/mismatch repair-deficient (MSI-H/dMMR) metastatic colorectal cancer (mCRC): First results of the CheckMate 8HW study. Journal of Clinical Oncology Volume 42, Number 3_suppl January 2024.</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David S Hong, Steven G DuBois, Shivaani Kummar, et al. Larotrectinib in patients with TRK fusion-positive solid tumours: a pooled analysis of three phase 1/2 clinical trials. Lancet Oncol. 2020 Apr;21(4):531-540.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Robert C Doebele, Alexander Drilon, Luis Paz-Ares, et al. Entrectinib in patients with advanced or metastatic NTRK fusion-positive solid tumours: integrated analysis of three phase 1-2 trials. Lancet Oncol. 2020 Feb;21(2):271-282.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Takayuki Yoshino, Maria Di Bartolomeo,  et al. Final results of DESTINY-CRC01 investigating trastuzumab deruxtecan in patients with HER2-expressing metastatic colorectal cancer. Nat Commun. 2023 Jun 7;14(1):3332</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Marwan G Fakih, Lisa Salvatore, Taito Esaki, et al. Sotorasib plus Panitumumab in Refractory Colorectal Cancer with Mutated </w:t>
      </w:r>
      <w:r w:rsidRPr="008C7027">
        <w:rPr>
          <w:rFonts w:ascii="Times New Roman" w:eastAsia="Times New Roman" w:hAnsi="Times New Roman" w:cs="Times New Roman"/>
          <w:i/>
          <w:iCs/>
          <w:color w:val="333333"/>
          <w:spacing w:val="4"/>
          <w:sz w:val="27"/>
          <w:szCs w:val="27"/>
          <w:lang w:eastAsia="ru-RU"/>
        </w:rPr>
        <w:t>KRAS</w:t>
      </w:r>
      <w:r w:rsidRPr="008C7027">
        <w:rPr>
          <w:rFonts w:ascii="Times New Roman" w:eastAsia="Times New Roman" w:hAnsi="Times New Roman" w:cs="Times New Roman"/>
          <w:color w:val="222222"/>
          <w:spacing w:val="4"/>
          <w:sz w:val="27"/>
          <w:szCs w:val="27"/>
          <w:lang w:eastAsia="ru-RU"/>
        </w:rPr>
        <w:t> G12C. N Engl J Med. 2023 Dec 7;389(23):2125-2139.</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Julien Hadoux, Rossella Elisei, Marcia S Brose, et al. Phase 3 Trial of Selpercatinib in Advanced </w:t>
      </w:r>
      <w:r w:rsidRPr="008C7027">
        <w:rPr>
          <w:rFonts w:ascii="Times New Roman" w:eastAsia="Times New Roman" w:hAnsi="Times New Roman" w:cs="Times New Roman"/>
          <w:i/>
          <w:iCs/>
          <w:color w:val="333333"/>
          <w:spacing w:val="4"/>
          <w:sz w:val="27"/>
          <w:szCs w:val="27"/>
          <w:lang w:eastAsia="ru-RU"/>
        </w:rPr>
        <w:t>RET</w:t>
      </w:r>
      <w:r w:rsidRPr="008C7027">
        <w:rPr>
          <w:rFonts w:ascii="Times New Roman" w:eastAsia="Times New Roman" w:hAnsi="Times New Roman" w:cs="Times New Roman"/>
          <w:color w:val="222222"/>
          <w:spacing w:val="4"/>
          <w:sz w:val="27"/>
          <w:szCs w:val="27"/>
          <w:lang w:eastAsia="ru-RU"/>
        </w:rPr>
        <w:t>-Mutant Medullary Thyroid Cancer. N Engl J Med. 2023 Nov 16;389(20):1851-1861.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Antonio Avallone, Francesco Giuliani, Guglielmo Nasti, et al. Intermittent or continuous panitumumab plus FOLFIRI (FOLFIRI/PANI) for first-line treatment of patients (pts) with RAS/BRAF wild-type (wt) metastatic colorectal cancer (mCRC): An update of survival/toxicity and preliminary results of genomic alterations from IMPROVE study. Journal of Clinical Oncology Volume 41, Number 16_suppl June 2023.</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Scott Kopetz, Axel Grothey, Rona Yaeger, et al. Encorafenib, Binimetinib, and Cetuximab in </w:t>
      </w:r>
      <w:r w:rsidRPr="008C7027">
        <w:rPr>
          <w:rFonts w:ascii="Times New Roman" w:eastAsia="Times New Roman" w:hAnsi="Times New Roman" w:cs="Times New Roman"/>
          <w:i/>
          <w:iCs/>
          <w:color w:val="333333"/>
          <w:spacing w:val="4"/>
          <w:sz w:val="27"/>
          <w:szCs w:val="27"/>
          <w:lang w:eastAsia="ru-RU"/>
        </w:rPr>
        <w:t>BRAF</w:t>
      </w:r>
      <w:r w:rsidRPr="008C7027">
        <w:rPr>
          <w:rFonts w:ascii="Times New Roman" w:eastAsia="Times New Roman" w:hAnsi="Times New Roman" w:cs="Times New Roman"/>
          <w:color w:val="222222"/>
          <w:spacing w:val="4"/>
          <w:sz w:val="27"/>
          <w:szCs w:val="27"/>
          <w:lang w:eastAsia="ru-RU"/>
        </w:rPr>
        <w:t> V600E-Mutated Colorectal Cancer. N Engl J Med. 2019 Oct 24;381(17):1632-1643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Yungchang Chen, Xiaoqian Li, Man Yuxin, et al. Phase Ib study of dabrafenib, trametinib, irinotecan and cetuximab in BRAF V600E-mutated metastatic colorectal cancer. Journal of Clinical Oncology Volume 41, Number 4_suppl February 2023.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Ryan B. Corcoran, Thierry André, Chloe E. Atreya, et al. Combined BRAF, EGFR, and MEK Inhibition in Patients With BRAFV600E-Mutant Colorectal Cancer. Cancer Discov. 2018 Apr; 8(4): 428–443.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J. Tabernero, T. Yoshino, T.W. Kim, et al. BREAKWATER safety lead-in (SLI): Encorafenib (E) + cetuximab (C) + chemotherapy (chemo) for BRAFV600E metastatic colorectal cancer (mCRC). Ann Oncol.| VOLUME 33, SUPPLEMENT 7, S1392-S1393, SEPTEMBER 2022. LBA26.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Valtorta E, Martino C, Sartore-Bianchi A, Penaullt-Llorca F, Viale G, Risio M, Rugge M, Grigioni W, Bencardino K, Lonardi S, Zagonel V, Leone F, Noe J, Ciardiello F, Pinto C, Labianca R, Mosconi S, Graiff C, Aprile G, Frau B, Garufi C, Loupakis F, Racca P, Tonini G, Lauricella C, Veronese S, Truini M, Siena S, Marsoni S, Gambacorta M. Assessment of a HER2 scoring system for colorectal cancer: results from a validation study. Mod Pathol. 2015 Nov;28(11):1481-91.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Bartley AN, Washington MK, Ventura CB, Ismaila N, Colasacco C, Benson AB 3rd, Carrato A, Gulley ML, Jain D, Kakar S, Mackay HJ, Streutker C, Tang L, Troxell M, Ajani JA. HER2 Testing and Clinical Decision Making in Gastroesophageal Adenocarcinoma: Guideline From the College of American Pathologists, American Society for Clinical Pathology, and American Society of Clinical Oncology. Arch Pathol Lab Med. 2016 Dec;140(12):1345-1363.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Bartley AN, Mills AM, Konnick E, Overman M, Ventura CB, Souter L, Colasacco C, Stadler ZK, Kerr S, Howitt BE, Hampel H, Adams SF, Johnson W, Magi-Galluzzi C, Sepulveda AR, Broaddus RR. Mismatch Repair and Microsatellite Instability Testing for Immune Checkpoint Inhibitor Therapy: Guideline From the College of American Pathologists in Collaboration With the Association for Molecular Pathology and Fight Colorectal Cancer. Arch Pathol Lab Med. 2022 Oct 1;146(10):1194-1210.</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 .A. Zagidullina, O.A. Kuznetsova, A. Tryakin, et al., M. Fedyanin, et al. Neoadjuvant immunotherapy with prolgolimab in locally advanced MSI/dMMR colorectal cancer: Safety and efficacy analysis. Annals of Oncology (2024) 35 (suppl_1): S1-S74. 10.1016/annonc/annonc1477.</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Somatic POLE exonuclease domain mutations elicit enhanced intratumoral immune responses in stage II colorectal cancer. J Immunother Cancer 2020;8:e000881.</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Ambrosini M, Rousseau B, Manca P, et al. Immune checkpoint inhibitors for POLE or POLD1 proofreading-deficient metastatic colorectal cancer. Annals of Oncology. 2024;35(7):643-655.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Mur P, García-Mulero S, Del Valle J, et al. Role of POLE and POLD1 in familial cancer. Genet Med 2020;22:2089-2100. 71 Mur P, Viana-Errasti J, Garcia-Mulero S, et al.</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Recommendations for the classification of germline variants in the exonuclease domain of POLE and POLD1. Genome Med 2023;15:85.</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Wang Z., Qin B. D., Ye C. Y., Wang M. M., Yuan L. Y., Dai W. P., Sun L., Liu K., Qin W. X., Jiao X. D., Li X. N., Zang Y. S. Cetuximab and vemurafenib plus FOLFIRI (5-fluorouracil/leucovorin/irinotecan) for BRAF V600E-mutated advanced colorectal cancer (IMPROVEMENT): An open-label, single-arm, phase II trial // Eur J Cancer. ‒ 2022. ‒ T. 163. ‒ C. 152-162.</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Petrelli F, Zaniboni A, Ghidini A, et al. Timing of Adjuvant Chemotherapy and Survival in Colorectal, Gastric, and Pancreatic Cancer. A Systematic Review and Meta-Analysis. Cancers (Basel). 2019 Apr 17;11(4):550. doi: 10.3390/cancers11040550.</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0"/>
          <w:szCs w:val="20"/>
          <w:vertAlign w:val="superscript"/>
          <w:lang w:eastAsia="ru-RU"/>
        </w:rPr>
        <w:t> </w:t>
      </w:r>
      <w:r w:rsidRPr="008C7027">
        <w:rPr>
          <w:rFonts w:ascii="Times New Roman" w:eastAsia="Times New Roman" w:hAnsi="Times New Roman" w:cs="Times New Roman"/>
          <w:color w:val="222222"/>
          <w:spacing w:val="4"/>
          <w:sz w:val="27"/>
          <w:szCs w:val="27"/>
          <w:lang w:eastAsia="ru-RU"/>
        </w:rPr>
        <w:t>Cornes P, Gascon P, Chan S, et al. Systematic Review and Meta-analysis of Short- versus Long-Acting Granulocyte Colony-Stimulating Factors for Reduction of Chemotherapy-Induced Febrile Neutropenia. Adv Ther. 2018 Oct 8;35(11):1816–1829. doi: 10.1007/s12325-018-0798-6.</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Aghedo BO, Gupta V. Filgrastim. StatPearls [Internet].</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NCCN Clinical Practice Guidelines in Oncology (NCCN Guidelines®) Colon Cancer Version 3.2025 — April 24, 2025.</w:t>
      </w:r>
    </w:p>
    <w:p w:rsidR="008C7027" w:rsidRPr="008C7027" w:rsidRDefault="008C7027" w:rsidP="008C7027">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Piringer G, Decker J, Trommet V, et al. Ongoing complete response after treatment cessation with dabrafenib, trametinib, and cetuximab as third-line treatment in a patient with advanced BRAF</w:t>
      </w:r>
      <w:r w:rsidRPr="008C7027">
        <w:rPr>
          <w:rFonts w:ascii="Times New Roman" w:eastAsia="Times New Roman" w:hAnsi="Times New Roman" w:cs="Times New Roman"/>
          <w:color w:val="222222"/>
          <w:spacing w:val="4"/>
          <w:sz w:val="20"/>
          <w:szCs w:val="20"/>
          <w:vertAlign w:val="superscript"/>
          <w:lang w:eastAsia="ru-RU"/>
        </w:rPr>
        <w:t>V600E</w:t>
      </w:r>
      <w:r w:rsidRPr="008C7027">
        <w:rPr>
          <w:rFonts w:ascii="Times New Roman" w:eastAsia="Times New Roman" w:hAnsi="Times New Roman" w:cs="Times New Roman"/>
          <w:color w:val="222222"/>
          <w:spacing w:val="4"/>
          <w:sz w:val="27"/>
          <w:szCs w:val="27"/>
          <w:lang w:eastAsia="ru-RU"/>
        </w:rPr>
        <w:t> mutated, microsatellite-stable colon cancer: A case report and literature review. Front Oncol. 2023 May 5:13:1166545. doi: 10.3389/fonc.2023.1166545. eCollection 2023;</w:t>
      </w:r>
    </w:p>
    <w:p w:rsidR="008C7027" w:rsidRPr="008C7027" w:rsidRDefault="008C7027" w:rsidP="008C7027">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Jiang S, Wu Y, Wei W, et al. Cetuximab and Dabrafenib Plus Trametinib for Untreated Colonic Metastasis of BRAFV600E Mutant Primary Lung Adenocarcinoma with Signet Ring Cell Features: An Interesting and Rare Case Report. Onco Targets Ther. 2022 Sep 26;15:1057–1062. doi: 10.2147/OTT.S375436</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Мамедли Замар Заурович, </w:t>
      </w:r>
      <w:r w:rsidRPr="008C7027">
        <w:rPr>
          <w:rFonts w:ascii="Times New Roman" w:eastAsia="Times New Roman" w:hAnsi="Times New Roman" w:cs="Times New Roman"/>
          <w:color w:val="222222"/>
          <w:spacing w:val="4"/>
          <w:sz w:val="27"/>
          <w:szCs w:val="27"/>
          <w:lang w:eastAsia="ru-RU"/>
        </w:rPr>
        <w:t>д.м.н., заведующий отделением хирургического отделения №3 (колопроктологии) ФГБУ «НМИЦ онкологии им. Н.Н. Блохина»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Гордеев Сергей Сергеевич, </w:t>
      </w:r>
      <w:r w:rsidRPr="008C7027">
        <w:rPr>
          <w:rFonts w:ascii="Times New Roman" w:eastAsia="Times New Roman" w:hAnsi="Times New Roman" w:cs="Times New Roman"/>
          <w:color w:val="222222"/>
          <w:spacing w:val="4"/>
          <w:sz w:val="27"/>
          <w:szCs w:val="27"/>
          <w:lang w:eastAsia="ru-RU"/>
        </w:rPr>
        <w:t>д.м.н., заведующий отделом планирования и координации научных исследований ФГБУ «НМИЦ онкологии им. Н.Н. Блохина»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Федянин Михаил Юрьевич</w:t>
      </w:r>
      <w:r w:rsidRPr="008C7027">
        <w:rPr>
          <w:rFonts w:ascii="Times New Roman" w:eastAsia="Times New Roman" w:hAnsi="Times New Roman" w:cs="Times New Roman"/>
          <w:color w:val="222222"/>
          <w:spacing w:val="4"/>
          <w:sz w:val="27"/>
          <w:szCs w:val="27"/>
          <w:lang w:eastAsia="ru-RU"/>
        </w:rPr>
        <w:t>, д.м.н., профессор, руководитель департамента науки ФГБУ «НМИЦ онкологии им. Н.Н. Блохина» Минздрава России; руководитель службы химиотерапевтического лечения ГБУЗ «ММКЦ Коммунарка» ДЗ г. Москвы; заведующий кафедрой онкологии ФГБУ «НМХЦ им. Н.И. Пирогова»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Ачкасов Сергей Иванович, </w:t>
      </w:r>
      <w:r w:rsidRPr="008C7027">
        <w:rPr>
          <w:rFonts w:ascii="Times New Roman" w:eastAsia="Times New Roman" w:hAnsi="Times New Roman" w:cs="Times New Roman"/>
          <w:color w:val="222222"/>
          <w:spacing w:val="4"/>
          <w:sz w:val="27"/>
          <w:szCs w:val="27"/>
          <w:lang w:eastAsia="ru-RU"/>
        </w:rPr>
        <w:t>д.м.н., проф., директор ФГБУ «НМИЦ колопроктологии им. А.Н. Рыжих»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Белохвостова Анна Сергеевна, </w:t>
      </w:r>
      <w:r w:rsidRPr="008C7027">
        <w:rPr>
          <w:rFonts w:ascii="Times New Roman" w:eastAsia="Times New Roman" w:hAnsi="Times New Roman" w:cs="Times New Roman"/>
          <w:color w:val="222222"/>
          <w:spacing w:val="4"/>
          <w:sz w:val="27"/>
          <w:szCs w:val="27"/>
          <w:lang w:eastAsia="ru-RU"/>
        </w:rPr>
        <w:t>к.м.н., заведующая отделением лекарственного лечения злокачественных новообразований МРНЦ им. А.Ф. Цыба - филиал ФГБУ «НМИЦ радиологии»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Болотина Лариса Владимировна, </w:t>
      </w:r>
      <w:r w:rsidRPr="008C7027">
        <w:rPr>
          <w:rFonts w:ascii="Times New Roman" w:eastAsia="Times New Roman" w:hAnsi="Times New Roman" w:cs="Times New Roman"/>
          <w:color w:val="222222"/>
          <w:spacing w:val="4"/>
          <w:sz w:val="27"/>
          <w:szCs w:val="27"/>
          <w:lang w:eastAsia="ru-RU"/>
        </w:rPr>
        <w:t>д.м.н., заведующая отделением химиотерапии отдела лекарственного лечения опухолей МНИОИ им. П.А. Герцена - филиал ФГБУ «НМИЦ радиологии»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Карачун Алексей Михайлович</w:t>
      </w:r>
      <w:r w:rsidRPr="008C7027">
        <w:rPr>
          <w:rFonts w:ascii="Times New Roman" w:eastAsia="Times New Roman" w:hAnsi="Times New Roman" w:cs="Times New Roman"/>
          <w:color w:val="222222"/>
          <w:spacing w:val="4"/>
          <w:sz w:val="27"/>
          <w:szCs w:val="27"/>
          <w:lang w:eastAsia="ru-RU"/>
        </w:rPr>
        <w:t>, профессор, д.м.н. заведующий хирургическим отделением абдоминальной онкологии ФГБУ «НМИЦ онкологии им. Н.Н. Петрова» Минздрава России, сотрудник кафедры онкологии Северо-Западного государственного медицинского университета им. И.И. Мечникова.</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Козлов Николай Александрович, </w:t>
      </w:r>
      <w:r w:rsidRPr="008C7027">
        <w:rPr>
          <w:rFonts w:ascii="Times New Roman" w:eastAsia="Times New Roman" w:hAnsi="Times New Roman" w:cs="Times New Roman"/>
          <w:color w:val="222222"/>
          <w:spacing w:val="4"/>
          <w:sz w:val="27"/>
          <w:szCs w:val="27"/>
          <w:lang w:eastAsia="ru-RU"/>
        </w:rPr>
        <w:t>к.м.н., врач-патологоанатом патологоанатомического отделения ФГБУ «НМИЦ онкологии им. Н.Н. Блохина»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Невольских Алексей Алексеевич,</w:t>
      </w:r>
      <w:r w:rsidRPr="008C7027">
        <w:rPr>
          <w:rFonts w:ascii="Times New Roman" w:eastAsia="Times New Roman" w:hAnsi="Times New Roman" w:cs="Times New Roman"/>
          <w:color w:val="222222"/>
          <w:spacing w:val="4"/>
          <w:sz w:val="27"/>
          <w:szCs w:val="27"/>
          <w:lang w:eastAsia="ru-RU"/>
        </w:rPr>
        <w:t> д.м.н., заместитель директора по лечебной работе МРНЦ им. А.Ф. Цыба - филиала ФГБУ «НМИЦ радиологии»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Петров Кирилл Сергеевич,</w:t>
      </w:r>
      <w:r w:rsidRPr="008C7027">
        <w:rPr>
          <w:rFonts w:ascii="Times New Roman" w:eastAsia="Times New Roman" w:hAnsi="Times New Roman" w:cs="Times New Roman"/>
          <w:color w:val="222222"/>
          <w:spacing w:val="4"/>
          <w:sz w:val="27"/>
          <w:szCs w:val="27"/>
          <w:lang w:eastAsia="ru-RU"/>
        </w:rPr>
        <w:t> к.м.н., врач-рентгенолог, отделение рентгенодиагностики ФГБУ «НМИЦ онкологии им. Н.Н. Блохина»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Трякин Алексей Александрович, </w:t>
      </w:r>
      <w:r w:rsidRPr="008C7027">
        <w:rPr>
          <w:rFonts w:ascii="Times New Roman" w:eastAsia="Times New Roman" w:hAnsi="Times New Roman" w:cs="Times New Roman"/>
          <w:color w:val="222222"/>
          <w:spacing w:val="4"/>
          <w:sz w:val="27"/>
          <w:szCs w:val="27"/>
          <w:lang w:eastAsia="ru-RU"/>
        </w:rPr>
        <w:t>д.м.н., профессор, заместитель директора по научной работе НИИ КО, заведующий отделением противоопухолевой лекарственной терапии №2 ФГБУ «НМИЦ Онкологии им. Н.Н. Блохина» Минздрава России.</w:t>
      </w:r>
    </w:p>
    <w:p w:rsidR="008C7027" w:rsidRPr="008C7027" w:rsidRDefault="008C7027" w:rsidP="008C7027">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Цуканов Алексей Сергеевич,</w:t>
      </w:r>
      <w:r w:rsidRPr="008C7027">
        <w:rPr>
          <w:rFonts w:ascii="Times New Roman" w:eastAsia="Times New Roman" w:hAnsi="Times New Roman" w:cs="Times New Roman"/>
          <w:color w:val="222222"/>
          <w:spacing w:val="4"/>
          <w:sz w:val="27"/>
          <w:szCs w:val="27"/>
          <w:lang w:eastAsia="ru-RU"/>
        </w:rPr>
        <w:t> д.м.н., руководитель отдела лабораторной генетики, ФГБУ «НМИЦ колопроктологии имени А.Н. Рыжих» Минздрава России.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Блок по реабилитации</w:t>
      </w:r>
    </w:p>
    <w:p w:rsidR="008C7027" w:rsidRPr="008C7027" w:rsidRDefault="008C7027" w:rsidP="008C7027">
      <w:pPr>
        <w:numPr>
          <w:ilvl w:val="0"/>
          <w:numId w:val="1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Мерзлякова Анна Михайловна, </w:t>
      </w:r>
      <w:r w:rsidRPr="008C7027">
        <w:rPr>
          <w:rFonts w:ascii="Times New Roman" w:eastAsia="Times New Roman" w:hAnsi="Times New Roman" w:cs="Times New Roman"/>
          <w:color w:val="222222"/>
          <w:spacing w:val="4"/>
          <w:sz w:val="27"/>
          <w:szCs w:val="27"/>
          <w:lang w:eastAsia="ru-RU"/>
        </w:rPr>
        <w:t>к.м.н., врач-онколог отделения медицинской реабилитации МНИОИ им. П.А. Герцена - филиал ФГБУ «НМИЦ Радиологии» Минздрава России.</w:t>
      </w:r>
    </w:p>
    <w:p w:rsidR="008C7027" w:rsidRPr="008C7027" w:rsidRDefault="008C7027" w:rsidP="008C7027">
      <w:pPr>
        <w:numPr>
          <w:ilvl w:val="0"/>
          <w:numId w:val="1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Обухова Ольга Аркадьевна, </w:t>
      </w:r>
      <w:r w:rsidRPr="008C7027">
        <w:rPr>
          <w:rFonts w:ascii="Times New Roman" w:eastAsia="Times New Roman" w:hAnsi="Times New Roman" w:cs="Times New Roman"/>
          <w:color w:val="222222"/>
          <w:spacing w:val="4"/>
          <w:sz w:val="27"/>
          <w:szCs w:val="27"/>
          <w:lang w:eastAsia="ru-RU"/>
        </w:rPr>
        <w:t>к.м.н., врач ФРМ отделения реабилитации ФГБУ «НМИЦ онкологии им. Н.Н. Блохина» Минздрава России.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8C7027" w:rsidRPr="008C7027" w:rsidRDefault="008C7027" w:rsidP="008C7027">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Геворкян Тигран Гагикович, </w:t>
      </w:r>
      <w:r w:rsidRPr="008C7027">
        <w:rPr>
          <w:rFonts w:ascii="Times New Roman" w:eastAsia="Times New Roman" w:hAnsi="Times New Roman" w:cs="Times New Roman"/>
          <w:color w:val="222222"/>
          <w:spacing w:val="4"/>
          <w:sz w:val="27"/>
          <w:szCs w:val="27"/>
          <w:lang w:eastAsia="ru-RU"/>
        </w:rPr>
        <w:t>заместитель директора по реализации федеральных проектов ФГБУ «НМИЦ онкологии им. Н.Н. Блохина» Минздрава России.</w:t>
      </w:r>
    </w:p>
    <w:p w:rsidR="008C7027" w:rsidRPr="008C7027" w:rsidRDefault="008C7027" w:rsidP="008C7027">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Фоменко Юрий Александрович, </w:t>
      </w:r>
      <w:r w:rsidRPr="008C7027">
        <w:rPr>
          <w:rFonts w:ascii="Times New Roman" w:eastAsia="Times New Roman" w:hAnsi="Times New Roman" w:cs="Times New Roman"/>
          <w:color w:val="222222"/>
          <w:spacing w:val="4"/>
          <w:sz w:val="27"/>
          <w:szCs w:val="27"/>
          <w:lang w:eastAsia="ru-RU"/>
        </w:rPr>
        <w:t>к.м.н., заместитель генерального директора по клинико-экспертной работе ФГБУ "НМИЦ онкологии" Минздрава России.</w:t>
      </w:r>
    </w:p>
    <w:p w:rsidR="008C7027" w:rsidRPr="008C7027" w:rsidRDefault="008C7027" w:rsidP="008C7027">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Иванов Сергей Анатольевич, </w:t>
      </w:r>
      <w:r w:rsidRPr="008C7027">
        <w:rPr>
          <w:rFonts w:ascii="Times New Roman" w:eastAsia="Times New Roman" w:hAnsi="Times New Roman" w:cs="Times New Roman"/>
          <w:color w:val="222222"/>
          <w:spacing w:val="4"/>
          <w:sz w:val="27"/>
          <w:szCs w:val="27"/>
          <w:lang w:eastAsia="ru-RU"/>
        </w:rPr>
        <w:t>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8C7027" w:rsidRPr="008C7027" w:rsidRDefault="008C7027" w:rsidP="008C7027">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Хайлова Жанна Владимировна,</w:t>
      </w:r>
      <w:r w:rsidRPr="008C7027">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8C7027" w:rsidRPr="008C7027" w:rsidRDefault="008C7027" w:rsidP="008C7027">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Комаров Юрий Игоревич, </w:t>
      </w:r>
      <w:r w:rsidRPr="008C7027">
        <w:rPr>
          <w:rFonts w:ascii="Times New Roman" w:eastAsia="Times New Roman" w:hAnsi="Times New Roman" w:cs="Times New Roman"/>
          <w:color w:val="222222"/>
          <w:spacing w:val="4"/>
          <w:sz w:val="27"/>
          <w:szCs w:val="27"/>
          <w:lang w:eastAsia="ru-RU"/>
        </w:rPr>
        <w:t>к.м.н., заместитель директора по организационно-методической работе ФГБУ «НМИЦ онкологии им. Н. Н. Петрова» Минздрава России.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Блок по сопроводительной терапии</w:t>
      </w:r>
    </w:p>
    <w:p w:rsidR="008C7027" w:rsidRPr="008C7027" w:rsidRDefault="008C7027" w:rsidP="008C7027">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Гладков Олег Александрович,</w:t>
      </w:r>
      <w:r w:rsidRPr="008C7027">
        <w:rPr>
          <w:rFonts w:ascii="Times New Roman" w:eastAsia="Times New Roman" w:hAnsi="Times New Roman" w:cs="Times New Roman"/>
          <w:color w:val="222222"/>
          <w:spacing w:val="4"/>
          <w:sz w:val="27"/>
          <w:szCs w:val="27"/>
          <w:lang w:eastAsia="ru-RU"/>
        </w:rPr>
        <w:t> профессор, д.м.н., директор медицинского центра ООО “ЭВИМЕД”.</w:t>
      </w:r>
    </w:p>
    <w:p w:rsidR="008C7027" w:rsidRPr="008C7027" w:rsidRDefault="008C7027" w:rsidP="008C7027">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Карасева Вера Витальевна,</w:t>
      </w:r>
      <w:r w:rsidRPr="008C7027">
        <w:rPr>
          <w:rFonts w:ascii="Times New Roman" w:eastAsia="Times New Roman" w:hAnsi="Times New Roman" w:cs="Times New Roman"/>
          <w:color w:val="222222"/>
          <w:spacing w:val="4"/>
          <w:sz w:val="27"/>
          <w:szCs w:val="27"/>
          <w:lang w:eastAsia="ru-RU"/>
        </w:rPr>
        <w:t> д.м.н., доцент, профессор, кафедра онкологии ИНОПР ФГБОУ ВО РНИМУ им. Н.И. Пирогова Минздрава России.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Конфликта интересов нет.</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1) врачи-онкологи,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2) врачи-хирурги,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3) врачи-радиологи,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4) врачи-генетики,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5) врачи-радиотерапевты,</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6) врачи-колопроктологи,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7) врачи-эндоскописты,</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8) врачи-клинические фармакологи,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9) специалисты по медицинской реабилитации.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8C7027">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рака ободочной кишки и ректосигмоидного перехода в РФ и за рубежом; обобщение практического опыта российских и зарубежных специалистов.</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Шкала оценки достоверности доказательств для методов диагностики, профилактики, лечения и реабилитации (диагностических, профилактических, лечебных, реабилитационных вмешательств) и шкала оценки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 представлены ниже.</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Таблица П1.</w:t>
      </w:r>
      <w:r w:rsidRPr="008C702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Расшифровка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Несравнительные исследования, описание клинического случая</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Таблица П2.</w:t>
      </w:r>
      <w:r w:rsidRPr="008C702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Расшифровка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Нерандомизированные сравнительные исследования, в том числе когортные</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типа «случай-контроль»</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Таблица П3.</w:t>
      </w:r>
      <w:r w:rsidRPr="008C7027">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b/>
                <w:bCs/>
                <w:sz w:val="27"/>
                <w:szCs w:val="27"/>
                <w:lang w:eastAsia="ru-RU"/>
              </w:rPr>
              <w:t>Расшифровка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8C7027">
        <w:rPr>
          <w:rFonts w:ascii="Times New Roman" w:eastAsia="Times New Roman" w:hAnsi="Times New Roman" w:cs="Times New Roman"/>
          <w:color w:val="222222"/>
          <w:spacing w:val="4"/>
          <w:sz w:val="27"/>
          <w:szCs w:val="27"/>
          <w:lang w:eastAsia="ru-RU"/>
        </w:rPr>
        <w:t> консенсус экспертов.</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Экономический анализ. </w:t>
      </w:r>
      <w:r w:rsidRPr="008C7027">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Метод валидизации рекомендаций:</w:t>
      </w:r>
    </w:p>
    <w:p w:rsidR="008C7027" w:rsidRPr="008C7027" w:rsidRDefault="008C7027" w:rsidP="008C7027">
      <w:pPr>
        <w:numPr>
          <w:ilvl w:val="0"/>
          <w:numId w:val="1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Внешняя экспертная оценка.</w:t>
      </w:r>
    </w:p>
    <w:p w:rsidR="008C7027" w:rsidRPr="008C7027" w:rsidRDefault="008C7027" w:rsidP="008C7027">
      <w:pPr>
        <w:numPr>
          <w:ilvl w:val="0"/>
          <w:numId w:val="1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Внутренняя экспертная оценка.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Получены комментарии детских онкологов первичного звена о доходчивости изложения рекомендаций и их оценка важности рекомендаций как рабочего инструмента повседневной практики.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Консультации и экспертная оценка:</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Проект рекомендаций рецензирован также независимыми экспертами, которых попросили прокомментировать прежде всего то, насколько доходчива и точна интерпретация доказательной базы, лежащей в основе рекомендаций.</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1 раз в 3 года с учетом появившейся новой информации о диагностике и тактике ведения больных раком ободочной кишки и ректосигмоидного перехода, но не чаще 1 раза в 6 мес. Решение об обновлении принимает Минздрав России на основании предложений, внесенных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 xml:space="preserve">Актуальные инструкции к лекарственным препаратам, упоминаемым в данных клинических рекомендациях, можно найти в Государственном реестре </w:t>
      </w:r>
      <w:r w:rsidRPr="008C7027">
        <w:rPr>
          <w:rFonts w:ascii="Times New Roman" w:eastAsia="Times New Roman" w:hAnsi="Times New Roman" w:cs="Times New Roman"/>
          <w:color w:val="222222"/>
          <w:spacing w:val="4"/>
          <w:sz w:val="27"/>
          <w:szCs w:val="27"/>
          <w:lang w:eastAsia="ru-RU"/>
        </w:rPr>
        <w:lastRenderedPageBreak/>
        <w:t>лекарственных средств, размещенном на сайте Минздрава России: </w:t>
      </w:r>
      <w:hyperlink r:id="rId30" w:history="1">
        <w:r w:rsidRPr="008C7027">
          <w:rPr>
            <w:rFonts w:ascii="Times New Roman" w:eastAsia="Times New Roman" w:hAnsi="Times New Roman" w:cs="Times New Roman"/>
            <w:color w:val="0000FF"/>
            <w:spacing w:val="4"/>
            <w:sz w:val="27"/>
            <w:szCs w:val="27"/>
            <w:u w:val="single"/>
            <w:lang w:eastAsia="ru-RU"/>
          </w:rPr>
          <w:t>http://grls.rosminzdrav.ru</w:t>
        </w:r>
      </w:hyperlink>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Критерии генетического обследования пациентов с подозрением на синдром Линча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Критерии, разработанные ФГБУ «ГНЦК им. А.Н. Рыжих» для российских пациентов:</w:t>
      </w:r>
    </w:p>
    <w:p w:rsidR="008C7027" w:rsidRPr="008C7027" w:rsidRDefault="008C7027" w:rsidP="008C7027">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Пациент с колоректальным раком в возрасте до 43 лет.</w:t>
      </w:r>
    </w:p>
    <w:p w:rsidR="008C7027" w:rsidRPr="008C7027" w:rsidRDefault="008C7027" w:rsidP="008C7027">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Наряду с колоректальным раком зарегистрировано еще 2 и более случая злокачественных опухолей любой локализации у самого пациента или у кровных родственников независимо от возраста.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Критерии Amsterdam I</w:t>
      </w:r>
    </w:p>
    <w:p w:rsidR="008C7027" w:rsidRPr="008C7027" w:rsidRDefault="008C7027" w:rsidP="008C7027">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 крайней мере у 3 родственников присутствует гистологически верифицированный колоректальный рак, один из них – родственник 1-й линии.</w:t>
      </w:r>
    </w:p>
    <w:p w:rsidR="008C7027" w:rsidRPr="008C7027" w:rsidRDefault="008C7027" w:rsidP="008C7027">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Заболевание прослеживается по крайней мере в 2 поколениях.</w:t>
      </w:r>
    </w:p>
    <w:p w:rsidR="008C7027" w:rsidRPr="008C7027" w:rsidRDefault="008C7027" w:rsidP="008C7027">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 крайней мере у 1 из родственников колоректальный рак диагностирован в возрасте до 50 лет.</w:t>
      </w:r>
    </w:p>
    <w:p w:rsidR="008C7027" w:rsidRPr="008C7027" w:rsidRDefault="008C7027" w:rsidP="008C7027">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Семейный аденоматозный полипоз исключен [121].</w:t>
      </w:r>
    </w:p>
    <w:p w:rsidR="008C7027" w:rsidRPr="008C7027" w:rsidRDefault="008C7027" w:rsidP="008C702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C7027">
        <w:rPr>
          <w:rFonts w:ascii="Times New Roman" w:eastAsia="Times New Roman" w:hAnsi="Times New Roman" w:cs="Times New Roman"/>
          <w:b/>
          <w:bCs/>
          <w:color w:val="000000"/>
          <w:spacing w:val="4"/>
          <w:kern w:val="36"/>
          <w:sz w:val="48"/>
          <w:szCs w:val="48"/>
          <w:lang w:eastAsia="ru-RU"/>
        </w:rPr>
        <w:t>Приложение А4. Минимальный список мутаций генов RAS для тестирования при раке толстой кишки</w:t>
      </w:r>
    </w:p>
    <w:tbl>
      <w:tblPr>
        <w:tblW w:w="14024" w:type="dxa"/>
        <w:tblCellMar>
          <w:left w:w="0" w:type="dxa"/>
          <w:right w:w="0" w:type="dxa"/>
        </w:tblCellMar>
        <w:tblLook w:val="04A0" w:firstRow="1" w:lastRow="0" w:firstColumn="1" w:lastColumn="0" w:noHBand="0" w:noVBand="1"/>
      </w:tblPr>
      <w:tblGrid>
        <w:gridCol w:w="5010"/>
        <w:gridCol w:w="9014"/>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C7027" w:rsidRPr="008C7027" w:rsidRDefault="008C7027" w:rsidP="008C7027">
            <w:pPr>
              <w:spacing w:after="0" w:line="240" w:lineRule="atLeast"/>
              <w:jc w:val="both"/>
              <w:rPr>
                <w:rFonts w:ascii="Verdana" w:eastAsia="Times New Roman" w:hAnsi="Verdana" w:cs="Times New Roman"/>
                <w:b/>
                <w:bCs/>
                <w:sz w:val="27"/>
                <w:szCs w:val="27"/>
                <w:lang w:eastAsia="ru-RU"/>
              </w:rPr>
            </w:pPr>
            <w:r w:rsidRPr="008C7027">
              <w:rPr>
                <w:rFonts w:ascii="Verdana" w:eastAsia="Times New Roman" w:hAnsi="Verdana" w:cs="Times New Roman"/>
                <w:b/>
                <w:bCs/>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C7027" w:rsidRPr="008C7027" w:rsidRDefault="008C7027" w:rsidP="008C7027">
            <w:pPr>
              <w:spacing w:after="0" w:line="240" w:lineRule="atLeast"/>
              <w:jc w:val="both"/>
              <w:rPr>
                <w:rFonts w:ascii="Verdana" w:eastAsia="Times New Roman" w:hAnsi="Verdana" w:cs="Times New Roman"/>
                <w:b/>
                <w:bCs/>
                <w:sz w:val="27"/>
                <w:szCs w:val="27"/>
                <w:lang w:eastAsia="ru-RU"/>
              </w:rPr>
            </w:pPr>
            <w:r w:rsidRPr="008C7027">
              <w:rPr>
                <w:rFonts w:ascii="Verdana" w:eastAsia="Times New Roman" w:hAnsi="Verdana" w:cs="Times New Roman"/>
                <w:b/>
                <w:bCs/>
                <w:sz w:val="27"/>
                <w:szCs w:val="27"/>
                <w:lang w:eastAsia="ru-RU"/>
              </w:rPr>
              <w:t>Мутация</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KRAS (2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c.35G&gt;A (p.Gly12Asp)</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c.35G&gt;T (p.Gly12Val)</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c.35G&gt;C (p.Gly12Ala)</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c.34G&gt;T (p.Gly12Cys)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c.34G&gt;A (p.Gly12Ser)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c.34G&gt;C (p.Gly12Arg)</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с.37_38delinsTT (p.Gly13Phe)</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c.38G&gt;A (p.Gly13Asp)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c.38G&gt;C (p.Gly13Ala)</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c.37G&gt;T (p.Gly13Cys)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c.37G&gt;A  (p.Gly13Ser)</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c.37G&gt;C (p.Gly13Arg)</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c.38G&gt;T (p.Gly13Val) </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KRAS (3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c.176C&gt;A (p.Ala59Glu)</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c.176C&gt;G p.Ala59Gly)</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c.175G&gt;T (p.Ala59Ser)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c.175G&gt;A (p.Ala59Thr)</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c.183A&gt;C (p.Gln61His)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c.181C&gt;G (p.Gln61Glu)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c.183A&gt;T (p.Gln61His)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c.181C&gt;A (p.Gln61Lys)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c.182A&gt;T (p.Gln61Leu)</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c.182A&gt;C (p.Gln61Pro)</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c.182A&gt;G (p.Gln61Arg)</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KRAS (4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c.351A&gt;C (p.Lys117Asn)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c.351A&gt;T (p.Lys117Asn)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c.349A&gt;G (p.Lys117Glu)</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c.350A&gt;G (p.Lys117Arg)</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c.436G&gt;C (p.Ala146Pro)</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c.436G&gt;A (p.Ala146Thr)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c.437C&gt;T (p.Ala146Val) </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NRAS (2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c.34G&gt;A (p.Gly12Ser)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c.34G&gt;C (p.Gly12Arg)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c.34G&gt;T (p.Gly12Cys)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c.35G&gt;A (p.Gly12Asp)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c.35G&gt;C (p.Gly12Ala)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c.35G&gt;T (p.Gly12Val)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c.37G&gt;A (p.Gly13Ser)</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c.37G&gt;C (p.Gly13Arg)</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c.37G&gt;T (p.Gly13Cys)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c.38G&gt;A (p.Gly13Asp)</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c.38G&gt;C (p.Gly13Ala)</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c.38G&gt;T (p.Gly13Val) </w:t>
            </w:r>
          </w:p>
        </w:tc>
      </w:tr>
      <w:tr w:rsidR="008C7027" w:rsidRPr="008C7027" w:rsidTr="008C70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NRAS (3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c.175G&gt;A (p.Ala59Thr)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c.176C&gt;A (p.Ala59Asp)</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c.176C&gt;G (p.Ala59Gly)</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c.175G&gt;T (p.Ala59Ser)</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c.181C&gt;A (p.Gln61Lys)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c.181C&gt;G (p.Gln61Glu)</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c.182A&gt;G (p.Gln61Arg) </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c.182A&gt;C (p.Gln61Pro)</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c.183A&gt;C (p.Gln61His)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c.183A&gt;T (p.Gln61His)</w:t>
            </w:r>
          </w:p>
        </w:tc>
      </w:tr>
      <w:tr w:rsidR="008C7027" w:rsidRPr="008C7027" w:rsidTr="008C70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7027" w:rsidRPr="008C7027" w:rsidRDefault="008C7027" w:rsidP="008C70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c.182A&gt;T (p.Gln61Leu)</w:t>
            </w:r>
          </w:p>
        </w:tc>
      </w:tr>
    </w:tbl>
    <w:p w:rsidR="008C7027" w:rsidRPr="008C7027" w:rsidRDefault="008C7027" w:rsidP="008C702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C7027">
        <w:rPr>
          <w:rFonts w:ascii="Times New Roman" w:eastAsia="Times New Roman" w:hAnsi="Times New Roman" w:cs="Times New Roman"/>
          <w:b/>
          <w:bCs/>
          <w:color w:val="000000"/>
          <w:spacing w:val="4"/>
          <w:kern w:val="36"/>
          <w:sz w:val="48"/>
          <w:szCs w:val="48"/>
          <w:lang w:eastAsia="ru-RU"/>
        </w:rPr>
        <w:t>Приложение А5. Классификация мутаций в гене </w:t>
      </w:r>
      <w:r w:rsidRPr="008C7027">
        <w:rPr>
          <w:rFonts w:ascii="Times New Roman" w:eastAsia="Times New Roman" w:hAnsi="Times New Roman" w:cs="Times New Roman"/>
          <w:b/>
          <w:bCs/>
          <w:i/>
          <w:iCs/>
          <w:color w:val="333333"/>
          <w:spacing w:val="4"/>
          <w:kern w:val="36"/>
          <w:sz w:val="48"/>
          <w:szCs w:val="48"/>
          <w:lang w:eastAsia="ru-RU"/>
        </w:rPr>
        <w:t>BRAF</w:t>
      </w:r>
    </w:p>
    <w:tbl>
      <w:tblPr>
        <w:tblW w:w="14024" w:type="dxa"/>
        <w:tblCellMar>
          <w:left w:w="0" w:type="dxa"/>
          <w:right w:w="0" w:type="dxa"/>
        </w:tblCellMar>
        <w:tblLook w:val="04A0" w:firstRow="1" w:lastRow="0" w:firstColumn="1" w:lastColumn="0" w:noHBand="0" w:noVBand="1"/>
      </w:tblPr>
      <w:tblGrid>
        <w:gridCol w:w="9170"/>
        <w:gridCol w:w="4854"/>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Мутация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Класс мутации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V600 E/K/D/R/L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T599_V600TinsT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T599I/dup/V600insT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T599R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G464 A/E/V/R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G469 A/V/S/R/L/T170delinsAK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V471F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K499E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F595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L596 Q/R/S/V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L597 V/S/R/Q/P/K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I483S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L485 F/W</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L485_P490delinsY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L505H/F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L525 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E586K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Q257R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K601 E/N/Q/T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BRAF транслокации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A598 V/T599insV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N486_P490del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V487_P492delinsA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V600_K601del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V600_K601 D/E/N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V600_K602delinsE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V600_K602delinsDT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V600_S605delinsEISRWR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V600_W604delinsDQTDG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G466 E/V/R/A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G469 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K483 M/E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N581 I/S/T/Y/K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D594 A/H/V/G/N/E/Y/F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G596 V/R/C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F595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F247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Q524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R558 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S467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T470 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D287H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T599A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r>
    </w:tbl>
    <w:p w:rsidR="008C7027" w:rsidRPr="008C7027" w:rsidRDefault="008C7027" w:rsidP="008C702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C7027">
        <w:rPr>
          <w:rFonts w:ascii="Times New Roman" w:eastAsia="Times New Roman" w:hAnsi="Times New Roman" w:cs="Times New Roman"/>
          <w:b/>
          <w:bCs/>
          <w:color w:val="000000"/>
          <w:spacing w:val="4"/>
          <w:kern w:val="36"/>
          <w:sz w:val="48"/>
          <w:szCs w:val="48"/>
          <w:lang w:eastAsia="ru-RU"/>
        </w:rPr>
        <w:t>Приложение А6. План контрольных обследований пациента после завершения лечения</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C7027" w:rsidRPr="008C7027" w:rsidRDefault="008C7027" w:rsidP="008C70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*При выявлении полипов выполняется ежегодно. Если до начала лечения колоноскопия не была выполнена по причине стенозирующей опухоли, ее проводят в течение 3-6 мес после резекции.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Примечание:</w:t>
      </w:r>
      <w:r w:rsidRPr="008C7027">
        <w:rPr>
          <w:rFonts w:ascii="Times New Roman" w:eastAsia="Times New Roman" w:hAnsi="Times New Roman" w:cs="Times New Roman"/>
          <w:color w:val="222222"/>
          <w:spacing w:val="4"/>
          <w:sz w:val="27"/>
          <w:szCs w:val="27"/>
          <w:lang w:eastAsia="ru-RU"/>
        </w:rPr>
        <w:t> у пациентов с высоким риском рецидива перерыв между обследованиями может быть сокращен.</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Приложение Б. Алгоритмы действий врача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Рекомендуется для получения информации о диагностике, лечении и профилактике рака ободочной кишки использовать одобренный профессиональными ассоциациями и сообществами пациентов источник: </w:t>
      </w:r>
      <w:hyperlink r:id="rId31" w:history="1">
        <w:r w:rsidRPr="008C7027">
          <w:rPr>
            <w:rFonts w:ascii="Times New Roman" w:eastAsia="Times New Roman" w:hAnsi="Times New Roman" w:cs="Times New Roman"/>
            <w:color w:val="0000FF"/>
            <w:spacing w:val="4"/>
            <w:sz w:val="27"/>
            <w:szCs w:val="27"/>
            <w:u w:val="single"/>
            <w:lang w:eastAsia="ru-RU"/>
          </w:rPr>
          <w:t>http://www.russcpa.ru/patsientam/</w:t>
        </w:r>
      </w:hyperlink>
      <w:r w:rsidRPr="008C7027">
        <w:rPr>
          <w:rFonts w:ascii="Times New Roman" w:eastAsia="Times New Roman" w:hAnsi="Times New Roman" w:cs="Times New Roman"/>
          <w:color w:val="222222"/>
          <w:spacing w:val="4"/>
          <w:sz w:val="27"/>
          <w:szCs w:val="27"/>
          <w:lang w:eastAsia="ru-RU"/>
        </w:rPr>
        <w:t>.</w:t>
      </w:r>
    </w:p>
    <w:p w:rsidR="008C7027" w:rsidRPr="008C7027" w:rsidRDefault="008C7027" w:rsidP="008C7027">
      <w:pPr>
        <w:spacing w:line="240" w:lineRule="auto"/>
        <w:outlineLvl w:val="0"/>
        <w:rPr>
          <w:rFonts w:ascii="Inter" w:eastAsia="Times New Roman" w:hAnsi="Inter" w:cs="Times New Roman"/>
          <w:b/>
          <w:bCs/>
          <w:color w:val="000000"/>
          <w:spacing w:val="4"/>
          <w:kern w:val="36"/>
          <w:sz w:val="48"/>
          <w:szCs w:val="48"/>
          <w:lang w:eastAsia="ru-RU"/>
        </w:rPr>
      </w:pPr>
      <w:r w:rsidRPr="008C702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C7027" w:rsidRPr="008C7027" w:rsidRDefault="008C7027" w:rsidP="008C70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C7027">
        <w:rPr>
          <w:rFonts w:ascii="Times New Roman" w:eastAsia="Times New Roman" w:hAnsi="Times New Roman" w:cs="Times New Roman"/>
          <w:b/>
          <w:bCs/>
          <w:color w:val="222222"/>
          <w:spacing w:val="4"/>
          <w:sz w:val="27"/>
          <w:szCs w:val="27"/>
          <w:u w:val="single"/>
          <w:lang w:eastAsia="ru-RU"/>
        </w:rPr>
        <w:t>Приложение Г1. Критерии Amsterdam II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Название на русском языке:</w:t>
      </w:r>
      <w:r w:rsidRPr="008C7027">
        <w:rPr>
          <w:rFonts w:ascii="Times New Roman" w:eastAsia="Times New Roman" w:hAnsi="Times New Roman" w:cs="Times New Roman"/>
          <w:color w:val="222222"/>
          <w:spacing w:val="4"/>
          <w:sz w:val="27"/>
          <w:szCs w:val="27"/>
          <w:lang w:eastAsia="ru-RU"/>
        </w:rPr>
        <w:t> Критерии Amsterdam II.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Оригинальное название:</w:t>
      </w:r>
      <w:r w:rsidRPr="008C7027">
        <w:rPr>
          <w:rFonts w:ascii="Times New Roman" w:eastAsia="Times New Roman" w:hAnsi="Times New Roman" w:cs="Times New Roman"/>
          <w:color w:val="222222"/>
          <w:spacing w:val="4"/>
          <w:sz w:val="27"/>
          <w:szCs w:val="27"/>
          <w:lang w:eastAsia="ru-RU"/>
        </w:rPr>
        <w:t> Amsterdam II Criteria.</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Источник:</w:t>
      </w:r>
      <w:r w:rsidRPr="008C7027">
        <w:rPr>
          <w:rFonts w:ascii="Times New Roman" w:eastAsia="Times New Roman" w:hAnsi="Times New Roman" w:cs="Times New Roman"/>
          <w:color w:val="222222"/>
          <w:spacing w:val="4"/>
          <w:sz w:val="27"/>
          <w:szCs w:val="27"/>
          <w:lang w:eastAsia="ru-RU"/>
        </w:rPr>
        <w:t> Vasen H.F., Watson P., Mecklin J.P., Lynch H.T. New clinical criteria for hereditary nonpolyposis colorectal cancer (HNPCC, Lynch syndrome) proposed by the International Collaborative group on HNPCC. Gastroenterology 1999;116:1453–6.</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Тип:</w:t>
      </w:r>
      <w:r w:rsidRPr="008C7027">
        <w:rPr>
          <w:rFonts w:ascii="Times New Roman" w:eastAsia="Times New Roman" w:hAnsi="Times New Roman" w:cs="Times New Roman"/>
          <w:color w:val="222222"/>
          <w:spacing w:val="4"/>
          <w:sz w:val="27"/>
          <w:szCs w:val="27"/>
          <w:lang w:eastAsia="ru-RU"/>
        </w:rPr>
        <w:t> критерии.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Назначение:</w:t>
      </w:r>
      <w:r w:rsidRPr="008C7027">
        <w:rPr>
          <w:rFonts w:ascii="Times New Roman" w:eastAsia="Times New Roman" w:hAnsi="Times New Roman" w:cs="Times New Roman"/>
          <w:color w:val="222222"/>
          <w:spacing w:val="4"/>
          <w:sz w:val="27"/>
          <w:szCs w:val="27"/>
          <w:lang w:eastAsia="ru-RU"/>
        </w:rPr>
        <w:t> оценка целесообразности выполнения тестирования на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Содержание:</w:t>
      </w:r>
    </w:p>
    <w:p w:rsidR="008C7027" w:rsidRPr="008C7027" w:rsidRDefault="008C7027" w:rsidP="008C7027">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 крайней мере у 3 родственников развился рак, связанный с синдромом Линча (колоректальный рак, рак эндометрия, рак желудка, яичников, мочеточника/почечной лоханки, головного мозга, тонкой кишки, гепатобилиарного тракта и кожи (сальных желез)), один из них – родственник 1-й линии.</w:t>
      </w:r>
    </w:p>
    <w:p w:rsidR="008C7027" w:rsidRPr="008C7027" w:rsidRDefault="008C7027" w:rsidP="008C7027">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Заболевание прослеживается по крайней мере в 2 поколениях.</w:t>
      </w:r>
    </w:p>
    <w:p w:rsidR="008C7027" w:rsidRPr="008C7027" w:rsidRDefault="008C7027" w:rsidP="008C7027">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По крайней мере у 1 из родственников связанный с синдромом Линча рак диагностирован в возрасте до 50 лет.</w:t>
      </w:r>
    </w:p>
    <w:p w:rsidR="008C7027" w:rsidRPr="008C7027" w:rsidRDefault="008C7027" w:rsidP="008C7027">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Семейный аденоматозный полипоз исключен в случаях наличия колоректального рака.</w:t>
      </w:r>
    </w:p>
    <w:p w:rsidR="008C7027" w:rsidRPr="008C7027" w:rsidRDefault="008C7027" w:rsidP="008C7027">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lastRenderedPageBreak/>
        <w:t>Опухоли по возможности должны быть верифицированы.</w:t>
      </w:r>
    </w:p>
    <w:p w:rsidR="008C7027" w:rsidRPr="008C7027" w:rsidRDefault="008C7027" w:rsidP="008C70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C7027">
        <w:rPr>
          <w:rFonts w:ascii="Times New Roman" w:eastAsia="Times New Roman" w:hAnsi="Times New Roman" w:cs="Times New Roman"/>
          <w:b/>
          <w:bCs/>
          <w:color w:val="222222"/>
          <w:spacing w:val="4"/>
          <w:sz w:val="27"/>
          <w:szCs w:val="27"/>
          <w:u w:val="single"/>
          <w:lang w:eastAsia="ru-RU"/>
        </w:rPr>
        <w:t>Приложение Г2. Критерии Bethesda для тестирования на микросателлитную нестабильность</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Название на русском языке:</w:t>
      </w:r>
      <w:r w:rsidRPr="008C7027">
        <w:rPr>
          <w:rFonts w:ascii="Times New Roman" w:eastAsia="Times New Roman" w:hAnsi="Times New Roman" w:cs="Times New Roman"/>
          <w:color w:val="222222"/>
          <w:spacing w:val="4"/>
          <w:sz w:val="27"/>
          <w:szCs w:val="27"/>
          <w:lang w:eastAsia="ru-RU"/>
        </w:rPr>
        <w:t> Критерии Bethesda для тестирования на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Оригинальное название:</w:t>
      </w:r>
      <w:r w:rsidRPr="008C7027">
        <w:rPr>
          <w:rFonts w:ascii="Times New Roman" w:eastAsia="Times New Roman" w:hAnsi="Times New Roman" w:cs="Times New Roman"/>
          <w:color w:val="222222"/>
          <w:spacing w:val="4"/>
          <w:sz w:val="27"/>
          <w:szCs w:val="27"/>
          <w:lang w:eastAsia="ru-RU"/>
        </w:rPr>
        <w:t> The Revised Bethesda Guidelines for testing colorectal tumors for microsatellite instability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Источник:</w:t>
      </w:r>
      <w:r w:rsidRPr="008C7027">
        <w:rPr>
          <w:rFonts w:ascii="Times New Roman" w:eastAsia="Times New Roman" w:hAnsi="Times New Roman" w:cs="Times New Roman"/>
          <w:color w:val="222222"/>
          <w:spacing w:val="4"/>
          <w:sz w:val="27"/>
          <w:szCs w:val="27"/>
          <w:lang w:eastAsia="ru-RU"/>
        </w:rPr>
        <w:t> Laghi L., Bianchi P., Roncalli M., Malesci A. Re: Revised Bethesda guidelines for hereditary nonpolyposis colorectal cancer (Lynch syndrome) and microsatellite instability. J Natl Cancer Inst 2004;96(18):1402–3.</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Тип:</w:t>
      </w:r>
      <w:r w:rsidRPr="008C7027">
        <w:rPr>
          <w:rFonts w:ascii="Times New Roman" w:eastAsia="Times New Roman" w:hAnsi="Times New Roman" w:cs="Times New Roman"/>
          <w:color w:val="222222"/>
          <w:spacing w:val="4"/>
          <w:sz w:val="27"/>
          <w:szCs w:val="27"/>
          <w:lang w:eastAsia="ru-RU"/>
        </w:rPr>
        <w:t> критерии.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Назначение:</w:t>
      </w:r>
      <w:r w:rsidRPr="008C7027">
        <w:rPr>
          <w:rFonts w:ascii="Times New Roman" w:eastAsia="Times New Roman" w:hAnsi="Times New Roman" w:cs="Times New Roman"/>
          <w:color w:val="222222"/>
          <w:spacing w:val="4"/>
          <w:sz w:val="27"/>
          <w:szCs w:val="27"/>
          <w:lang w:eastAsia="ru-RU"/>
        </w:rPr>
        <w:t> оценка целесообразности выполнения тестирования на MSI.</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Содержание:</w:t>
      </w:r>
    </w:p>
    <w:p w:rsidR="008C7027" w:rsidRPr="008C7027" w:rsidRDefault="008C7027" w:rsidP="008C7027">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Колоректальный рак у пациента младше 50 лет.</w:t>
      </w:r>
    </w:p>
    <w:p w:rsidR="008C7027" w:rsidRPr="008C7027" w:rsidRDefault="008C7027" w:rsidP="008C7027">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Наличие синхронного, метахронного колоректального или другого рака, который может быть связан с синдромом Линча, вне зависимости от возраста.</w:t>
      </w:r>
    </w:p>
    <w:p w:rsidR="008C7027" w:rsidRPr="008C7027" w:rsidRDefault="008C7027" w:rsidP="008C7027">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Колоректальный рак с выявленной при гистологическом исследовании микросателлитной нестабильностью (MSI) у пациента в возрасте до 60 лет.</w:t>
      </w:r>
    </w:p>
    <w:p w:rsidR="008C7027" w:rsidRPr="008C7027" w:rsidRDefault="008C7027" w:rsidP="008C7027">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Колоректальный рак у одного или более родственника 1-й линии с заболеванием, которое может быть связано с синдромом Линча; по крайней мере 1 из случаев заболевания выявлен в возрасте до 50 лет.</w:t>
      </w:r>
    </w:p>
    <w:p w:rsidR="008C7027" w:rsidRPr="008C7027" w:rsidRDefault="008C7027" w:rsidP="008C7027">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color w:val="222222"/>
          <w:spacing w:val="4"/>
          <w:sz w:val="27"/>
          <w:szCs w:val="27"/>
          <w:lang w:eastAsia="ru-RU"/>
        </w:rPr>
        <w:t>Колоректальный рак у 2 или более родственников 1-й или 2-й линии с заболеваниями, которые могут быть связаны с синдромом Линча, вне зависимости от возраста.</w:t>
      </w:r>
    </w:p>
    <w:p w:rsidR="008C7027" w:rsidRPr="008C7027" w:rsidRDefault="008C7027" w:rsidP="008C70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C7027">
        <w:rPr>
          <w:rFonts w:ascii="Times New Roman" w:eastAsia="Times New Roman" w:hAnsi="Times New Roman" w:cs="Times New Roman"/>
          <w:b/>
          <w:bCs/>
          <w:color w:val="222222"/>
          <w:spacing w:val="4"/>
          <w:sz w:val="27"/>
          <w:szCs w:val="27"/>
          <w:u w:val="single"/>
          <w:lang w:eastAsia="ru-RU"/>
        </w:rPr>
        <w:t>Приложение Г3. Критерии степени оценки регрессии опухоли в ответ на лечение по Mandard</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Название на русском языке:</w:t>
      </w:r>
      <w:r w:rsidRPr="008C7027">
        <w:rPr>
          <w:rFonts w:ascii="Times New Roman" w:eastAsia="Times New Roman" w:hAnsi="Times New Roman" w:cs="Times New Roman"/>
          <w:color w:val="222222"/>
          <w:spacing w:val="4"/>
          <w:sz w:val="27"/>
          <w:szCs w:val="27"/>
          <w:lang w:eastAsia="ru-RU"/>
        </w:rPr>
        <w:t> Критерии степени оценки регрессии опухоли в ответ на лечение по Mandard.</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Оригинальное название:</w:t>
      </w:r>
      <w:r w:rsidRPr="008C7027">
        <w:rPr>
          <w:rFonts w:ascii="Times New Roman" w:eastAsia="Times New Roman" w:hAnsi="Times New Roman" w:cs="Times New Roman"/>
          <w:color w:val="222222"/>
          <w:spacing w:val="4"/>
          <w:sz w:val="27"/>
          <w:szCs w:val="27"/>
          <w:lang w:eastAsia="ru-RU"/>
        </w:rPr>
        <w:t> Prognostic value of mandard and dworak tumor regression grading.</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Источник:</w:t>
      </w:r>
      <w:r w:rsidRPr="008C7027">
        <w:rPr>
          <w:rFonts w:ascii="Times New Roman" w:eastAsia="Times New Roman" w:hAnsi="Times New Roman" w:cs="Times New Roman"/>
          <w:color w:val="222222"/>
          <w:spacing w:val="4"/>
          <w:sz w:val="27"/>
          <w:szCs w:val="27"/>
          <w:lang w:eastAsia="ru-RU"/>
        </w:rPr>
        <w:t> Santos M.D. et al. Prognostic value of mandard and dworak tumor regression grading in rectal cancer: study of a single tertiary center // ISRN surgery. – 2014. – Т. 2014.</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lastRenderedPageBreak/>
        <w:t>Тип:</w:t>
      </w:r>
      <w:r w:rsidRPr="008C7027">
        <w:rPr>
          <w:rFonts w:ascii="Times New Roman" w:eastAsia="Times New Roman" w:hAnsi="Times New Roman" w:cs="Times New Roman"/>
          <w:color w:val="222222"/>
          <w:spacing w:val="4"/>
          <w:sz w:val="27"/>
          <w:szCs w:val="27"/>
          <w:lang w:eastAsia="ru-RU"/>
        </w:rPr>
        <w:t> критерии.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Назначение:</w:t>
      </w:r>
      <w:r w:rsidRPr="008C7027">
        <w:rPr>
          <w:rFonts w:ascii="Times New Roman" w:eastAsia="Times New Roman" w:hAnsi="Times New Roman" w:cs="Times New Roman"/>
          <w:color w:val="222222"/>
          <w:spacing w:val="4"/>
          <w:sz w:val="27"/>
          <w:szCs w:val="27"/>
          <w:lang w:eastAsia="ru-RU"/>
        </w:rPr>
        <w:t> оценка регрессии опухоли в ответ на лечение.</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Содержание и интерпретация:</w:t>
      </w:r>
    </w:p>
    <w:tbl>
      <w:tblPr>
        <w:tblW w:w="14024" w:type="dxa"/>
        <w:tblCellMar>
          <w:left w:w="0" w:type="dxa"/>
          <w:right w:w="0" w:type="dxa"/>
        </w:tblCellMar>
        <w:tblLook w:val="04A0" w:firstRow="1" w:lastRow="0" w:firstColumn="1" w:lastColumn="0" w:noHBand="0" w:noVBand="1"/>
      </w:tblPr>
      <w:tblGrid>
        <w:gridCol w:w="4956"/>
        <w:gridCol w:w="9068"/>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 степень регрессии опухоли (полная регрессия) (TRGl)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Отсутствие опухолевых клеток, наличие очага фиброза на месте опухоли (возможно отсутствие фиброза)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 степень регрессии опухоли (TRG2)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Сохранение немногочисленных опухолевых клеток на фоне фиброзных изменений</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III степень регрессии опухоли (TRG3)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Большое количество сохраненных опухолевых клеток на фоне преобладания фиброза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IV степень регрессии опухоли (TRG4)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Опухолевые элементы преобладают над фиброзными изменениями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V степень регрессии опухоли (TRG5)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Отсутствие признаков регрессии опухоли, отсутствие фиброза</w:t>
            </w:r>
          </w:p>
        </w:tc>
      </w:tr>
    </w:tbl>
    <w:p w:rsidR="008C7027" w:rsidRPr="008C7027" w:rsidRDefault="008C7027" w:rsidP="008C702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C7027">
        <w:rPr>
          <w:rFonts w:ascii="Times New Roman" w:eastAsia="Times New Roman" w:hAnsi="Times New Roman" w:cs="Times New Roman"/>
          <w:b/>
          <w:bCs/>
          <w:color w:val="222222"/>
          <w:spacing w:val="4"/>
          <w:sz w:val="27"/>
          <w:szCs w:val="27"/>
          <w:u w:val="single"/>
          <w:lang w:eastAsia="ru-RU"/>
        </w:rPr>
        <w:t>Приложение Г4. Критерии оценки по шкале ECOG</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Название на русском языке:</w:t>
      </w:r>
      <w:r w:rsidRPr="008C7027">
        <w:rPr>
          <w:rFonts w:ascii="Times New Roman" w:eastAsia="Times New Roman" w:hAnsi="Times New Roman" w:cs="Times New Roman"/>
          <w:color w:val="222222"/>
          <w:spacing w:val="4"/>
          <w:sz w:val="27"/>
          <w:szCs w:val="27"/>
          <w:lang w:eastAsia="ru-RU"/>
        </w:rPr>
        <w:t> Критерии оценки по шкале ECOG.</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Оригинальное название: </w:t>
      </w:r>
      <w:r w:rsidRPr="008C7027">
        <w:rPr>
          <w:rFonts w:ascii="Times New Roman" w:eastAsia="Times New Roman" w:hAnsi="Times New Roman" w:cs="Times New Roman"/>
          <w:color w:val="222222"/>
          <w:spacing w:val="4"/>
          <w:sz w:val="27"/>
          <w:szCs w:val="27"/>
          <w:lang w:eastAsia="ru-RU"/>
        </w:rPr>
        <w:t>The ECOG Scale of Performance Status.</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Источник: </w:t>
      </w:r>
      <w:r w:rsidRPr="008C7027">
        <w:rPr>
          <w:rFonts w:ascii="Times New Roman" w:eastAsia="Times New Roman" w:hAnsi="Times New Roman" w:cs="Times New Roman"/>
          <w:color w:val="222222"/>
          <w:spacing w:val="4"/>
          <w:sz w:val="27"/>
          <w:szCs w:val="27"/>
          <w:lang w:eastAsia="ru-RU"/>
        </w:rPr>
        <w:t>Oken M.M. et al. Toxicity and response criteria of the Eastern Cooperative Oncology Group. Am J Clin Oncol 1982;5(6):649–65.</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Тип:</w:t>
      </w:r>
      <w:r w:rsidRPr="008C7027">
        <w:rPr>
          <w:rFonts w:ascii="Times New Roman" w:eastAsia="Times New Roman" w:hAnsi="Times New Roman" w:cs="Times New Roman"/>
          <w:color w:val="222222"/>
          <w:spacing w:val="4"/>
          <w:sz w:val="27"/>
          <w:szCs w:val="27"/>
          <w:lang w:eastAsia="ru-RU"/>
        </w:rPr>
        <w:t> шкала оценки.</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Назначение:</w:t>
      </w:r>
      <w:r w:rsidRPr="008C7027">
        <w:rPr>
          <w:rFonts w:ascii="Times New Roman" w:eastAsia="Times New Roman" w:hAnsi="Times New Roman" w:cs="Times New Roman"/>
          <w:color w:val="222222"/>
          <w:spacing w:val="4"/>
          <w:sz w:val="27"/>
          <w:szCs w:val="27"/>
          <w:lang w:eastAsia="ru-RU"/>
        </w:rPr>
        <w:t> клиническая оценка общего состояния пациента.</w:t>
      </w:r>
    </w:p>
    <w:p w:rsidR="008C7027" w:rsidRPr="008C7027" w:rsidRDefault="008C7027" w:rsidP="008C70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C7027">
        <w:rPr>
          <w:rFonts w:ascii="Times New Roman" w:eastAsia="Times New Roman" w:hAnsi="Times New Roman" w:cs="Times New Roman"/>
          <w:b/>
          <w:bCs/>
          <w:color w:val="222222"/>
          <w:spacing w:val="4"/>
          <w:sz w:val="27"/>
          <w:szCs w:val="27"/>
          <w:lang w:eastAsia="ru-RU"/>
        </w:rPr>
        <w:t>Содержание и интерпретация:</w:t>
      </w:r>
    </w:p>
    <w:tbl>
      <w:tblPr>
        <w:tblW w:w="14024" w:type="dxa"/>
        <w:tblCellMar>
          <w:left w:w="0" w:type="dxa"/>
          <w:right w:w="0" w:type="dxa"/>
        </w:tblCellMar>
        <w:tblLook w:val="04A0" w:firstRow="1" w:lastRow="0" w:firstColumn="1" w:lastColumn="0" w:noHBand="0" w:noVBand="1"/>
      </w:tblPr>
      <w:tblGrid>
        <w:gridCol w:w="2067"/>
        <w:gridCol w:w="11957"/>
      </w:tblGrid>
      <w:tr w:rsidR="008C7027" w:rsidRPr="008C7027" w:rsidTr="008C7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w:t>
            </w:r>
            <w:r w:rsidRPr="008C7027">
              <w:rPr>
                <w:rFonts w:ascii="Verdana" w:eastAsia="Times New Roman" w:hAnsi="Verdana" w:cs="Times New Roman"/>
                <w:b/>
                <w:bCs/>
                <w:sz w:val="27"/>
                <w:szCs w:val="27"/>
                <w:lang w:eastAsia="ru-RU"/>
              </w:rPr>
              <w:t>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О</w:t>
            </w:r>
            <w:r w:rsidRPr="008C7027">
              <w:rPr>
                <w:rFonts w:ascii="Verdana" w:eastAsia="Times New Roman" w:hAnsi="Verdana" w:cs="Times New Roman"/>
                <w:b/>
                <w:bCs/>
                <w:sz w:val="27"/>
                <w:szCs w:val="27"/>
                <w:lang w:eastAsia="ru-RU"/>
              </w:rPr>
              <w:t>писание общего состояния пациента</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Пациент полностью активен, способен выполнять все действия так же, как и до заболевания</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проводит активно – в вертикальном положении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lastRenderedPageBreak/>
              <w:t>а4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Инвалид, совершенно неспособен к самообслуживанию, прикован к креслу или постели</w:t>
            </w:r>
          </w:p>
        </w:tc>
      </w:tr>
      <w:tr w:rsidR="008C7027" w:rsidRPr="008C7027" w:rsidTr="008C7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C7027" w:rsidRPr="008C7027" w:rsidRDefault="008C7027" w:rsidP="008C7027">
            <w:pPr>
              <w:spacing w:after="0" w:line="240" w:lineRule="atLeast"/>
              <w:jc w:val="both"/>
              <w:rPr>
                <w:rFonts w:ascii="Verdana" w:eastAsia="Times New Roman" w:hAnsi="Verdana" w:cs="Times New Roman"/>
                <w:sz w:val="27"/>
                <w:szCs w:val="27"/>
                <w:lang w:eastAsia="ru-RU"/>
              </w:rPr>
            </w:pPr>
            <w:r w:rsidRPr="008C7027">
              <w:rPr>
                <w:rFonts w:ascii="Verdana" w:eastAsia="Times New Roman" w:hAnsi="Verdana" w:cs="Times New Roman"/>
                <w:sz w:val="27"/>
                <w:szCs w:val="27"/>
                <w:lang w:eastAsia="ru-RU"/>
              </w:rPr>
              <w:t>Смерть</w:t>
            </w:r>
          </w:p>
        </w:tc>
      </w:tr>
    </w:tbl>
    <w:p w:rsidR="00C82D79" w:rsidRDefault="00C82D79">
      <w:bookmarkStart w:id="0" w:name="_GoBack"/>
      <w:bookmarkEnd w:id="0"/>
    </w:p>
    <w:sectPr w:rsidR="00C82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7153"/>
    <w:multiLevelType w:val="multilevel"/>
    <w:tmpl w:val="7F1CD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621E5"/>
    <w:multiLevelType w:val="multilevel"/>
    <w:tmpl w:val="E7CE5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446FE"/>
    <w:multiLevelType w:val="multilevel"/>
    <w:tmpl w:val="862A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E77D32"/>
    <w:multiLevelType w:val="multilevel"/>
    <w:tmpl w:val="8F12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358FD"/>
    <w:multiLevelType w:val="multilevel"/>
    <w:tmpl w:val="454E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11491"/>
    <w:multiLevelType w:val="multilevel"/>
    <w:tmpl w:val="66F2F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09470C"/>
    <w:multiLevelType w:val="multilevel"/>
    <w:tmpl w:val="91FA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CD74E4"/>
    <w:multiLevelType w:val="multilevel"/>
    <w:tmpl w:val="1F347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FF6B0F"/>
    <w:multiLevelType w:val="multilevel"/>
    <w:tmpl w:val="F98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74764E"/>
    <w:multiLevelType w:val="multilevel"/>
    <w:tmpl w:val="BB10D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8E33B3"/>
    <w:multiLevelType w:val="multilevel"/>
    <w:tmpl w:val="3FD6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384E93"/>
    <w:multiLevelType w:val="multilevel"/>
    <w:tmpl w:val="5558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FB0E11"/>
    <w:multiLevelType w:val="multilevel"/>
    <w:tmpl w:val="8F82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0A38A9"/>
    <w:multiLevelType w:val="multilevel"/>
    <w:tmpl w:val="BDE44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86139E"/>
    <w:multiLevelType w:val="multilevel"/>
    <w:tmpl w:val="B456B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2C30C9"/>
    <w:multiLevelType w:val="multilevel"/>
    <w:tmpl w:val="A9B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4E5F9F"/>
    <w:multiLevelType w:val="multilevel"/>
    <w:tmpl w:val="5DAE3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FB34C8"/>
    <w:multiLevelType w:val="multilevel"/>
    <w:tmpl w:val="3B4E9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C396172"/>
    <w:multiLevelType w:val="multilevel"/>
    <w:tmpl w:val="22AA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4963E7"/>
    <w:multiLevelType w:val="multilevel"/>
    <w:tmpl w:val="B21A4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9233F7"/>
    <w:multiLevelType w:val="multilevel"/>
    <w:tmpl w:val="AB02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CA345A8"/>
    <w:multiLevelType w:val="multilevel"/>
    <w:tmpl w:val="FC4E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D07EF5"/>
    <w:multiLevelType w:val="multilevel"/>
    <w:tmpl w:val="85E07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CD72506"/>
    <w:multiLevelType w:val="multilevel"/>
    <w:tmpl w:val="FC620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D03E43"/>
    <w:multiLevelType w:val="multilevel"/>
    <w:tmpl w:val="8FE8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152215"/>
    <w:multiLevelType w:val="multilevel"/>
    <w:tmpl w:val="791C9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0242C4C"/>
    <w:multiLevelType w:val="multilevel"/>
    <w:tmpl w:val="36C47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A60AA6"/>
    <w:multiLevelType w:val="multilevel"/>
    <w:tmpl w:val="4E18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49213C"/>
    <w:multiLevelType w:val="multilevel"/>
    <w:tmpl w:val="8B98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5AE479D"/>
    <w:multiLevelType w:val="multilevel"/>
    <w:tmpl w:val="11FA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E04552"/>
    <w:multiLevelType w:val="multilevel"/>
    <w:tmpl w:val="2C10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3970DB"/>
    <w:multiLevelType w:val="multilevel"/>
    <w:tmpl w:val="C4F8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93B6601"/>
    <w:multiLevelType w:val="multilevel"/>
    <w:tmpl w:val="01AE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9EF6431"/>
    <w:multiLevelType w:val="multilevel"/>
    <w:tmpl w:val="E7A2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A0C4186"/>
    <w:multiLevelType w:val="multilevel"/>
    <w:tmpl w:val="DC3C6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A761FA5"/>
    <w:multiLevelType w:val="multilevel"/>
    <w:tmpl w:val="5ED2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AE256B1"/>
    <w:multiLevelType w:val="multilevel"/>
    <w:tmpl w:val="3AC64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D2511C5"/>
    <w:multiLevelType w:val="multilevel"/>
    <w:tmpl w:val="F060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077BBA"/>
    <w:multiLevelType w:val="multilevel"/>
    <w:tmpl w:val="E194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E617F95"/>
    <w:multiLevelType w:val="multilevel"/>
    <w:tmpl w:val="7C74F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F2730FC"/>
    <w:multiLevelType w:val="multilevel"/>
    <w:tmpl w:val="D510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F516A66"/>
    <w:multiLevelType w:val="multilevel"/>
    <w:tmpl w:val="41D8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654554"/>
    <w:multiLevelType w:val="multilevel"/>
    <w:tmpl w:val="D812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23A1F7D"/>
    <w:multiLevelType w:val="multilevel"/>
    <w:tmpl w:val="8B42F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27459AF"/>
    <w:multiLevelType w:val="multilevel"/>
    <w:tmpl w:val="B308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3271E3E"/>
    <w:multiLevelType w:val="multilevel"/>
    <w:tmpl w:val="CDFCD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39236B5"/>
    <w:multiLevelType w:val="multilevel"/>
    <w:tmpl w:val="F76EF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4684500"/>
    <w:multiLevelType w:val="multilevel"/>
    <w:tmpl w:val="B086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50B2B25"/>
    <w:multiLevelType w:val="multilevel"/>
    <w:tmpl w:val="B900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5EB3C49"/>
    <w:multiLevelType w:val="multilevel"/>
    <w:tmpl w:val="E6B2F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6017BF8"/>
    <w:multiLevelType w:val="multilevel"/>
    <w:tmpl w:val="64CAF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6BD40B3"/>
    <w:multiLevelType w:val="multilevel"/>
    <w:tmpl w:val="AE7EC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8106B0F"/>
    <w:multiLevelType w:val="multilevel"/>
    <w:tmpl w:val="C860B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8141987"/>
    <w:multiLevelType w:val="multilevel"/>
    <w:tmpl w:val="2FF4F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9E720D3"/>
    <w:multiLevelType w:val="multilevel"/>
    <w:tmpl w:val="063E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E307410"/>
    <w:multiLevelType w:val="multilevel"/>
    <w:tmpl w:val="CA7A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EC0BA0"/>
    <w:multiLevelType w:val="multilevel"/>
    <w:tmpl w:val="56240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07B6E42"/>
    <w:multiLevelType w:val="multilevel"/>
    <w:tmpl w:val="6DBEA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126B0C"/>
    <w:multiLevelType w:val="multilevel"/>
    <w:tmpl w:val="E4BCA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3403E61"/>
    <w:multiLevelType w:val="multilevel"/>
    <w:tmpl w:val="97F2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4F401E7"/>
    <w:multiLevelType w:val="multilevel"/>
    <w:tmpl w:val="3A14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5B61C68"/>
    <w:multiLevelType w:val="multilevel"/>
    <w:tmpl w:val="E3281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3F1E28"/>
    <w:multiLevelType w:val="multilevel"/>
    <w:tmpl w:val="3D64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5E368E"/>
    <w:multiLevelType w:val="multilevel"/>
    <w:tmpl w:val="352C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7A075CE"/>
    <w:multiLevelType w:val="multilevel"/>
    <w:tmpl w:val="4466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7FA0749"/>
    <w:multiLevelType w:val="multilevel"/>
    <w:tmpl w:val="765E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8314B67"/>
    <w:multiLevelType w:val="multilevel"/>
    <w:tmpl w:val="059E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870220B"/>
    <w:multiLevelType w:val="multilevel"/>
    <w:tmpl w:val="5B622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87320BF"/>
    <w:multiLevelType w:val="multilevel"/>
    <w:tmpl w:val="CA8E4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D01676"/>
    <w:multiLevelType w:val="multilevel"/>
    <w:tmpl w:val="A942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8E376F1"/>
    <w:multiLevelType w:val="multilevel"/>
    <w:tmpl w:val="7E389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BE66D67"/>
    <w:multiLevelType w:val="multilevel"/>
    <w:tmpl w:val="B1B4C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CAB7341"/>
    <w:multiLevelType w:val="multilevel"/>
    <w:tmpl w:val="B75E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DDC242A"/>
    <w:multiLevelType w:val="multilevel"/>
    <w:tmpl w:val="10A8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DE9252E"/>
    <w:multiLevelType w:val="multilevel"/>
    <w:tmpl w:val="FF28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E45029A"/>
    <w:multiLevelType w:val="multilevel"/>
    <w:tmpl w:val="D6FAA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EF72FC3"/>
    <w:multiLevelType w:val="multilevel"/>
    <w:tmpl w:val="EA78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F95507F"/>
    <w:multiLevelType w:val="multilevel"/>
    <w:tmpl w:val="DED4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0464C96"/>
    <w:multiLevelType w:val="multilevel"/>
    <w:tmpl w:val="9B2A4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12D02FE"/>
    <w:multiLevelType w:val="multilevel"/>
    <w:tmpl w:val="14765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45A3C6A"/>
    <w:multiLevelType w:val="multilevel"/>
    <w:tmpl w:val="C90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86E34BF"/>
    <w:multiLevelType w:val="multilevel"/>
    <w:tmpl w:val="6F84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8AD29B6"/>
    <w:multiLevelType w:val="multilevel"/>
    <w:tmpl w:val="BB18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8CA0F99"/>
    <w:multiLevelType w:val="multilevel"/>
    <w:tmpl w:val="33D24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907236B"/>
    <w:multiLevelType w:val="multilevel"/>
    <w:tmpl w:val="15C0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91661FE"/>
    <w:multiLevelType w:val="multilevel"/>
    <w:tmpl w:val="2F6C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97F13BE"/>
    <w:multiLevelType w:val="multilevel"/>
    <w:tmpl w:val="38F22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9961479"/>
    <w:multiLevelType w:val="multilevel"/>
    <w:tmpl w:val="1FAA3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9B35E1C"/>
    <w:multiLevelType w:val="multilevel"/>
    <w:tmpl w:val="1FC88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9D33710"/>
    <w:multiLevelType w:val="multilevel"/>
    <w:tmpl w:val="45DEC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9EA41BB"/>
    <w:multiLevelType w:val="multilevel"/>
    <w:tmpl w:val="B22E0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CFF6BD0"/>
    <w:multiLevelType w:val="multilevel"/>
    <w:tmpl w:val="BB28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D4434A3"/>
    <w:multiLevelType w:val="multilevel"/>
    <w:tmpl w:val="008A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D5268B9"/>
    <w:multiLevelType w:val="multilevel"/>
    <w:tmpl w:val="7C9E5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D723A87"/>
    <w:multiLevelType w:val="multilevel"/>
    <w:tmpl w:val="02B8A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037578F"/>
    <w:multiLevelType w:val="multilevel"/>
    <w:tmpl w:val="91783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18576A5"/>
    <w:multiLevelType w:val="multilevel"/>
    <w:tmpl w:val="F944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1AF4E94"/>
    <w:multiLevelType w:val="multilevel"/>
    <w:tmpl w:val="99CE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1FE1C12"/>
    <w:multiLevelType w:val="multilevel"/>
    <w:tmpl w:val="378E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3284313"/>
    <w:multiLevelType w:val="multilevel"/>
    <w:tmpl w:val="E8824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3AC1C5C"/>
    <w:multiLevelType w:val="multilevel"/>
    <w:tmpl w:val="41AE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3D0752F"/>
    <w:multiLevelType w:val="multilevel"/>
    <w:tmpl w:val="C1B2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51523EC"/>
    <w:multiLevelType w:val="multilevel"/>
    <w:tmpl w:val="82C0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5716C31"/>
    <w:multiLevelType w:val="multilevel"/>
    <w:tmpl w:val="BB0C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6F054E5"/>
    <w:multiLevelType w:val="multilevel"/>
    <w:tmpl w:val="2B60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6FC2DD4"/>
    <w:multiLevelType w:val="multilevel"/>
    <w:tmpl w:val="B752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7020519"/>
    <w:multiLevelType w:val="multilevel"/>
    <w:tmpl w:val="64463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89855D4"/>
    <w:multiLevelType w:val="multilevel"/>
    <w:tmpl w:val="D402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8F249F3"/>
    <w:multiLevelType w:val="multilevel"/>
    <w:tmpl w:val="80FA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9105AFD"/>
    <w:multiLevelType w:val="multilevel"/>
    <w:tmpl w:val="CF8E0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9244A55"/>
    <w:multiLevelType w:val="multilevel"/>
    <w:tmpl w:val="E37C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9EF3A9C"/>
    <w:multiLevelType w:val="multilevel"/>
    <w:tmpl w:val="7B68D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DD022F9"/>
    <w:multiLevelType w:val="multilevel"/>
    <w:tmpl w:val="EA96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EB865FF"/>
    <w:multiLevelType w:val="multilevel"/>
    <w:tmpl w:val="4E08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25B56A9"/>
    <w:multiLevelType w:val="multilevel"/>
    <w:tmpl w:val="BF3A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4146BC9"/>
    <w:multiLevelType w:val="multilevel"/>
    <w:tmpl w:val="A84A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58969A9"/>
    <w:multiLevelType w:val="multilevel"/>
    <w:tmpl w:val="B218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9283F27"/>
    <w:multiLevelType w:val="multilevel"/>
    <w:tmpl w:val="D3F4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E1B304A"/>
    <w:multiLevelType w:val="multilevel"/>
    <w:tmpl w:val="78F27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E793CB8"/>
    <w:multiLevelType w:val="multilevel"/>
    <w:tmpl w:val="279E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F926216"/>
    <w:multiLevelType w:val="multilevel"/>
    <w:tmpl w:val="7BC6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FDC69E2"/>
    <w:multiLevelType w:val="multilevel"/>
    <w:tmpl w:val="8906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
  </w:num>
  <w:num w:numId="3">
    <w:abstractNumId w:val="7"/>
  </w:num>
  <w:num w:numId="4">
    <w:abstractNumId w:val="43"/>
  </w:num>
  <w:num w:numId="5">
    <w:abstractNumId w:val="102"/>
  </w:num>
  <w:num w:numId="6">
    <w:abstractNumId w:val="80"/>
  </w:num>
  <w:num w:numId="7">
    <w:abstractNumId w:val="13"/>
  </w:num>
  <w:num w:numId="8">
    <w:abstractNumId w:val="58"/>
  </w:num>
  <w:num w:numId="9">
    <w:abstractNumId w:val="36"/>
  </w:num>
  <w:num w:numId="10">
    <w:abstractNumId w:val="88"/>
  </w:num>
  <w:num w:numId="11">
    <w:abstractNumId w:val="26"/>
  </w:num>
  <w:num w:numId="12">
    <w:abstractNumId w:val="4"/>
  </w:num>
  <w:num w:numId="13">
    <w:abstractNumId w:val="120"/>
  </w:num>
  <w:num w:numId="14">
    <w:abstractNumId w:val="110"/>
  </w:num>
  <w:num w:numId="15">
    <w:abstractNumId w:val="101"/>
  </w:num>
  <w:num w:numId="16">
    <w:abstractNumId w:val="30"/>
  </w:num>
  <w:num w:numId="17">
    <w:abstractNumId w:val="8"/>
  </w:num>
  <w:num w:numId="18">
    <w:abstractNumId w:val="33"/>
  </w:num>
  <w:num w:numId="19">
    <w:abstractNumId w:val="92"/>
  </w:num>
  <w:num w:numId="20">
    <w:abstractNumId w:val="39"/>
  </w:num>
  <w:num w:numId="21">
    <w:abstractNumId w:val="81"/>
  </w:num>
  <w:num w:numId="22">
    <w:abstractNumId w:val="77"/>
  </w:num>
  <w:num w:numId="23">
    <w:abstractNumId w:val="20"/>
  </w:num>
  <w:num w:numId="24">
    <w:abstractNumId w:val="100"/>
  </w:num>
  <w:num w:numId="25">
    <w:abstractNumId w:val="18"/>
  </w:num>
  <w:num w:numId="26">
    <w:abstractNumId w:val="115"/>
  </w:num>
  <w:num w:numId="27">
    <w:abstractNumId w:val="109"/>
  </w:num>
  <w:num w:numId="28">
    <w:abstractNumId w:val="89"/>
  </w:num>
  <w:num w:numId="29">
    <w:abstractNumId w:val="21"/>
  </w:num>
  <w:num w:numId="30">
    <w:abstractNumId w:val="24"/>
  </w:num>
  <w:num w:numId="31">
    <w:abstractNumId w:val="82"/>
  </w:num>
  <w:num w:numId="32">
    <w:abstractNumId w:val="19"/>
  </w:num>
  <w:num w:numId="33">
    <w:abstractNumId w:val="40"/>
  </w:num>
  <w:num w:numId="34">
    <w:abstractNumId w:val="17"/>
  </w:num>
  <w:num w:numId="35">
    <w:abstractNumId w:val="85"/>
  </w:num>
  <w:num w:numId="36">
    <w:abstractNumId w:val="37"/>
  </w:num>
  <w:num w:numId="37">
    <w:abstractNumId w:val="3"/>
  </w:num>
  <w:num w:numId="38">
    <w:abstractNumId w:val="67"/>
  </w:num>
  <w:num w:numId="39">
    <w:abstractNumId w:val="63"/>
  </w:num>
  <w:num w:numId="40">
    <w:abstractNumId w:val="54"/>
  </w:num>
  <w:num w:numId="41">
    <w:abstractNumId w:val="60"/>
  </w:num>
  <w:num w:numId="42">
    <w:abstractNumId w:val="68"/>
  </w:num>
  <w:num w:numId="43">
    <w:abstractNumId w:val="76"/>
  </w:num>
  <w:num w:numId="44">
    <w:abstractNumId w:val="34"/>
  </w:num>
  <w:num w:numId="45">
    <w:abstractNumId w:val="103"/>
  </w:num>
  <w:num w:numId="46">
    <w:abstractNumId w:val="75"/>
  </w:num>
  <w:num w:numId="47">
    <w:abstractNumId w:val="57"/>
  </w:num>
  <w:num w:numId="48">
    <w:abstractNumId w:val="71"/>
  </w:num>
  <w:num w:numId="49">
    <w:abstractNumId w:val="117"/>
  </w:num>
  <w:num w:numId="50">
    <w:abstractNumId w:val="90"/>
  </w:num>
  <w:num w:numId="51">
    <w:abstractNumId w:val="106"/>
  </w:num>
  <w:num w:numId="52">
    <w:abstractNumId w:val="38"/>
  </w:num>
  <w:num w:numId="53">
    <w:abstractNumId w:val="65"/>
  </w:num>
  <w:num w:numId="54">
    <w:abstractNumId w:val="53"/>
  </w:num>
  <w:num w:numId="55">
    <w:abstractNumId w:val="116"/>
  </w:num>
  <w:num w:numId="56">
    <w:abstractNumId w:val="59"/>
  </w:num>
  <w:num w:numId="57">
    <w:abstractNumId w:val="91"/>
  </w:num>
  <w:num w:numId="58">
    <w:abstractNumId w:val="0"/>
  </w:num>
  <w:num w:numId="59">
    <w:abstractNumId w:val="49"/>
  </w:num>
  <w:num w:numId="60">
    <w:abstractNumId w:val="84"/>
  </w:num>
  <w:num w:numId="61">
    <w:abstractNumId w:val="119"/>
  </w:num>
  <w:num w:numId="62">
    <w:abstractNumId w:val="114"/>
  </w:num>
  <w:num w:numId="63">
    <w:abstractNumId w:val="61"/>
  </w:num>
  <w:num w:numId="64">
    <w:abstractNumId w:val="10"/>
  </w:num>
  <w:num w:numId="65">
    <w:abstractNumId w:val="11"/>
  </w:num>
  <w:num w:numId="66">
    <w:abstractNumId w:val="64"/>
  </w:num>
  <w:num w:numId="67">
    <w:abstractNumId w:val="32"/>
  </w:num>
  <w:num w:numId="68">
    <w:abstractNumId w:val="112"/>
  </w:num>
  <w:num w:numId="69">
    <w:abstractNumId w:val="94"/>
  </w:num>
  <w:num w:numId="70">
    <w:abstractNumId w:val="83"/>
  </w:num>
  <w:num w:numId="71">
    <w:abstractNumId w:val="121"/>
  </w:num>
  <w:num w:numId="72">
    <w:abstractNumId w:val="104"/>
  </w:num>
  <w:num w:numId="73">
    <w:abstractNumId w:val="79"/>
  </w:num>
  <w:num w:numId="74">
    <w:abstractNumId w:val="118"/>
  </w:num>
  <w:num w:numId="75">
    <w:abstractNumId w:val="72"/>
  </w:num>
  <w:num w:numId="76">
    <w:abstractNumId w:val="46"/>
  </w:num>
  <w:num w:numId="77">
    <w:abstractNumId w:val="47"/>
  </w:num>
  <w:num w:numId="78">
    <w:abstractNumId w:val="6"/>
  </w:num>
  <w:num w:numId="79">
    <w:abstractNumId w:val="105"/>
  </w:num>
  <w:num w:numId="80">
    <w:abstractNumId w:val="73"/>
  </w:num>
  <w:num w:numId="81">
    <w:abstractNumId w:val="113"/>
  </w:num>
  <w:num w:numId="82">
    <w:abstractNumId w:val="107"/>
  </w:num>
  <w:num w:numId="83">
    <w:abstractNumId w:val="69"/>
  </w:num>
  <w:num w:numId="84">
    <w:abstractNumId w:val="12"/>
  </w:num>
  <w:num w:numId="85">
    <w:abstractNumId w:val="51"/>
  </w:num>
  <w:num w:numId="86">
    <w:abstractNumId w:val="29"/>
  </w:num>
  <w:num w:numId="87">
    <w:abstractNumId w:val="74"/>
  </w:num>
  <w:num w:numId="88">
    <w:abstractNumId w:val="95"/>
  </w:num>
  <w:num w:numId="89">
    <w:abstractNumId w:val="56"/>
  </w:num>
  <w:num w:numId="90">
    <w:abstractNumId w:val="5"/>
  </w:num>
  <w:num w:numId="91">
    <w:abstractNumId w:val="97"/>
  </w:num>
  <w:num w:numId="92">
    <w:abstractNumId w:val="87"/>
  </w:num>
  <w:num w:numId="93">
    <w:abstractNumId w:val="70"/>
  </w:num>
  <w:num w:numId="94">
    <w:abstractNumId w:val="31"/>
  </w:num>
  <w:num w:numId="95">
    <w:abstractNumId w:val="66"/>
  </w:num>
  <w:num w:numId="96">
    <w:abstractNumId w:val="16"/>
  </w:num>
  <w:num w:numId="97">
    <w:abstractNumId w:val="41"/>
  </w:num>
  <w:num w:numId="98">
    <w:abstractNumId w:val="15"/>
  </w:num>
  <w:num w:numId="99">
    <w:abstractNumId w:val="22"/>
  </w:num>
  <w:num w:numId="100">
    <w:abstractNumId w:val="108"/>
  </w:num>
  <w:num w:numId="101">
    <w:abstractNumId w:val="50"/>
  </w:num>
  <w:num w:numId="102">
    <w:abstractNumId w:val="96"/>
  </w:num>
  <w:num w:numId="103">
    <w:abstractNumId w:val="23"/>
  </w:num>
  <w:num w:numId="104">
    <w:abstractNumId w:val="98"/>
  </w:num>
  <w:num w:numId="105">
    <w:abstractNumId w:val="62"/>
  </w:num>
  <w:num w:numId="106">
    <w:abstractNumId w:val="48"/>
  </w:num>
  <w:num w:numId="107">
    <w:abstractNumId w:val="86"/>
  </w:num>
  <w:num w:numId="108">
    <w:abstractNumId w:val="35"/>
  </w:num>
  <w:num w:numId="109">
    <w:abstractNumId w:val="28"/>
  </w:num>
  <w:num w:numId="110">
    <w:abstractNumId w:val="9"/>
  </w:num>
  <w:num w:numId="111">
    <w:abstractNumId w:val="55"/>
  </w:num>
  <w:num w:numId="112">
    <w:abstractNumId w:val="44"/>
  </w:num>
  <w:num w:numId="113">
    <w:abstractNumId w:val="52"/>
  </w:num>
  <w:num w:numId="114">
    <w:abstractNumId w:val="78"/>
  </w:num>
  <w:num w:numId="115">
    <w:abstractNumId w:val="45"/>
  </w:num>
  <w:num w:numId="116">
    <w:abstractNumId w:val="99"/>
  </w:num>
  <w:num w:numId="117">
    <w:abstractNumId w:val="111"/>
  </w:num>
  <w:num w:numId="118">
    <w:abstractNumId w:val="2"/>
  </w:num>
  <w:num w:numId="119">
    <w:abstractNumId w:val="93"/>
  </w:num>
  <w:num w:numId="120">
    <w:abstractNumId w:val="42"/>
  </w:num>
  <w:num w:numId="121">
    <w:abstractNumId w:val="14"/>
  </w:num>
  <w:num w:numId="122">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88"/>
    <w:rsid w:val="002D4C88"/>
    <w:rsid w:val="008C7027"/>
    <w:rsid w:val="00C8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5F4B10-FD1D-4CA3-8DF9-7C50D62B8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C70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C70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C702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702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C702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C7027"/>
    <w:rPr>
      <w:rFonts w:ascii="Times New Roman" w:eastAsia="Times New Roman" w:hAnsi="Times New Roman" w:cs="Times New Roman"/>
      <w:b/>
      <w:bCs/>
      <w:sz w:val="27"/>
      <w:szCs w:val="27"/>
      <w:lang w:eastAsia="ru-RU"/>
    </w:rPr>
  </w:style>
  <w:style w:type="paragraph" w:customStyle="1" w:styleId="msonormal0">
    <w:name w:val="msonormal"/>
    <w:basedOn w:val="a"/>
    <w:rsid w:val="008C7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C7027"/>
  </w:style>
  <w:style w:type="character" w:customStyle="1" w:styleId="titlename">
    <w:name w:val="title_name"/>
    <w:basedOn w:val="a0"/>
    <w:rsid w:val="008C7027"/>
  </w:style>
  <w:style w:type="character" w:customStyle="1" w:styleId="titlecontent">
    <w:name w:val="title_content"/>
    <w:basedOn w:val="a0"/>
    <w:rsid w:val="008C7027"/>
  </w:style>
  <w:style w:type="character" w:customStyle="1" w:styleId="titlenamecolumn">
    <w:name w:val="title_name_column"/>
    <w:basedOn w:val="a0"/>
    <w:rsid w:val="008C7027"/>
  </w:style>
  <w:style w:type="character" w:customStyle="1" w:styleId="titlename1">
    <w:name w:val="title_name1"/>
    <w:basedOn w:val="a0"/>
    <w:rsid w:val="008C7027"/>
  </w:style>
  <w:style w:type="character" w:customStyle="1" w:styleId="titlecontent1">
    <w:name w:val="title_content1"/>
    <w:basedOn w:val="a0"/>
    <w:rsid w:val="008C7027"/>
  </w:style>
  <w:style w:type="character" w:customStyle="1" w:styleId="titlecontent2">
    <w:name w:val="title_content2"/>
    <w:basedOn w:val="a0"/>
    <w:rsid w:val="008C7027"/>
  </w:style>
  <w:style w:type="paragraph" w:styleId="a3">
    <w:name w:val="Normal (Web)"/>
    <w:basedOn w:val="a"/>
    <w:uiPriority w:val="99"/>
    <w:semiHidden/>
    <w:unhideWhenUsed/>
    <w:rsid w:val="008C7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C7027"/>
    <w:rPr>
      <w:b/>
      <w:bCs/>
    </w:rPr>
  </w:style>
  <w:style w:type="character" w:styleId="a5">
    <w:name w:val="Emphasis"/>
    <w:basedOn w:val="a0"/>
    <w:uiPriority w:val="20"/>
    <w:qFormat/>
    <w:rsid w:val="008C7027"/>
    <w:rPr>
      <w:i/>
      <w:iCs/>
    </w:rPr>
  </w:style>
  <w:style w:type="paragraph" w:customStyle="1" w:styleId="marginl">
    <w:name w:val="marginl"/>
    <w:basedOn w:val="a"/>
    <w:rsid w:val="008C7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C7027"/>
    <w:rPr>
      <w:color w:val="0000FF"/>
      <w:u w:val="single"/>
    </w:rPr>
  </w:style>
  <w:style w:type="character" w:styleId="a7">
    <w:name w:val="FollowedHyperlink"/>
    <w:basedOn w:val="a0"/>
    <w:uiPriority w:val="99"/>
    <w:semiHidden/>
    <w:unhideWhenUsed/>
    <w:rsid w:val="008C702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513544">
      <w:bodyDiv w:val="1"/>
      <w:marLeft w:val="0"/>
      <w:marRight w:val="0"/>
      <w:marTop w:val="0"/>
      <w:marBottom w:val="0"/>
      <w:divBdr>
        <w:top w:val="none" w:sz="0" w:space="0" w:color="auto"/>
        <w:left w:val="none" w:sz="0" w:space="0" w:color="auto"/>
        <w:bottom w:val="none" w:sz="0" w:space="0" w:color="auto"/>
        <w:right w:val="none" w:sz="0" w:space="0" w:color="auto"/>
      </w:divBdr>
      <w:divsChild>
        <w:div w:id="1350183761">
          <w:marLeft w:val="0"/>
          <w:marRight w:val="0"/>
          <w:marTop w:val="0"/>
          <w:marBottom w:val="0"/>
          <w:divBdr>
            <w:top w:val="none" w:sz="0" w:space="0" w:color="auto"/>
            <w:left w:val="none" w:sz="0" w:space="0" w:color="auto"/>
            <w:bottom w:val="none" w:sz="0" w:space="0" w:color="auto"/>
            <w:right w:val="none" w:sz="0" w:space="0" w:color="auto"/>
          </w:divBdr>
          <w:divsChild>
            <w:div w:id="1835099907">
              <w:marLeft w:val="0"/>
              <w:marRight w:val="0"/>
              <w:marTop w:val="0"/>
              <w:marBottom w:val="0"/>
              <w:divBdr>
                <w:top w:val="none" w:sz="0" w:space="0" w:color="auto"/>
                <w:left w:val="none" w:sz="0" w:space="0" w:color="auto"/>
                <w:bottom w:val="none" w:sz="0" w:space="0" w:color="auto"/>
                <w:right w:val="none" w:sz="0" w:space="0" w:color="auto"/>
              </w:divBdr>
            </w:div>
            <w:div w:id="2033529194">
              <w:marLeft w:val="0"/>
              <w:marRight w:val="0"/>
              <w:marTop w:val="0"/>
              <w:marBottom w:val="0"/>
              <w:divBdr>
                <w:top w:val="none" w:sz="0" w:space="0" w:color="auto"/>
                <w:left w:val="none" w:sz="0" w:space="0" w:color="auto"/>
                <w:bottom w:val="none" w:sz="0" w:space="0" w:color="auto"/>
                <w:right w:val="none" w:sz="0" w:space="0" w:color="auto"/>
              </w:divBdr>
            </w:div>
            <w:div w:id="1530796403">
              <w:marLeft w:val="0"/>
              <w:marRight w:val="0"/>
              <w:marTop w:val="0"/>
              <w:marBottom w:val="0"/>
              <w:divBdr>
                <w:top w:val="none" w:sz="0" w:space="0" w:color="auto"/>
                <w:left w:val="none" w:sz="0" w:space="0" w:color="auto"/>
                <w:bottom w:val="none" w:sz="0" w:space="0" w:color="auto"/>
                <w:right w:val="none" w:sz="0" w:space="0" w:color="auto"/>
              </w:divBdr>
              <w:divsChild>
                <w:div w:id="374014362">
                  <w:marLeft w:val="0"/>
                  <w:marRight w:val="0"/>
                  <w:marTop w:val="0"/>
                  <w:marBottom w:val="0"/>
                  <w:divBdr>
                    <w:top w:val="none" w:sz="0" w:space="0" w:color="auto"/>
                    <w:left w:val="none" w:sz="0" w:space="0" w:color="auto"/>
                    <w:bottom w:val="none" w:sz="0" w:space="0" w:color="auto"/>
                    <w:right w:val="none" w:sz="0" w:space="0" w:color="auto"/>
                  </w:divBdr>
                  <w:divsChild>
                    <w:div w:id="997613965">
                      <w:marLeft w:val="0"/>
                      <w:marRight w:val="0"/>
                      <w:marTop w:val="0"/>
                      <w:marBottom w:val="1500"/>
                      <w:divBdr>
                        <w:top w:val="none" w:sz="0" w:space="0" w:color="auto"/>
                        <w:left w:val="none" w:sz="0" w:space="0" w:color="auto"/>
                        <w:bottom w:val="none" w:sz="0" w:space="0" w:color="auto"/>
                        <w:right w:val="none" w:sz="0" w:space="0" w:color="auto"/>
                      </w:divBdr>
                    </w:div>
                  </w:divsChild>
                </w:div>
                <w:div w:id="1949316036">
                  <w:marLeft w:val="0"/>
                  <w:marRight w:val="0"/>
                  <w:marTop w:val="0"/>
                  <w:marBottom w:val="0"/>
                  <w:divBdr>
                    <w:top w:val="none" w:sz="0" w:space="0" w:color="auto"/>
                    <w:left w:val="none" w:sz="0" w:space="0" w:color="auto"/>
                    <w:bottom w:val="none" w:sz="0" w:space="0" w:color="auto"/>
                    <w:right w:val="none" w:sz="0" w:space="0" w:color="auto"/>
                  </w:divBdr>
                  <w:divsChild>
                    <w:div w:id="1490290414">
                      <w:marLeft w:val="0"/>
                      <w:marRight w:val="0"/>
                      <w:marTop w:val="0"/>
                      <w:marBottom w:val="0"/>
                      <w:divBdr>
                        <w:top w:val="none" w:sz="0" w:space="0" w:color="auto"/>
                        <w:left w:val="none" w:sz="0" w:space="0" w:color="auto"/>
                        <w:bottom w:val="none" w:sz="0" w:space="0" w:color="auto"/>
                        <w:right w:val="none" w:sz="0" w:space="0" w:color="auto"/>
                      </w:divBdr>
                      <w:divsChild>
                        <w:div w:id="1982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98679">
                  <w:marLeft w:val="0"/>
                  <w:marRight w:val="0"/>
                  <w:marTop w:val="0"/>
                  <w:marBottom w:val="0"/>
                  <w:divBdr>
                    <w:top w:val="none" w:sz="0" w:space="0" w:color="auto"/>
                    <w:left w:val="none" w:sz="0" w:space="0" w:color="auto"/>
                    <w:bottom w:val="none" w:sz="0" w:space="0" w:color="auto"/>
                    <w:right w:val="none" w:sz="0" w:space="0" w:color="auto"/>
                  </w:divBdr>
                  <w:divsChild>
                    <w:div w:id="90007927">
                      <w:marLeft w:val="0"/>
                      <w:marRight w:val="0"/>
                      <w:marTop w:val="0"/>
                      <w:marBottom w:val="0"/>
                      <w:divBdr>
                        <w:top w:val="none" w:sz="0" w:space="0" w:color="auto"/>
                        <w:left w:val="none" w:sz="0" w:space="0" w:color="auto"/>
                        <w:bottom w:val="none" w:sz="0" w:space="0" w:color="auto"/>
                        <w:right w:val="none" w:sz="0" w:space="0" w:color="auto"/>
                      </w:divBdr>
                      <w:divsChild>
                        <w:div w:id="25513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124657">
                  <w:marLeft w:val="0"/>
                  <w:marRight w:val="0"/>
                  <w:marTop w:val="0"/>
                  <w:marBottom w:val="0"/>
                  <w:divBdr>
                    <w:top w:val="none" w:sz="0" w:space="0" w:color="auto"/>
                    <w:left w:val="none" w:sz="0" w:space="0" w:color="auto"/>
                    <w:bottom w:val="none" w:sz="0" w:space="0" w:color="auto"/>
                    <w:right w:val="none" w:sz="0" w:space="0" w:color="auto"/>
                  </w:divBdr>
                  <w:divsChild>
                    <w:div w:id="1232078893">
                      <w:marLeft w:val="0"/>
                      <w:marRight w:val="0"/>
                      <w:marTop w:val="0"/>
                      <w:marBottom w:val="0"/>
                      <w:divBdr>
                        <w:top w:val="none" w:sz="0" w:space="0" w:color="auto"/>
                        <w:left w:val="none" w:sz="0" w:space="0" w:color="auto"/>
                        <w:bottom w:val="none" w:sz="0" w:space="0" w:color="auto"/>
                        <w:right w:val="none" w:sz="0" w:space="0" w:color="auto"/>
                      </w:divBdr>
                      <w:divsChild>
                        <w:div w:id="11259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9153">
                  <w:marLeft w:val="0"/>
                  <w:marRight w:val="0"/>
                  <w:marTop w:val="0"/>
                  <w:marBottom w:val="0"/>
                  <w:divBdr>
                    <w:top w:val="none" w:sz="0" w:space="0" w:color="auto"/>
                    <w:left w:val="none" w:sz="0" w:space="0" w:color="auto"/>
                    <w:bottom w:val="none" w:sz="0" w:space="0" w:color="auto"/>
                    <w:right w:val="none" w:sz="0" w:space="0" w:color="auto"/>
                  </w:divBdr>
                  <w:divsChild>
                    <w:div w:id="1684356957">
                      <w:marLeft w:val="0"/>
                      <w:marRight w:val="0"/>
                      <w:marTop w:val="0"/>
                      <w:marBottom w:val="0"/>
                      <w:divBdr>
                        <w:top w:val="none" w:sz="0" w:space="0" w:color="auto"/>
                        <w:left w:val="none" w:sz="0" w:space="0" w:color="auto"/>
                        <w:bottom w:val="none" w:sz="0" w:space="0" w:color="auto"/>
                        <w:right w:val="none" w:sz="0" w:space="0" w:color="auto"/>
                      </w:divBdr>
                      <w:divsChild>
                        <w:div w:id="106957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09395">
                  <w:marLeft w:val="0"/>
                  <w:marRight w:val="0"/>
                  <w:marTop w:val="0"/>
                  <w:marBottom w:val="0"/>
                  <w:divBdr>
                    <w:top w:val="none" w:sz="0" w:space="0" w:color="auto"/>
                    <w:left w:val="none" w:sz="0" w:space="0" w:color="auto"/>
                    <w:bottom w:val="none" w:sz="0" w:space="0" w:color="auto"/>
                    <w:right w:val="none" w:sz="0" w:space="0" w:color="auto"/>
                  </w:divBdr>
                  <w:divsChild>
                    <w:div w:id="1612201898">
                      <w:marLeft w:val="0"/>
                      <w:marRight w:val="0"/>
                      <w:marTop w:val="0"/>
                      <w:marBottom w:val="0"/>
                      <w:divBdr>
                        <w:top w:val="none" w:sz="0" w:space="0" w:color="auto"/>
                        <w:left w:val="none" w:sz="0" w:space="0" w:color="auto"/>
                        <w:bottom w:val="none" w:sz="0" w:space="0" w:color="auto"/>
                        <w:right w:val="none" w:sz="0" w:space="0" w:color="auto"/>
                      </w:divBdr>
                      <w:divsChild>
                        <w:div w:id="51638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268460">
                  <w:marLeft w:val="0"/>
                  <w:marRight w:val="0"/>
                  <w:marTop w:val="450"/>
                  <w:marBottom w:val="0"/>
                  <w:divBdr>
                    <w:top w:val="none" w:sz="0" w:space="0" w:color="auto"/>
                    <w:left w:val="none" w:sz="0" w:space="0" w:color="auto"/>
                    <w:bottom w:val="none" w:sz="0" w:space="0" w:color="auto"/>
                    <w:right w:val="none" w:sz="0" w:space="0" w:color="auto"/>
                  </w:divBdr>
                  <w:divsChild>
                    <w:div w:id="1959600517">
                      <w:marLeft w:val="0"/>
                      <w:marRight w:val="0"/>
                      <w:marTop w:val="0"/>
                      <w:marBottom w:val="0"/>
                      <w:divBdr>
                        <w:top w:val="none" w:sz="0" w:space="0" w:color="auto"/>
                        <w:left w:val="none" w:sz="0" w:space="0" w:color="auto"/>
                        <w:bottom w:val="none" w:sz="0" w:space="0" w:color="auto"/>
                        <w:right w:val="none" w:sz="0" w:space="0" w:color="auto"/>
                      </w:divBdr>
                    </w:div>
                  </w:divsChild>
                </w:div>
                <w:div w:id="1580407592">
                  <w:marLeft w:val="0"/>
                  <w:marRight w:val="0"/>
                  <w:marTop w:val="450"/>
                  <w:marBottom w:val="0"/>
                  <w:divBdr>
                    <w:top w:val="none" w:sz="0" w:space="0" w:color="auto"/>
                    <w:left w:val="none" w:sz="0" w:space="0" w:color="auto"/>
                    <w:bottom w:val="none" w:sz="0" w:space="0" w:color="auto"/>
                    <w:right w:val="none" w:sz="0" w:space="0" w:color="auto"/>
                  </w:divBdr>
                  <w:divsChild>
                    <w:div w:id="486940588">
                      <w:marLeft w:val="0"/>
                      <w:marRight w:val="0"/>
                      <w:marTop w:val="0"/>
                      <w:marBottom w:val="3750"/>
                      <w:divBdr>
                        <w:top w:val="none" w:sz="0" w:space="0" w:color="auto"/>
                        <w:left w:val="none" w:sz="0" w:space="0" w:color="auto"/>
                        <w:bottom w:val="none" w:sz="0" w:space="0" w:color="auto"/>
                        <w:right w:val="none" w:sz="0" w:space="0" w:color="auto"/>
                      </w:divBdr>
                    </w:div>
                    <w:div w:id="34302080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55024676">
              <w:marLeft w:val="0"/>
              <w:marRight w:val="0"/>
              <w:marTop w:val="0"/>
              <w:marBottom w:val="0"/>
              <w:divBdr>
                <w:top w:val="none" w:sz="0" w:space="0" w:color="auto"/>
                <w:left w:val="none" w:sz="0" w:space="0" w:color="auto"/>
                <w:bottom w:val="none" w:sz="0" w:space="0" w:color="auto"/>
                <w:right w:val="none" w:sz="0" w:space="0" w:color="auto"/>
              </w:divBdr>
              <w:divsChild>
                <w:div w:id="1392541392">
                  <w:marLeft w:val="0"/>
                  <w:marRight w:val="0"/>
                  <w:marTop w:val="900"/>
                  <w:marBottom w:val="600"/>
                  <w:divBdr>
                    <w:top w:val="none" w:sz="0" w:space="0" w:color="auto"/>
                    <w:left w:val="none" w:sz="0" w:space="0" w:color="auto"/>
                    <w:bottom w:val="none" w:sz="0" w:space="0" w:color="auto"/>
                    <w:right w:val="none" w:sz="0" w:space="0" w:color="auto"/>
                  </w:divBdr>
                </w:div>
                <w:div w:id="806314402">
                  <w:marLeft w:val="0"/>
                  <w:marRight w:val="0"/>
                  <w:marTop w:val="0"/>
                  <w:marBottom w:val="0"/>
                  <w:divBdr>
                    <w:top w:val="none" w:sz="0" w:space="0" w:color="auto"/>
                    <w:left w:val="none" w:sz="0" w:space="0" w:color="auto"/>
                    <w:bottom w:val="none" w:sz="0" w:space="0" w:color="auto"/>
                    <w:right w:val="none" w:sz="0" w:space="0" w:color="auto"/>
                  </w:divBdr>
                  <w:divsChild>
                    <w:div w:id="32770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5114">
              <w:marLeft w:val="0"/>
              <w:marRight w:val="0"/>
              <w:marTop w:val="0"/>
              <w:marBottom w:val="0"/>
              <w:divBdr>
                <w:top w:val="none" w:sz="0" w:space="0" w:color="auto"/>
                <w:left w:val="none" w:sz="0" w:space="0" w:color="auto"/>
                <w:bottom w:val="none" w:sz="0" w:space="0" w:color="auto"/>
                <w:right w:val="none" w:sz="0" w:space="0" w:color="auto"/>
              </w:divBdr>
              <w:divsChild>
                <w:div w:id="696194497">
                  <w:marLeft w:val="0"/>
                  <w:marRight w:val="0"/>
                  <w:marTop w:val="900"/>
                  <w:marBottom w:val="600"/>
                  <w:divBdr>
                    <w:top w:val="none" w:sz="0" w:space="0" w:color="auto"/>
                    <w:left w:val="none" w:sz="0" w:space="0" w:color="auto"/>
                    <w:bottom w:val="none" w:sz="0" w:space="0" w:color="auto"/>
                    <w:right w:val="none" w:sz="0" w:space="0" w:color="auto"/>
                  </w:divBdr>
                </w:div>
                <w:div w:id="408893110">
                  <w:marLeft w:val="0"/>
                  <w:marRight w:val="0"/>
                  <w:marTop w:val="0"/>
                  <w:marBottom w:val="0"/>
                  <w:divBdr>
                    <w:top w:val="none" w:sz="0" w:space="0" w:color="auto"/>
                    <w:left w:val="none" w:sz="0" w:space="0" w:color="auto"/>
                    <w:bottom w:val="none" w:sz="0" w:space="0" w:color="auto"/>
                    <w:right w:val="none" w:sz="0" w:space="0" w:color="auto"/>
                  </w:divBdr>
                  <w:divsChild>
                    <w:div w:id="31391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2439">
              <w:marLeft w:val="0"/>
              <w:marRight w:val="0"/>
              <w:marTop w:val="0"/>
              <w:marBottom w:val="0"/>
              <w:divBdr>
                <w:top w:val="none" w:sz="0" w:space="0" w:color="auto"/>
                <w:left w:val="none" w:sz="0" w:space="0" w:color="auto"/>
                <w:bottom w:val="none" w:sz="0" w:space="0" w:color="auto"/>
                <w:right w:val="none" w:sz="0" w:space="0" w:color="auto"/>
              </w:divBdr>
              <w:divsChild>
                <w:div w:id="684983829">
                  <w:marLeft w:val="0"/>
                  <w:marRight w:val="0"/>
                  <w:marTop w:val="900"/>
                  <w:marBottom w:val="600"/>
                  <w:divBdr>
                    <w:top w:val="none" w:sz="0" w:space="0" w:color="auto"/>
                    <w:left w:val="none" w:sz="0" w:space="0" w:color="auto"/>
                    <w:bottom w:val="none" w:sz="0" w:space="0" w:color="auto"/>
                    <w:right w:val="none" w:sz="0" w:space="0" w:color="auto"/>
                  </w:divBdr>
                </w:div>
              </w:divsChild>
            </w:div>
            <w:div w:id="1344044962">
              <w:marLeft w:val="0"/>
              <w:marRight w:val="0"/>
              <w:marTop w:val="0"/>
              <w:marBottom w:val="0"/>
              <w:divBdr>
                <w:top w:val="none" w:sz="0" w:space="0" w:color="auto"/>
                <w:left w:val="none" w:sz="0" w:space="0" w:color="auto"/>
                <w:bottom w:val="none" w:sz="0" w:space="0" w:color="auto"/>
                <w:right w:val="none" w:sz="0" w:space="0" w:color="auto"/>
              </w:divBdr>
              <w:divsChild>
                <w:div w:id="1356349277">
                  <w:marLeft w:val="0"/>
                  <w:marRight w:val="0"/>
                  <w:marTop w:val="900"/>
                  <w:marBottom w:val="600"/>
                  <w:divBdr>
                    <w:top w:val="none" w:sz="0" w:space="0" w:color="auto"/>
                    <w:left w:val="none" w:sz="0" w:space="0" w:color="auto"/>
                    <w:bottom w:val="none" w:sz="0" w:space="0" w:color="auto"/>
                    <w:right w:val="none" w:sz="0" w:space="0" w:color="auto"/>
                  </w:divBdr>
                </w:div>
                <w:div w:id="62458993">
                  <w:marLeft w:val="0"/>
                  <w:marRight w:val="0"/>
                  <w:marTop w:val="0"/>
                  <w:marBottom w:val="0"/>
                  <w:divBdr>
                    <w:top w:val="none" w:sz="0" w:space="0" w:color="auto"/>
                    <w:left w:val="none" w:sz="0" w:space="0" w:color="auto"/>
                    <w:bottom w:val="none" w:sz="0" w:space="0" w:color="auto"/>
                    <w:right w:val="none" w:sz="0" w:space="0" w:color="auto"/>
                  </w:divBdr>
                  <w:divsChild>
                    <w:div w:id="193431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20811">
              <w:marLeft w:val="0"/>
              <w:marRight w:val="0"/>
              <w:marTop w:val="0"/>
              <w:marBottom w:val="0"/>
              <w:divBdr>
                <w:top w:val="none" w:sz="0" w:space="0" w:color="auto"/>
                <w:left w:val="none" w:sz="0" w:space="0" w:color="auto"/>
                <w:bottom w:val="none" w:sz="0" w:space="0" w:color="auto"/>
                <w:right w:val="none" w:sz="0" w:space="0" w:color="auto"/>
              </w:divBdr>
              <w:divsChild>
                <w:div w:id="190608126">
                  <w:marLeft w:val="0"/>
                  <w:marRight w:val="0"/>
                  <w:marTop w:val="900"/>
                  <w:marBottom w:val="600"/>
                  <w:divBdr>
                    <w:top w:val="none" w:sz="0" w:space="0" w:color="auto"/>
                    <w:left w:val="none" w:sz="0" w:space="0" w:color="auto"/>
                    <w:bottom w:val="none" w:sz="0" w:space="0" w:color="auto"/>
                    <w:right w:val="none" w:sz="0" w:space="0" w:color="auto"/>
                  </w:divBdr>
                </w:div>
                <w:div w:id="260459121">
                  <w:marLeft w:val="0"/>
                  <w:marRight w:val="0"/>
                  <w:marTop w:val="0"/>
                  <w:marBottom w:val="0"/>
                  <w:divBdr>
                    <w:top w:val="none" w:sz="0" w:space="0" w:color="auto"/>
                    <w:left w:val="none" w:sz="0" w:space="0" w:color="auto"/>
                    <w:bottom w:val="none" w:sz="0" w:space="0" w:color="auto"/>
                    <w:right w:val="none" w:sz="0" w:space="0" w:color="auto"/>
                  </w:divBdr>
                  <w:divsChild>
                    <w:div w:id="5795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91514">
              <w:marLeft w:val="0"/>
              <w:marRight w:val="0"/>
              <w:marTop w:val="0"/>
              <w:marBottom w:val="0"/>
              <w:divBdr>
                <w:top w:val="none" w:sz="0" w:space="0" w:color="auto"/>
                <w:left w:val="none" w:sz="0" w:space="0" w:color="auto"/>
                <w:bottom w:val="none" w:sz="0" w:space="0" w:color="auto"/>
                <w:right w:val="none" w:sz="0" w:space="0" w:color="auto"/>
              </w:divBdr>
              <w:divsChild>
                <w:div w:id="1240138773">
                  <w:marLeft w:val="0"/>
                  <w:marRight w:val="0"/>
                  <w:marTop w:val="900"/>
                  <w:marBottom w:val="600"/>
                  <w:divBdr>
                    <w:top w:val="none" w:sz="0" w:space="0" w:color="auto"/>
                    <w:left w:val="none" w:sz="0" w:space="0" w:color="auto"/>
                    <w:bottom w:val="none" w:sz="0" w:space="0" w:color="auto"/>
                    <w:right w:val="none" w:sz="0" w:space="0" w:color="auto"/>
                  </w:divBdr>
                </w:div>
                <w:div w:id="1625230233">
                  <w:marLeft w:val="0"/>
                  <w:marRight w:val="0"/>
                  <w:marTop w:val="0"/>
                  <w:marBottom w:val="0"/>
                  <w:divBdr>
                    <w:top w:val="none" w:sz="0" w:space="0" w:color="auto"/>
                    <w:left w:val="none" w:sz="0" w:space="0" w:color="auto"/>
                    <w:bottom w:val="none" w:sz="0" w:space="0" w:color="auto"/>
                    <w:right w:val="none" w:sz="0" w:space="0" w:color="auto"/>
                  </w:divBdr>
                  <w:divsChild>
                    <w:div w:id="33916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9537">
              <w:marLeft w:val="0"/>
              <w:marRight w:val="0"/>
              <w:marTop w:val="0"/>
              <w:marBottom w:val="0"/>
              <w:divBdr>
                <w:top w:val="none" w:sz="0" w:space="0" w:color="auto"/>
                <w:left w:val="none" w:sz="0" w:space="0" w:color="auto"/>
                <w:bottom w:val="none" w:sz="0" w:space="0" w:color="auto"/>
                <w:right w:val="none" w:sz="0" w:space="0" w:color="auto"/>
              </w:divBdr>
              <w:divsChild>
                <w:div w:id="2147309729">
                  <w:marLeft w:val="0"/>
                  <w:marRight w:val="0"/>
                  <w:marTop w:val="900"/>
                  <w:marBottom w:val="600"/>
                  <w:divBdr>
                    <w:top w:val="none" w:sz="0" w:space="0" w:color="auto"/>
                    <w:left w:val="none" w:sz="0" w:space="0" w:color="auto"/>
                    <w:bottom w:val="none" w:sz="0" w:space="0" w:color="auto"/>
                    <w:right w:val="none" w:sz="0" w:space="0" w:color="auto"/>
                  </w:divBdr>
                </w:div>
                <w:div w:id="568273594">
                  <w:marLeft w:val="0"/>
                  <w:marRight w:val="0"/>
                  <w:marTop w:val="0"/>
                  <w:marBottom w:val="0"/>
                  <w:divBdr>
                    <w:top w:val="none" w:sz="0" w:space="0" w:color="auto"/>
                    <w:left w:val="none" w:sz="0" w:space="0" w:color="auto"/>
                    <w:bottom w:val="none" w:sz="0" w:space="0" w:color="auto"/>
                    <w:right w:val="none" w:sz="0" w:space="0" w:color="auto"/>
                  </w:divBdr>
                  <w:divsChild>
                    <w:div w:id="8913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35237">
              <w:marLeft w:val="0"/>
              <w:marRight w:val="0"/>
              <w:marTop w:val="0"/>
              <w:marBottom w:val="0"/>
              <w:divBdr>
                <w:top w:val="none" w:sz="0" w:space="0" w:color="auto"/>
                <w:left w:val="none" w:sz="0" w:space="0" w:color="auto"/>
                <w:bottom w:val="none" w:sz="0" w:space="0" w:color="auto"/>
                <w:right w:val="none" w:sz="0" w:space="0" w:color="auto"/>
              </w:divBdr>
              <w:divsChild>
                <w:div w:id="1533961515">
                  <w:marLeft w:val="0"/>
                  <w:marRight w:val="0"/>
                  <w:marTop w:val="900"/>
                  <w:marBottom w:val="600"/>
                  <w:divBdr>
                    <w:top w:val="none" w:sz="0" w:space="0" w:color="auto"/>
                    <w:left w:val="none" w:sz="0" w:space="0" w:color="auto"/>
                    <w:bottom w:val="none" w:sz="0" w:space="0" w:color="auto"/>
                    <w:right w:val="none" w:sz="0" w:space="0" w:color="auto"/>
                  </w:divBdr>
                </w:div>
                <w:div w:id="1917472439">
                  <w:marLeft w:val="0"/>
                  <w:marRight w:val="0"/>
                  <w:marTop w:val="0"/>
                  <w:marBottom w:val="0"/>
                  <w:divBdr>
                    <w:top w:val="none" w:sz="0" w:space="0" w:color="auto"/>
                    <w:left w:val="none" w:sz="0" w:space="0" w:color="auto"/>
                    <w:bottom w:val="none" w:sz="0" w:space="0" w:color="auto"/>
                    <w:right w:val="none" w:sz="0" w:space="0" w:color="auto"/>
                  </w:divBdr>
                  <w:divsChild>
                    <w:div w:id="1216309782">
                      <w:marLeft w:val="0"/>
                      <w:marRight w:val="0"/>
                      <w:marTop w:val="0"/>
                      <w:marBottom w:val="0"/>
                      <w:divBdr>
                        <w:top w:val="none" w:sz="0" w:space="0" w:color="auto"/>
                        <w:left w:val="none" w:sz="0" w:space="0" w:color="auto"/>
                        <w:bottom w:val="none" w:sz="0" w:space="0" w:color="auto"/>
                        <w:right w:val="none" w:sz="0" w:space="0" w:color="auto"/>
                      </w:divBdr>
                      <w:divsChild>
                        <w:div w:id="96346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311968">
              <w:marLeft w:val="0"/>
              <w:marRight w:val="0"/>
              <w:marTop w:val="0"/>
              <w:marBottom w:val="0"/>
              <w:divBdr>
                <w:top w:val="none" w:sz="0" w:space="0" w:color="auto"/>
                <w:left w:val="none" w:sz="0" w:space="0" w:color="auto"/>
                <w:bottom w:val="none" w:sz="0" w:space="0" w:color="auto"/>
                <w:right w:val="none" w:sz="0" w:space="0" w:color="auto"/>
              </w:divBdr>
              <w:divsChild>
                <w:div w:id="897858101">
                  <w:marLeft w:val="0"/>
                  <w:marRight w:val="0"/>
                  <w:marTop w:val="900"/>
                  <w:marBottom w:val="600"/>
                  <w:divBdr>
                    <w:top w:val="none" w:sz="0" w:space="0" w:color="auto"/>
                    <w:left w:val="none" w:sz="0" w:space="0" w:color="auto"/>
                    <w:bottom w:val="none" w:sz="0" w:space="0" w:color="auto"/>
                    <w:right w:val="none" w:sz="0" w:space="0" w:color="auto"/>
                  </w:divBdr>
                </w:div>
                <w:div w:id="272446725">
                  <w:marLeft w:val="0"/>
                  <w:marRight w:val="0"/>
                  <w:marTop w:val="0"/>
                  <w:marBottom w:val="0"/>
                  <w:divBdr>
                    <w:top w:val="none" w:sz="0" w:space="0" w:color="auto"/>
                    <w:left w:val="none" w:sz="0" w:space="0" w:color="auto"/>
                    <w:bottom w:val="none" w:sz="0" w:space="0" w:color="auto"/>
                    <w:right w:val="none" w:sz="0" w:space="0" w:color="auto"/>
                  </w:divBdr>
                  <w:divsChild>
                    <w:div w:id="131055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78005">
              <w:marLeft w:val="0"/>
              <w:marRight w:val="0"/>
              <w:marTop w:val="0"/>
              <w:marBottom w:val="0"/>
              <w:divBdr>
                <w:top w:val="none" w:sz="0" w:space="0" w:color="auto"/>
                <w:left w:val="none" w:sz="0" w:space="0" w:color="auto"/>
                <w:bottom w:val="none" w:sz="0" w:space="0" w:color="auto"/>
                <w:right w:val="none" w:sz="0" w:space="0" w:color="auto"/>
              </w:divBdr>
              <w:divsChild>
                <w:div w:id="247738813">
                  <w:marLeft w:val="0"/>
                  <w:marRight w:val="0"/>
                  <w:marTop w:val="900"/>
                  <w:marBottom w:val="600"/>
                  <w:divBdr>
                    <w:top w:val="none" w:sz="0" w:space="0" w:color="auto"/>
                    <w:left w:val="none" w:sz="0" w:space="0" w:color="auto"/>
                    <w:bottom w:val="none" w:sz="0" w:space="0" w:color="auto"/>
                    <w:right w:val="none" w:sz="0" w:space="0" w:color="auto"/>
                  </w:divBdr>
                </w:div>
                <w:div w:id="1419595986">
                  <w:marLeft w:val="0"/>
                  <w:marRight w:val="0"/>
                  <w:marTop w:val="0"/>
                  <w:marBottom w:val="0"/>
                  <w:divBdr>
                    <w:top w:val="none" w:sz="0" w:space="0" w:color="auto"/>
                    <w:left w:val="none" w:sz="0" w:space="0" w:color="auto"/>
                    <w:bottom w:val="none" w:sz="0" w:space="0" w:color="auto"/>
                    <w:right w:val="none" w:sz="0" w:space="0" w:color="auto"/>
                  </w:divBdr>
                  <w:divsChild>
                    <w:div w:id="121635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85101">
              <w:marLeft w:val="0"/>
              <w:marRight w:val="0"/>
              <w:marTop w:val="0"/>
              <w:marBottom w:val="0"/>
              <w:divBdr>
                <w:top w:val="none" w:sz="0" w:space="0" w:color="auto"/>
                <w:left w:val="none" w:sz="0" w:space="0" w:color="auto"/>
                <w:bottom w:val="none" w:sz="0" w:space="0" w:color="auto"/>
                <w:right w:val="none" w:sz="0" w:space="0" w:color="auto"/>
              </w:divBdr>
              <w:divsChild>
                <w:div w:id="1227299395">
                  <w:marLeft w:val="0"/>
                  <w:marRight w:val="0"/>
                  <w:marTop w:val="900"/>
                  <w:marBottom w:val="600"/>
                  <w:divBdr>
                    <w:top w:val="none" w:sz="0" w:space="0" w:color="auto"/>
                    <w:left w:val="none" w:sz="0" w:space="0" w:color="auto"/>
                    <w:bottom w:val="none" w:sz="0" w:space="0" w:color="auto"/>
                    <w:right w:val="none" w:sz="0" w:space="0" w:color="auto"/>
                  </w:divBdr>
                </w:div>
                <w:div w:id="2003702730">
                  <w:marLeft w:val="0"/>
                  <w:marRight w:val="0"/>
                  <w:marTop w:val="0"/>
                  <w:marBottom w:val="0"/>
                  <w:divBdr>
                    <w:top w:val="none" w:sz="0" w:space="0" w:color="auto"/>
                    <w:left w:val="none" w:sz="0" w:space="0" w:color="auto"/>
                    <w:bottom w:val="none" w:sz="0" w:space="0" w:color="auto"/>
                    <w:right w:val="none" w:sz="0" w:space="0" w:color="auto"/>
                  </w:divBdr>
                  <w:divsChild>
                    <w:div w:id="11711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7760">
              <w:marLeft w:val="0"/>
              <w:marRight w:val="0"/>
              <w:marTop w:val="0"/>
              <w:marBottom w:val="0"/>
              <w:divBdr>
                <w:top w:val="none" w:sz="0" w:space="0" w:color="auto"/>
                <w:left w:val="none" w:sz="0" w:space="0" w:color="auto"/>
                <w:bottom w:val="none" w:sz="0" w:space="0" w:color="auto"/>
                <w:right w:val="none" w:sz="0" w:space="0" w:color="auto"/>
              </w:divBdr>
              <w:divsChild>
                <w:div w:id="1724989215">
                  <w:marLeft w:val="0"/>
                  <w:marRight w:val="0"/>
                  <w:marTop w:val="900"/>
                  <w:marBottom w:val="600"/>
                  <w:divBdr>
                    <w:top w:val="none" w:sz="0" w:space="0" w:color="auto"/>
                    <w:left w:val="none" w:sz="0" w:space="0" w:color="auto"/>
                    <w:bottom w:val="none" w:sz="0" w:space="0" w:color="auto"/>
                    <w:right w:val="none" w:sz="0" w:space="0" w:color="auto"/>
                  </w:divBdr>
                </w:div>
                <w:div w:id="1636519418">
                  <w:marLeft w:val="0"/>
                  <w:marRight w:val="0"/>
                  <w:marTop w:val="0"/>
                  <w:marBottom w:val="0"/>
                  <w:divBdr>
                    <w:top w:val="none" w:sz="0" w:space="0" w:color="auto"/>
                    <w:left w:val="none" w:sz="0" w:space="0" w:color="auto"/>
                    <w:bottom w:val="none" w:sz="0" w:space="0" w:color="auto"/>
                    <w:right w:val="none" w:sz="0" w:space="0" w:color="auto"/>
                  </w:divBdr>
                  <w:divsChild>
                    <w:div w:id="28457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10377">
              <w:marLeft w:val="0"/>
              <w:marRight w:val="0"/>
              <w:marTop w:val="0"/>
              <w:marBottom w:val="0"/>
              <w:divBdr>
                <w:top w:val="none" w:sz="0" w:space="0" w:color="auto"/>
                <w:left w:val="none" w:sz="0" w:space="0" w:color="auto"/>
                <w:bottom w:val="none" w:sz="0" w:space="0" w:color="auto"/>
                <w:right w:val="none" w:sz="0" w:space="0" w:color="auto"/>
              </w:divBdr>
              <w:divsChild>
                <w:div w:id="771164927">
                  <w:marLeft w:val="0"/>
                  <w:marRight w:val="0"/>
                  <w:marTop w:val="900"/>
                  <w:marBottom w:val="600"/>
                  <w:divBdr>
                    <w:top w:val="none" w:sz="0" w:space="0" w:color="auto"/>
                    <w:left w:val="none" w:sz="0" w:space="0" w:color="auto"/>
                    <w:bottom w:val="none" w:sz="0" w:space="0" w:color="auto"/>
                    <w:right w:val="none" w:sz="0" w:space="0" w:color="auto"/>
                  </w:divBdr>
                </w:div>
                <w:div w:id="977609529">
                  <w:marLeft w:val="0"/>
                  <w:marRight w:val="0"/>
                  <w:marTop w:val="0"/>
                  <w:marBottom w:val="0"/>
                  <w:divBdr>
                    <w:top w:val="none" w:sz="0" w:space="0" w:color="auto"/>
                    <w:left w:val="none" w:sz="0" w:space="0" w:color="auto"/>
                    <w:bottom w:val="none" w:sz="0" w:space="0" w:color="auto"/>
                    <w:right w:val="none" w:sz="0" w:space="0" w:color="auto"/>
                  </w:divBdr>
                  <w:divsChild>
                    <w:div w:id="341128734">
                      <w:marLeft w:val="0"/>
                      <w:marRight w:val="0"/>
                      <w:marTop w:val="0"/>
                      <w:marBottom w:val="0"/>
                      <w:divBdr>
                        <w:top w:val="none" w:sz="0" w:space="0" w:color="auto"/>
                        <w:left w:val="none" w:sz="0" w:space="0" w:color="auto"/>
                        <w:bottom w:val="none" w:sz="0" w:space="0" w:color="auto"/>
                        <w:right w:val="none" w:sz="0" w:space="0" w:color="auto"/>
                      </w:divBdr>
                      <w:divsChild>
                        <w:div w:id="100023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753886">
              <w:marLeft w:val="0"/>
              <w:marRight w:val="0"/>
              <w:marTop w:val="0"/>
              <w:marBottom w:val="0"/>
              <w:divBdr>
                <w:top w:val="none" w:sz="0" w:space="0" w:color="auto"/>
                <w:left w:val="none" w:sz="0" w:space="0" w:color="auto"/>
                <w:bottom w:val="none" w:sz="0" w:space="0" w:color="auto"/>
                <w:right w:val="none" w:sz="0" w:space="0" w:color="auto"/>
              </w:divBdr>
              <w:divsChild>
                <w:div w:id="4137827">
                  <w:marLeft w:val="0"/>
                  <w:marRight w:val="0"/>
                  <w:marTop w:val="900"/>
                  <w:marBottom w:val="600"/>
                  <w:divBdr>
                    <w:top w:val="none" w:sz="0" w:space="0" w:color="auto"/>
                    <w:left w:val="none" w:sz="0" w:space="0" w:color="auto"/>
                    <w:bottom w:val="none" w:sz="0" w:space="0" w:color="auto"/>
                    <w:right w:val="none" w:sz="0" w:space="0" w:color="auto"/>
                  </w:divBdr>
                </w:div>
                <w:div w:id="1071199420">
                  <w:marLeft w:val="0"/>
                  <w:marRight w:val="0"/>
                  <w:marTop w:val="0"/>
                  <w:marBottom w:val="0"/>
                  <w:divBdr>
                    <w:top w:val="none" w:sz="0" w:space="0" w:color="auto"/>
                    <w:left w:val="none" w:sz="0" w:space="0" w:color="auto"/>
                    <w:bottom w:val="none" w:sz="0" w:space="0" w:color="auto"/>
                    <w:right w:val="none" w:sz="0" w:space="0" w:color="auto"/>
                  </w:divBdr>
                  <w:divsChild>
                    <w:div w:id="133695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486747">
              <w:marLeft w:val="0"/>
              <w:marRight w:val="0"/>
              <w:marTop w:val="0"/>
              <w:marBottom w:val="0"/>
              <w:divBdr>
                <w:top w:val="none" w:sz="0" w:space="0" w:color="auto"/>
                <w:left w:val="none" w:sz="0" w:space="0" w:color="auto"/>
                <w:bottom w:val="none" w:sz="0" w:space="0" w:color="auto"/>
                <w:right w:val="none" w:sz="0" w:space="0" w:color="auto"/>
              </w:divBdr>
              <w:divsChild>
                <w:div w:id="2004501988">
                  <w:marLeft w:val="0"/>
                  <w:marRight w:val="0"/>
                  <w:marTop w:val="900"/>
                  <w:marBottom w:val="600"/>
                  <w:divBdr>
                    <w:top w:val="none" w:sz="0" w:space="0" w:color="auto"/>
                    <w:left w:val="none" w:sz="0" w:space="0" w:color="auto"/>
                    <w:bottom w:val="none" w:sz="0" w:space="0" w:color="auto"/>
                    <w:right w:val="none" w:sz="0" w:space="0" w:color="auto"/>
                  </w:divBdr>
                </w:div>
                <w:div w:id="985820509">
                  <w:marLeft w:val="0"/>
                  <w:marRight w:val="0"/>
                  <w:marTop w:val="0"/>
                  <w:marBottom w:val="0"/>
                  <w:divBdr>
                    <w:top w:val="none" w:sz="0" w:space="0" w:color="auto"/>
                    <w:left w:val="none" w:sz="0" w:space="0" w:color="auto"/>
                    <w:bottom w:val="none" w:sz="0" w:space="0" w:color="auto"/>
                    <w:right w:val="none" w:sz="0" w:space="0" w:color="auto"/>
                  </w:divBdr>
                  <w:divsChild>
                    <w:div w:id="208706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832138">
              <w:marLeft w:val="0"/>
              <w:marRight w:val="0"/>
              <w:marTop w:val="0"/>
              <w:marBottom w:val="0"/>
              <w:divBdr>
                <w:top w:val="none" w:sz="0" w:space="0" w:color="auto"/>
                <w:left w:val="none" w:sz="0" w:space="0" w:color="auto"/>
                <w:bottom w:val="none" w:sz="0" w:space="0" w:color="auto"/>
                <w:right w:val="none" w:sz="0" w:space="0" w:color="auto"/>
              </w:divBdr>
              <w:divsChild>
                <w:div w:id="1558084739">
                  <w:marLeft w:val="0"/>
                  <w:marRight w:val="0"/>
                  <w:marTop w:val="900"/>
                  <w:marBottom w:val="600"/>
                  <w:divBdr>
                    <w:top w:val="none" w:sz="0" w:space="0" w:color="auto"/>
                    <w:left w:val="none" w:sz="0" w:space="0" w:color="auto"/>
                    <w:bottom w:val="none" w:sz="0" w:space="0" w:color="auto"/>
                    <w:right w:val="none" w:sz="0" w:space="0" w:color="auto"/>
                  </w:divBdr>
                </w:div>
                <w:div w:id="224880718">
                  <w:marLeft w:val="0"/>
                  <w:marRight w:val="0"/>
                  <w:marTop w:val="0"/>
                  <w:marBottom w:val="0"/>
                  <w:divBdr>
                    <w:top w:val="none" w:sz="0" w:space="0" w:color="auto"/>
                    <w:left w:val="none" w:sz="0" w:space="0" w:color="auto"/>
                    <w:bottom w:val="none" w:sz="0" w:space="0" w:color="auto"/>
                    <w:right w:val="none" w:sz="0" w:space="0" w:color="auto"/>
                  </w:divBdr>
                  <w:divsChild>
                    <w:div w:id="65792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919709">
              <w:marLeft w:val="0"/>
              <w:marRight w:val="0"/>
              <w:marTop w:val="0"/>
              <w:marBottom w:val="0"/>
              <w:divBdr>
                <w:top w:val="none" w:sz="0" w:space="0" w:color="auto"/>
                <w:left w:val="none" w:sz="0" w:space="0" w:color="auto"/>
                <w:bottom w:val="none" w:sz="0" w:space="0" w:color="auto"/>
                <w:right w:val="none" w:sz="0" w:space="0" w:color="auto"/>
              </w:divBdr>
              <w:divsChild>
                <w:div w:id="1835876145">
                  <w:marLeft w:val="0"/>
                  <w:marRight w:val="0"/>
                  <w:marTop w:val="900"/>
                  <w:marBottom w:val="600"/>
                  <w:divBdr>
                    <w:top w:val="none" w:sz="0" w:space="0" w:color="auto"/>
                    <w:left w:val="none" w:sz="0" w:space="0" w:color="auto"/>
                    <w:bottom w:val="none" w:sz="0" w:space="0" w:color="auto"/>
                    <w:right w:val="none" w:sz="0" w:space="0" w:color="auto"/>
                  </w:divBdr>
                </w:div>
                <w:div w:id="703364241">
                  <w:marLeft w:val="0"/>
                  <w:marRight w:val="0"/>
                  <w:marTop w:val="0"/>
                  <w:marBottom w:val="0"/>
                  <w:divBdr>
                    <w:top w:val="none" w:sz="0" w:space="0" w:color="auto"/>
                    <w:left w:val="none" w:sz="0" w:space="0" w:color="auto"/>
                    <w:bottom w:val="none" w:sz="0" w:space="0" w:color="auto"/>
                    <w:right w:val="none" w:sz="0" w:space="0" w:color="auto"/>
                  </w:divBdr>
                  <w:divsChild>
                    <w:div w:id="1252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80064">
              <w:marLeft w:val="0"/>
              <w:marRight w:val="0"/>
              <w:marTop w:val="0"/>
              <w:marBottom w:val="0"/>
              <w:divBdr>
                <w:top w:val="none" w:sz="0" w:space="0" w:color="auto"/>
                <w:left w:val="none" w:sz="0" w:space="0" w:color="auto"/>
                <w:bottom w:val="none" w:sz="0" w:space="0" w:color="auto"/>
                <w:right w:val="none" w:sz="0" w:space="0" w:color="auto"/>
              </w:divBdr>
              <w:divsChild>
                <w:div w:id="1917128216">
                  <w:marLeft w:val="0"/>
                  <w:marRight w:val="0"/>
                  <w:marTop w:val="900"/>
                  <w:marBottom w:val="600"/>
                  <w:divBdr>
                    <w:top w:val="none" w:sz="0" w:space="0" w:color="auto"/>
                    <w:left w:val="none" w:sz="0" w:space="0" w:color="auto"/>
                    <w:bottom w:val="none" w:sz="0" w:space="0" w:color="auto"/>
                    <w:right w:val="none" w:sz="0" w:space="0" w:color="auto"/>
                  </w:divBdr>
                </w:div>
                <w:div w:id="1795904669">
                  <w:marLeft w:val="0"/>
                  <w:marRight w:val="0"/>
                  <w:marTop w:val="0"/>
                  <w:marBottom w:val="0"/>
                  <w:divBdr>
                    <w:top w:val="none" w:sz="0" w:space="0" w:color="auto"/>
                    <w:left w:val="none" w:sz="0" w:space="0" w:color="auto"/>
                    <w:bottom w:val="none" w:sz="0" w:space="0" w:color="auto"/>
                    <w:right w:val="none" w:sz="0" w:space="0" w:color="auto"/>
                  </w:divBdr>
                  <w:divsChild>
                    <w:div w:id="182755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664544">
              <w:marLeft w:val="0"/>
              <w:marRight w:val="0"/>
              <w:marTop w:val="0"/>
              <w:marBottom w:val="0"/>
              <w:divBdr>
                <w:top w:val="none" w:sz="0" w:space="0" w:color="auto"/>
                <w:left w:val="none" w:sz="0" w:space="0" w:color="auto"/>
                <w:bottom w:val="none" w:sz="0" w:space="0" w:color="auto"/>
                <w:right w:val="none" w:sz="0" w:space="0" w:color="auto"/>
              </w:divBdr>
              <w:divsChild>
                <w:div w:id="1580141106">
                  <w:marLeft w:val="0"/>
                  <w:marRight w:val="0"/>
                  <w:marTop w:val="900"/>
                  <w:marBottom w:val="600"/>
                  <w:divBdr>
                    <w:top w:val="none" w:sz="0" w:space="0" w:color="auto"/>
                    <w:left w:val="none" w:sz="0" w:space="0" w:color="auto"/>
                    <w:bottom w:val="none" w:sz="0" w:space="0" w:color="auto"/>
                    <w:right w:val="none" w:sz="0" w:space="0" w:color="auto"/>
                  </w:divBdr>
                </w:div>
                <w:div w:id="1347946475">
                  <w:marLeft w:val="0"/>
                  <w:marRight w:val="0"/>
                  <w:marTop w:val="0"/>
                  <w:marBottom w:val="0"/>
                  <w:divBdr>
                    <w:top w:val="none" w:sz="0" w:space="0" w:color="auto"/>
                    <w:left w:val="none" w:sz="0" w:space="0" w:color="auto"/>
                    <w:bottom w:val="none" w:sz="0" w:space="0" w:color="auto"/>
                    <w:right w:val="none" w:sz="0" w:space="0" w:color="auto"/>
                  </w:divBdr>
                  <w:divsChild>
                    <w:div w:id="125771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5374">
              <w:marLeft w:val="0"/>
              <w:marRight w:val="0"/>
              <w:marTop w:val="0"/>
              <w:marBottom w:val="0"/>
              <w:divBdr>
                <w:top w:val="none" w:sz="0" w:space="0" w:color="auto"/>
                <w:left w:val="none" w:sz="0" w:space="0" w:color="auto"/>
                <w:bottom w:val="none" w:sz="0" w:space="0" w:color="auto"/>
                <w:right w:val="none" w:sz="0" w:space="0" w:color="auto"/>
              </w:divBdr>
              <w:divsChild>
                <w:div w:id="2087073972">
                  <w:marLeft w:val="0"/>
                  <w:marRight w:val="0"/>
                  <w:marTop w:val="900"/>
                  <w:marBottom w:val="600"/>
                  <w:divBdr>
                    <w:top w:val="none" w:sz="0" w:space="0" w:color="auto"/>
                    <w:left w:val="none" w:sz="0" w:space="0" w:color="auto"/>
                    <w:bottom w:val="none" w:sz="0" w:space="0" w:color="auto"/>
                    <w:right w:val="none" w:sz="0" w:space="0" w:color="auto"/>
                  </w:divBdr>
                </w:div>
                <w:div w:id="173957891">
                  <w:marLeft w:val="0"/>
                  <w:marRight w:val="0"/>
                  <w:marTop w:val="0"/>
                  <w:marBottom w:val="0"/>
                  <w:divBdr>
                    <w:top w:val="none" w:sz="0" w:space="0" w:color="auto"/>
                    <w:left w:val="none" w:sz="0" w:space="0" w:color="auto"/>
                    <w:bottom w:val="none" w:sz="0" w:space="0" w:color="auto"/>
                    <w:right w:val="none" w:sz="0" w:space="0" w:color="auto"/>
                  </w:divBdr>
                  <w:divsChild>
                    <w:div w:id="167745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023997">
              <w:marLeft w:val="0"/>
              <w:marRight w:val="0"/>
              <w:marTop w:val="0"/>
              <w:marBottom w:val="0"/>
              <w:divBdr>
                <w:top w:val="none" w:sz="0" w:space="0" w:color="auto"/>
                <w:left w:val="none" w:sz="0" w:space="0" w:color="auto"/>
                <w:bottom w:val="none" w:sz="0" w:space="0" w:color="auto"/>
                <w:right w:val="none" w:sz="0" w:space="0" w:color="auto"/>
              </w:divBdr>
              <w:divsChild>
                <w:div w:id="525026801">
                  <w:marLeft w:val="0"/>
                  <w:marRight w:val="0"/>
                  <w:marTop w:val="900"/>
                  <w:marBottom w:val="600"/>
                  <w:divBdr>
                    <w:top w:val="none" w:sz="0" w:space="0" w:color="auto"/>
                    <w:left w:val="none" w:sz="0" w:space="0" w:color="auto"/>
                    <w:bottom w:val="none" w:sz="0" w:space="0" w:color="auto"/>
                    <w:right w:val="none" w:sz="0" w:space="0" w:color="auto"/>
                  </w:divBdr>
                </w:div>
                <w:div w:id="1989674624">
                  <w:marLeft w:val="0"/>
                  <w:marRight w:val="0"/>
                  <w:marTop w:val="0"/>
                  <w:marBottom w:val="0"/>
                  <w:divBdr>
                    <w:top w:val="none" w:sz="0" w:space="0" w:color="auto"/>
                    <w:left w:val="none" w:sz="0" w:space="0" w:color="auto"/>
                    <w:bottom w:val="none" w:sz="0" w:space="0" w:color="auto"/>
                    <w:right w:val="none" w:sz="0" w:space="0" w:color="auto"/>
                  </w:divBdr>
                  <w:divsChild>
                    <w:div w:id="31341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99193">
              <w:marLeft w:val="0"/>
              <w:marRight w:val="0"/>
              <w:marTop w:val="0"/>
              <w:marBottom w:val="0"/>
              <w:divBdr>
                <w:top w:val="none" w:sz="0" w:space="0" w:color="auto"/>
                <w:left w:val="none" w:sz="0" w:space="0" w:color="auto"/>
                <w:bottom w:val="none" w:sz="0" w:space="0" w:color="auto"/>
                <w:right w:val="none" w:sz="0" w:space="0" w:color="auto"/>
              </w:divBdr>
              <w:divsChild>
                <w:div w:id="1253734366">
                  <w:marLeft w:val="0"/>
                  <w:marRight w:val="0"/>
                  <w:marTop w:val="900"/>
                  <w:marBottom w:val="600"/>
                  <w:divBdr>
                    <w:top w:val="none" w:sz="0" w:space="0" w:color="auto"/>
                    <w:left w:val="none" w:sz="0" w:space="0" w:color="auto"/>
                    <w:bottom w:val="none" w:sz="0" w:space="0" w:color="auto"/>
                    <w:right w:val="none" w:sz="0" w:space="0" w:color="auto"/>
                  </w:divBdr>
                </w:div>
                <w:div w:id="544567843">
                  <w:marLeft w:val="0"/>
                  <w:marRight w:val="0"/>
                  <w:marTop w:val="0"/>
                  <w:marBottom w:val="0"/>
                  <w:divBdr>
                    <w:top w:val="none" w:sz="0" w:space="0" w:color="auto"/>
                    <w:left w:val="none" w:sz="0" w:space="0" w:color="auto"/>
                    <w:bottom w:val="none" w:sz="0" w:space="0" w:color="auto"/>
                    <w:right w:val="none" w:sz="0" w:space="0" w:color="auto"/>
                  </w:divBdr>
                  <w:divsChild>
                    <w:div w:id="11201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89856">
              <w:marLeft w:val="0"/>
              <w:marRight w:val="0"/>
              <w:marTop w:val="0"/>
              <w:marBottom w:val="0"/>
              <w:divBdr>
                <w:top w:val="none" w:sz="0" w:space="0" w:color="auto"/>
                <w:left w:val="none" w:sz="0" w:space="0" w:color="auto"/>
                <w:bottom w:val="none" w:sz="0" w:space="0" w:color="auto"/>
                <w:right w:val="none" w:sz="0" w:space="0" w:color="auto"/>
              </w:divBdr>
              <w:divsChild>
                <w:div w:id="1479420499">
                  <w:marLeft w:val="0"/>
                  <w:marRight w:val="0"/>
                  <w:marTop w:val="900"/>
                  <w:marBottom w:val="600"/>
                  <w:divBdr>
                    <w:top w:val="none" w:sz="0" w:space="0" w:color="auto"/>
                    <w:left w:val="none" w:sz="0" w:space="0" w:color="auto"/>
                    <w:bottom w:val="none" w:sz="0" w:space="0" w:color="auto"/>
                    <w:right w:val="none" w:sz="0" w:space="0" w:color="auto"/>
                  </w:divBdr>
                </w:div>
                <w:div w:id="1273903676">
                  <w:marLeft w:val="0"/>
                  <w:marRight w:val="0"/>
                  <w:marTop w:val="0"/>
                  <w:marBottom w:val="0"/>
                  <w:divBdr>
                    <w:top w:val="none" w:sz="0" w:space="0" w:color="auto"/>
                    <w:left w:val="none" w:sz="0" w:space="0" w:color="auto"/>
                    <w:bottom w:val="none" w:sz="0" w:space="0" w:color="auto"/>
                    <w:right w:val="none" w:sz="0" w:space="0" w:color="auto"/>
                  </w:divBdr>
                  <w:divsChild>
                    <w:div w:id="63113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658428">
              <w:marLeft w:val="0"/>
              <w:marRight w:val="0"/>
              <w:marTop w:val="0"/>
              <w:marBottom w:val="0"/>
              <w:divBdr>
                <w:top w:val="none" w:sz="0" w:space="0" w:color="auto"/>
                <w:left w:val="none" w:sz="0" w:space="0" w:color="auto"/>
                <w:bottom w:val="none" w:sz="0" w:space="0" w:color="auto"/>
                <w:right w:val="none" w:sz="0" w:space="0" w:color="auto"/>
              </w:divBdr>
              <w:divsChild>
                <w:div w:id="1645503386">
                  <w:marLeft w:val="0"/>
                  <w:marRight w:val="0"/>
                  <w:marTop w:val="900"/>
                  <w:marBottom w:val="600"/>
                  <w:divBdr>
                    <w:top w:val="none" w:sz="0" w:space="0" w:color="auto"/>
                    <w:left w:val="none" w:sz="0" w:space="0" w:color="auto"/>
                    <w:bottom w:val="none" w:sz="0" w:space="0" w:color="auto"/>
                    <w:right w:val="none" w:sz="0" w:space="0" w:color="auto"/>
                  </w:divBdr>
                </w:div>
                <w:div w:id="1356925520">
                  <w:marLeft w:val="0"/>
                  <w:marRight w:val="0"/>
                  <w:marTop w:val="0"/>
                  <w:marBottom w:val="0"/>
                  <w:divBdr>
                    <w:top w:val="none" w:sz="0" w:space="0" w:color="auto"/>
                    <w:left w:val="none" w:sz="0" w:space="0" w:color="auto"/>
                    <w:bottom w:val="none" w:sz="0" w:space="0" w:color="auto"/>
                    <w:right w:val="none" w:sz="0" w:space="0" w:color="auto"/>
                  </w:divBdr>
                  <w:divsChild>
                    <w:div w:id="176364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17587">
              <w:marLeft w:val="0"/>
              <w:marRight w:val="0"/>
              <w:marTop w:val="0"/>
              <w:marBottom w:val="0"/>
              <w:divBdr>
                <w:top w:val="none" w:sz="0" w:space="0" w:color="auto"/>
                <w:left w:val="none" w:sz="0" w:space="0" w:color="auto"/>
                <w:bottom w:val="none" w:sz="0" w:space="0" w:color="auto"/>
                <w:right w:val="none" w:sz="0" w:space="0" w:color="auto"/>
              </w:divBdr>
              <w:divsChild>
                <w:div w:id="1557233629">
                  <w:marLeft w:val="0"/>
                  <w:marRight w:val="0"/>
                  <w:marTop w:val="900"/>
                  <w:marBottom w:val="600"/>
                  <w:divBdr>
                    <w:top w:val="none" w:sz="0" w:space="0" w:color="auto"/>
                    <w:left w:val="none" w:sz="0" w:space="0" w:color="auto"/>
                    <w:bottom w:val="none" w:sz="0" w:space="0" w:color="auto"/>
                    <w:right w:val="none" w:sz="0" w:space="0" w:color="auto"/>
                  </w:divBdr>
                </w:div>
                <w:div w:id="1659265644">
                  <w:marLeft w:val="0"/>
                  <w:marRight w:val="0"/>
                  <w:marTop w:val="0"/>
                  <w:marBottom w:val="0"/>
                  <w:divBdr>
                    <w:top w:val="none" w:sz="0" w:space="0" w:color="auto"/>
                    <w:left w:val="none" w:sz="0" w:space="0" w:color="auto"/>
                    <w:bottom w:val="none" w:sz="0" w:space="0" w:color="auto"/>
                    <w:right w:val="none" w:sz="0" w:space="0" w:color="auto"/>
                  </w:divBdr>
                  <w:divsChild>
                    <w:div w:id="19767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70662">
              <w:marLeft w:val="0"/>
              <w:marRight w:val="0"/>
              <w:marTop w:val="0"/>
              <w:marBottom w:val="0"/>
              <w:divBdr>
                <w:top w:val="none" w:sz="0" w:space="0" w:color="auto"/>
                <w:left w:val="none" w:sz="0" w:space="0" w:color="auto"/>
                <w:bottom w:val="none" w:sz="0" w:space="0" w:color="auto"/>
                <w:right w:val="none" w:sz="0" w:space="0" w:color="auto"/>
              </w:divBdr>
              <w:divsChild>
                <w:div w:id="1908879969">
                  <w:marLeft w:val="0"/>
                  <w:marRight w:val="0"/>
                  <w:marTop w:val="900"/>
                  <w:marBottom w:val="600"/>
                  <w:divBdr>
                    <w:top w:val="none" w:sz="0" w:space="0" w:color="auto"/>
                    <w:left w:val="none" w:sz="0" w:space="0" w:color="auto"/>
                    <w:bottom w:val="none" w:sz="0" w:space="0" w:color="auto"/>
                    <w:right w:val="none" w:sz="0" w:space="0" w:color="auto"/>
                  </w:divBdr>
                </w:div>
                <w:div w:id="1892644090">
                  <w:marLeft w:val="0"/>
                  <w:marRight w:val="0"/>
                  <w:marTop w:val="0"/>
                  <w:marBottom w:val="0"/>
                  <w:divBdr>
                    <w:top w:val="none" w:sz="0" w:space="0" w:color="auto"/>
                    <w:left w:val="none" w:sz="0" w:space="0" w:color="auto"/>
                    <w:bottom w:val="none" w:sz="0" w:space="0" w:color="auto"/>
                    <w:right w:val="none" w:sz="0" w:space="0" w:color="auto"/>
                  </w:divBdr>
                  <w:divsChild>
                    <w:div w:id="124402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46149">
              <w:marLeft w:val="0"/>
              <w:marRight w:val="0"/>
              <w:marTop w:val="0"/>
              <w:marBottom w:val="0"/>
              <w:divBdr>
                <w:top w:val="none" w:sz="0" w:space="0" w:color="auto"/>
                <w:left w:val="none" w:sz="0" w:space="0" w:color="auto"/>
                <w:bottom w:val="none" w:sz="0" w:space="0" w:color="auto"/>
                <w:right w:val="none" w:sz="0" w:space="0" w:color="auto"/>
              </w:divBdr>
              <w:divsChild>
                <w:div w:id="808012613">
                  <w:marLeft w:val="0"/>
                  <w:marRight w:val="0"/>
                  <w:marTop w:val="900"/>
                  <w:marBottom w:val="600"/>
                  <w:divBdr>
                    <w:top w:val="none" w:sz="0" w:space="0" w:color="auto"/>
                    <w:left w:val="none" w:sz="0" w:space="0" w:color="auto"/>
                    <w:bottom w:val="none" w:sz="0" w:space="0" w:color="auto"/>
                    <w:right w:val="none" w:sz="0" w:space="0" w:color="auto"/>
                  </w:divBdr>
                </w:div>
                <w:div w:id="1461995676">
                  <w:marLeft w:val="0"/>
                  <w:marRight w:val="0"/>
                  <w:marTop w:val="0"/>
                  <w:marBottom w:val="0"/>
                  <w:divBdr>
                    <w:top w:val="none" w:sz="0" w:space="0" w:color="auto"/>
                    <w:left w:val="none" w:sz="0" w:space="0" w:color="auto"/>
                    <w:bottom w:val="none" w:sz="0" w:space="0" w:color="auto"/>
                    <w:right w:val="none" w:sz="0" w:space="0" w:color="auto"/>
                  </w:divBdr>
                  <w:divsChild>
                    <w:div w:id="109212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1609">
              <w:marLeft w:val="0"/>
              <w:marRight w:val="0"/>
              <w:marTop w:val="0"/>
              <w:marBottom w:val="0"/>
              <w:divBdr>
                <w:top w:val="none" w:sz="0" w:space="0" w:color="auto"/>
                <w:left w:val="none" w:sz="0" w:space="0" w:color="auto"/>
                <w:bottom w:val="none" w:sz="0" w:space="0" w:color="auto"/>
                <w:right w:val="none" w:sz="0" w:space="0" w:color="auto"/>
              </w:divBdr>
              <w:divsChild>
                <w:div w:id="1996646855">
                  <w:marLeft w:val="0"/>
                  <w:marRight w:val="0"/>
                  <w:marTop w:val="900"/>
                  <w:marBottom w:val="600"/>
                  <w:divBdr>
                    <w:top w:val="none" w:sz="0" w:space="0" w:color="auto"/>
                    <w:left w:val="none" w:sz="0" w:space="0" w:color="auto"/>
                    <w:bottom w:val="none" w:sz="0" w:space="0" w:color="auto"/>
                    <w:right w:val="none" w:sz="0" w:space="0" w:color="auto"/>
                  </w:divBdr>
                </w:div>
                <w:div w:id="854348944">
                  <w:marLeft w:val="0"/>
                  <w:marRight w:val="0"/>
                  <w:marTop w:val="0"/>
                  <w:marBottom w:val="0"/>
                  <w:divBdr>
                    <w:top w:val="none" w:sz="0" w:space="0" w:color="auto"/>
                    <w:left w:val="none" w:sz="0" w:space="0" w:color="auto"/>
                    <w:bottom w:val="none" w:sz="0" w:space="0" w:color="auto"/>
                    <w:right w:val="none" w:sz="0" w:space="0" w:color="auto"/>
                  </w:divBdr>
                  <w:divsChild>
                    <w:div w:id="92977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soncoweb.ru/standarts/?chapter=nephrotoxicity" TargetMode="External"/><Relationship Id="rId18" Type="http://schemas.openxmlformats.org/officeDocument/2006/relationships/hyperlink" Target="https://rosoncoweb.ru/standarts/?chapter=central_venous_access" TargetMode="External"/><Relationship Id="rId26" Type="http://schemas.openxmlformats.org/officeDocument/2006/relationships/hyperlink" Target="https://doi.org/10.21518/2079-701X-2020-20-125-132" TargetMode="External"/><Relationship Id="rId3" Type="http://schemas.openxmlformats.org/officeDocument/2006/relationships/settings" Target="settings.xml"/><Relationship Id="rId21" Type="http://schemas.openxmlformats.org/officeDocument/2006/relationships/hyperlink" Target="https://rosoncoweb.ru/standarts/?chapter=infusion_reactions" TargetMode="External"/><Relationship Id="rId7" Type="http://schemas.openxmlformats.org/officeDocument/2006/relationships/hyperlink" Target="https://rosoncoweb.ru/standarts/?chapter=thromboembolism" TargetMode="External"/><Relationship Id="rId12" Type="http://schemas.openxmlformats.org/officeDocument/2006/relationships/hyperlink" Target="https://rosoncoweb.ru/standarts/?chapter=nutritional_support" TargetMode="External"/><Relationship Id="rId17" Type="http://schemas.openxmlformats.org/officeDocument/2006/relationships/hyperlink" Target="https://rosoncoweb.ru/standarts/?chapter=anorexia-cachexia" TargetMode="External"/><Relationship Id="rId25" Type="http://schemas.openxmlformats.org/officeDocument/2006/relationships/hyperlink" Target="https://rosoncoweb.ru/standarts/?chapter=pancreatic_enzyme_replacement_therapy"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r.rosminzdrav.ru/" TargetMode="External"/><Relationship Id="rId20" Type="http://schemas.openxmlformats.org/officeDocument/2006/relationships/hyperlink" Target="https://rosoncoweb.ru/standarts/?chapter=chronic_pain_syndrome" TargetMode="External"/><Relationship Id="rId29" Type="http://schemas.openxmlformats.org/officeDocument/2006/relationships/hyperlink" Target="https://doi.org/10.1200/PO.22.00463" TargetMode="External"/><Relationship Id="rId1" Type="http://schemas.openxmlformats.org/officeDocument/2006/relationships/numbering" Target="numbering.xml"/><Relationship Id="rId6" Type="http://schemas.openxmlformats.org/officeDocument/2006/relationships/hyperlink" Target="https://rosoncoweb.ru/standarts/?chapter=bone_pathology" TargetMode="External"/><Relationship Id="rId11" Type="http://schemas.openxmlformats.org/officeDocument/2006/relationships/hyperlink" Target="https://rosoncoweb.ru/standarts/?chapter=dermatological_reactions" TargetMode="External"/><Relationship Id="rId24" Type="http://schemas.openxmlformats.org/officeDocument/2006/relationships/hyperlink" Target="https://rosoncoweb.ru/standarts/?chapter=hormone-mediated_side_events" TargetMode="External"/><Relationship Id="rId32" Type="http://schemas.openxmlformats.org/officeDocument/2006/relationships/fontTable" Target="fontTable.xml"/><Relationship Id="rId5" Type="http://schemas.openxmlformats.org/officeDocument/2006/relationships/hyperlink" Target="https://rosoncoweb.ru/standarts/?chapter=nausea_vomiting" TargetMode="External"/><Relationship Id="rId15" Type="http://schemas.openxmlformats.org/officeDocument/2006/relationships/hyperlink" Target="https://rosoncoweb.ru/standarts/?chapter=mucositis" TargetMode="External"/><Relationship Id="rId23" Type="http://schemas.openxmlformats.org/officeDocument/2006/relationships/hyperlink" Target="https://rosoncoweb.ru/standarts/?chapter=neurological_complication" TargetMode="External"/><Relationship Id="rId28" Type="http://schemas.openxmlformats.org/officeDocument/2006/relationships/hyperlink" Target="https://doi.org/10.1186/s12885-020-06864-8" TargetMode="External"/><Relationship Id="rId10" Type="http://schemas.openxmlformats.org/officeDocument/2006/relationships/hyperlink" Target="https://rosoncoweb.ru/standarts/?chapter=cardiovascular_toxicity" TargetMode="External"/><Relationship Id="rId19" Type="http://schemas.openxmlformats.org/officeDocument/2006/relationships/hyperlink" Target="https://rosoncoweb.ru/standarts/?chapter=extravasation_antitumor_drugs" TargetMode="External"/><Relationship Id="rId31" Type="http://schemas.openxmlformats.org/officeDocument/2006/relationships/hyperlink" Target="http://www.russcpa.ru/patsientam/" TargetMode="External"/><Relationship Id="rId4" Type="http://schemas.openxmlformats.org/officeDocument/2006/relationships/webSettings" Target="webSettings.xml"/><Relationship Id="rId9" Type="http://schemas.openxmlformats.org/officeDocument/2006/relationships/hyperlink" Target="https://rosoncoweb.ru/standarts/?chapter=hepatotoxicity" TargetMode="External"/><Relationship Id="rId14" Type="http://schemas.openxmlformats.org/officeDocument/2006/relationships/hyperlink" Target="https://rosoncoweb.ru/standarts/?chapter=immunerelated_adverse_events" TargetMode="External"/><Relationship Id="rId22" Type="http://schemas.openxmlformats.org/officeDocument/2006/relationships/hyperlink" Target="https://rosoncoweb.ru/standarts/?chapter=chronic_viral_hepatitis" TargetMode="External"/><Relationship Id="rId27" Type="http://schemas.openxmlformats.org/officeDocument/2006/relationships/hyperlink" Target="https://cr.minzdrav.gov.ru/schema/624_1" TargetMode="External"/><Relationship Id="rId30" Type="http://schemas.openxmlformats.org/officeDocument/2006/relationships/hyperlink" Target="http://grls.rosminzdrav.ru/" TargetMode="External"/><Relationship Id="rId8" Type="http://schemas.openxmlformats.org/officeDocument/2006/relationships/hyperlink" Target="https://rosoncoweb.ru/standarts/?chapter=febrile_neutropen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121</Pages>
  <Words>33601</Words>
  <Characters>191529</Characters>
  <Application>Microsoft Office Word</Application>
  <DocSecurity>0</DocSecurity>
  <Lines>1596</Lines>
  <Paragraphs>449</Paragraphs>
  <ScaleCrop>false</ScaleCrop>
  <Company/>
  <LinksUpToDate>false</LinksUpToDate>
  <CharactersWithSpaces>224681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2025-07-14T11:30:00Z</dcterms:created>
  <dcterms:modified xsi:type="dcterms:W3CDTF">2025-07-14T11:31:00Z</dcterms:modified>
</cp:coreProperties>
</file>