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21CF3" w:rsidRDefault="00063BD2">
      <w:pPr>
        <w:spacing w:after="4" w:line="262" w:lineRule="auto"/>
        <w:ind w:left="113" w:right="169" w:hanging="10"/>
        <w:jc w:val="center"/>
      </w:pPr>
      <w:bookmarkStart w:id="0" w:name="_GoBack"/>
      <w:bookmarkEnd w:id="0"/>
      <w:r>
        <w:t>Государственное санитарно-эпидемиологическое нормирование</w:t>
      </w:r>
    </w:p>
    <w:p w:rsidR="00721CF3" w:rsidRDefault="00063BD2">
      <w:pPr>
        <w:spacing w:after="4188" w:line="262" w:lineRule="auto"/>
        <w:ind w:left="113" w:right="174" w:hanging="10"/>
        <w:jc w:val="center"/>
      </w:pPr>
      <w:r>
        <w:t>Российской Федерации</w:t>
      </w:r>
    </w:p>
    <w:p w:rsidR="00721CF3" w:rsidRDefault="00063BD2">
      <w:pPr>
        <w:spacing w:after="1271" w:line="262" w:lineRule="auto"/>
        <w:ind w:left="113" w:right="212" w:hanging="10"/>
        <w:jc w:val="center"/>
      </w:pPr>
      <w:r>
        <w:t>2.4. ГИГИЕНА ДЕТЕЙ И ПОДРОСТКОВ</w:t>
      </w:r>
    </w:p>
    <w:p w:rsidR="00721CF3" w:rsidRDefault="00063BD2">
      <w:pPr>
        <w:spacing w:after="0" w:line="265" w:lineRule="auto"/>
        <w:ind w:left="630" w:right="715" w:hanging="10"/>
        <w:jc w:val="center"/>
      </w:pPr>
      <w:r>
        <w:rPr>
          <w:sz w:val="30"/>
        </w:rPr>
        <w:t>МЕТОДИЧЕСКИЕ РЕКОМЕНДАЦИИ по ОБЕСПЕЧЕНИЮ см-штдрно-эпи№миологичвских</w:t>
      </w:r>
    </w:p>
    <w:p w:rsidR="00721CF3" w:rsidRDefault="00063BD2">
      <w:pPr>
        <w:spacing w:after="0" w:line="266" w:lineRule="auto"/>
        <w:ind w:left="170" w:right="9" w:hanging="10"/>
      </w:pPr>
      <w:r>
        <w:rPr>
          <w:sz w:val="30"/>
        </w:rPr>
        <w:t>ТРЕБОВАНИЙ при РЕАЛИЗАЦИИ ОБРАЗОВАТЕЛЬНЫХ ПРОГРАММ</w:t>
      </w:r>
    </w:p>
    <w:p w:rsidR="00721CF3" w:rsidRDefault="00063BD2">
      <w:pPr>
        <w:spacing w:after="0" w:line="265" w:lineRule="auto"/>
        <w:ind w:left="630" w:right="724" w:hanging="10"/>
        <w:jc w:val="center"/>
      </w:pPr>
      <w:r>
        <w:rPr>
          <w:sz w:val="30"/>
        </w:rPr>
        <w:t>С ПРИМЕНЕНИЕМ ЭЛЕКТРОННОГО ОБУЧЕНИЯ</w:t>
      </w:r>
    </w:p>
    <w:p w:rsidR="00721CF3" w:rsidRDefault="00063BD2">
      <w:pPr>
        <w:spacing w:after="1229" w:line="265" w:lineRule="auto"/>
        <w:ind w:left="630" w:right="729" w:hanging="10"/>
        <w:jc w:val="center"/>
      </w:pPr>
      <w:r>
        <w:rPr>
          <w:sz w:val="30"/>
        </w:rPr>
        <w:t>И ДИСТАНЦИОННЫХ ОБРАЗОВАТЕЛЬНЫХ ТЕХНОЛОГИЙ</w:t>
      </w:r>
    </w:p>
    <w:p w:rsidR="00721CF3" w:rsidRDefault="00063BD2">
      <w:pPr>
        <w:spacing w:after="4206" w:line="216" w:lineRule="auto"/>
        <w:ind w:left="3962" w:right="2895" w:hanging="802"/>
      </w:pPr>
      <w:r>
        <w:t>Методические рекомендации МР 2.4.03“ 23</w:t>
      </w:r>
    </w:p>
    <w:p w:rsidR="00721CF3" w:rsidRDefault="00063BD2">
      <w:pPr>
        <w:spacing w:after="4" w:line="262" w:lineRule="auto"/>
        <w:ind w:left="113" w:right="251" w:hanging="10"/>
        <w:jc w:val="center"/>
      </w:pPr>
      <w:r>
        <w:lastRenderedPageBreak/>
        <w:t>Москва 2023</w:t>
      </w:r>
    </w:p>
    <w:p w:rsidR="00721CF3" w:rsidRDefault="00063BD2">
      <w:pPr>
        <w:spacing w:after="336" w:line="266" w:lineRule="auto"/>
        <w:ind w:left="-15" w:right="9" w:firstLine="724"/>
      </w:pPr>
      <w:r>
        <w:rPr>
          <w:sz w:val="30"/>
        </w:rPr>
        <w:t>Методические рекомендации по обеспечению санитарноэпидемиологических требований при реализации образовательных программ с применением электронного обучения и дистанционных образовательных технологий. МР 2.4.039-23</w:t>
      </w:r>
    </w:p>
    <w:p w:rsidR="00721CF3" w:rsidRDefault="00063BD2">
      <w:pPr>
        <w:numPr>
          <w:ilvl w:val="0"/>
          <w:numId w:val="1"/>
        </w:numPr>
        <w:spacing w:after="523"/>
        <w:ind w:right="14"/>
      </w:pPr>
      <w:r>
        <w:t>Разработаны Федеральной службой по надзору</w:t>
      </w:r>
      <w:r>
        <w:t xml:space="preserve"> в сфере защиты прав потребителей и благополучия человека; ФБУН «Федеральный научный центр гигиены им. ФО. Эрисмана» Роспотребнадзора (Кузьмин СВ., Кучма В.Р., Синицына 0.0., Седова АС, Степанова М.И., Поленова М.А., Соколова СБ.); ФГАУ «Национальный медиц</w:t>
      </w:r>
      <w:r>
        <w:t>инский исследовательский центр здоровья детей» Минздрав России (Храмцов П.И., Александрова И.Э., Барсукова НК.); ФБУЗ «Центр гигиены и эпидемиологии в городе Москве» (Молдованов В.В., Айзятова МВ.); Российским национальным комитетом по защите от неионизиру</w:t>
      </w:r>
      <w:r>
        <w:t>ющих излучений (Григорьев О.А., Носов В.Н., Мухачёв Е.В., Пекин А.В.); ГБОУ ВО «Северо-Западный государственный медицинский университет имени И.И. Мечникова» Минздрава России (Янушанец О.И., Петрова Н,А.); ФГАОУ ВО «Первый Московский государственный медици</w:t>
      </w:r>
      <w:r>
        <w:t>нский университет имени И.М. Сеченова» Минздрава России (Сеченовский Университет) (Лапонова ЕД.); ФГАОУ ВО «Российский национальный исследовательский университет имени Н.И. Пирогова» Минздрава России (Милушкина О.Ю.).</w:t>
      </w:r>
    </w:p>
    <w:p w:rsidR="00721CF3" w:rsidRDefault="00063BD2">
      <w:pPr>
        <w:numPr>
          <w:ilvl w:val="0"/>
          <w:numId w:val="1"/>
        </w:numPr>
        <w:spacing w:after="335" w:line="337" w:lineRule="auto"/>
        <w:ind w:right="14"/>
      </w:pPr>
      <w:r>
        <w:t>Утверждены руководителем Федеральной с</w:t>
      </w:r>
      <w:r>
        <w:t xml:space="preserve">лужбы по надзору в сфере защиты прав потребителей и благополучия человека, Главным государственным санитарным врачом Российской Федерации А.Ю. Поповой </w:t>
      </w:r>
      <w:r>
        <w:rPr>
          <w:noProof/>
        </w:rPr>
        <w:drawing>
          <wp:inline distT="0" distB="0" distL="0" distR="0">
            <wp:extent cx="1152925" cy="304929"/>
            <wp:effectExtent l="0" t="0" r="0" b="0"/>
            <wp:docPr id="1414" name="Picture 1414"/>
            <wp:cNvGraphicFramePr/>
            <a:graphic xmlns:a="http://schemas.openxmlformats.org/drawingml/2006/main">
              <a:graphicData uri="http://schemas.openxmlformats.org/drawingml/2006/picture">
                <pic:pic xmlns:pic="http://schemas.openxmlformats.org/drawingml/2006/picture">
                  <pic:nvPicPr>
                    <pic:cNvPr id="1414" name="Picture 1414"/>
                    <pic:cNvPicPr/>
                  </pic:nvPicPr>
                  <pic:blipFill>
                    <a:blip r:embed="rId7"/>
                    <a:stretch>
                      <a:fillRect/>
                    </a:stretch>
                  </pic:blipFill>
                  <pic:spPr>
                    <a:xfrm>
                      <a:off x="0" y="0"/>
                      <a:ext cx="1152925" cy="304929"/>
                    </a:xfrm>
                    <a:prstGeom prst="rect">
                      <a:avLst/>
                    </a:prstGeom>
                  </pic:spPr>
                </pic:pic>
              </a:graphicData>
            </a:graphic>
          </wp:inline>
        </w:drawing>
      </w:r>
      <w:r>
        <w:t>2023 г.</w:t>
      </w:r>
    </w:p>
    <w:p w:rsidR="00721CF3" w:rsidRDefault="00063BD2">
      <w:pPr>
        <w:ind w:left="730" w:right="14" w:firstLine="0"/>
      </w:pPr>
      <w:r>
        <w:t>З. Введены впервые.</w:t>
      </w:r>
    </w:p>
    <w:p w:rsidR="00721CF3" w:rsidRDefault="00063BD2">
      <w:pPr>
        <w:spacing w:after="4" w:line="262" w:lineRule="auto"/>
        <w:ind w:left="2119" w:right="0" w:hanging="10"/>
        <w:jc w:val="center"/>
      </w:pPr>
      <w:r>
        <w:t>УТВЕРЖДАЮ</w:t>
      </w:r>
    </w:p>
    <w:p w:rsidR="00721CF3" w:rsidRDefault="00063BD2">
      <w:pPr>
        <w:spacing w:line="257" w:lineRule="auto"/>
        <w:ind w:left="5114" w:right="4" w:firstLine="0"/>
        <w:jc w:val="left"/>
      </w:pPr>
      <w:r>
        <w:rPr>
          <w:noProof/>
          <w:sz w:val="22"/>
        </w:rPr>
        <mc:AlternateContent>
          <mc:Choice Requires="wpg">
            <w:drawing>
              <wp:anchor distT="0" distB="0" distL="114300" distR="114300" simplePos="0" relativeHeight="251658240" behindDoc="1" locked="0" layoutInCell="1" allowOverlap="1">
                <wp:simplePos x="0" y="0"/>
                <wp:positionH relativeFrom="column">
                  <wp:posOffset>2543195</wp:posOffset>
                </wp:positionH>
                <wp:positionV relativeFrom="paragraph">
                  <wp:posOffset>468777</wp:posOffset>
                </wp:positionV>
                <wp:extent cx="2551518" cy="1615594"/>
                <wp:effectExtent l="0" t="0" r="0" b="0"/>
                <wp:wrapNone/>
                <wp:docPr id="90053" name="Group 90053"/>
                <wp:cNvGraphicFramePr/>
                <a:graphic xmlns:a="http://schemas.openxmlformats.org/drawingml/2006/main">
                  <a:graphicData uri="http://schemas.microsoft.com/office/word/2010/wordprocessingGroup">
                    <wpg:wgp>
                      <wpg:cNvGrpSpPr/>
                      <wpg:grpSpPr>
                        <a:xfrm>
                          <a:off x="0" y="0"/>
                          <a:ext cx="2551518" cy="1615594"/>
                          <a:chOff x="0" y="0"/>
                          <a:chExt cx="2551518" cy="1615594"/>
                        </a:xfrm>
                      </wpg:grpSpPr>
                      <pic:pic xmlns:pic="http://schemas.openxmlformats.org/drawingml/2006/picture">
                        <pic:nvPicPr>
                          <pic:cNvPr id="94083" name="Picture 94083"/>
                          <pic:cNvPicPr/>
                        </pic:nvPicPr>
                        <pic:blipFill>
                          <a:blip r:embed="rId8"/>
                          <a:stretch>
                            <a:fillRect/>
                          </a:stretch>
                        </pic:blipFill>
                        <pic:spPr>
                          <a:xfrm>
                            <a:off x="0" y="0"/>
                            <a:ext cx="2551518" cy="1572918"/>
                          </a:xfrm>
                          <a:prstGeom prst="rect">
                            <a:avLst/>
                          </a:prstGeom>
                        </pic:spPr>
                      </pic:pic>
                      <wps:wsp>
                        <wps:cNvPr id="90050" name="Rectangle 90050"/>
                        <wps:cNvSpPr/>
                        <wps:spPr>
                          <a:xfrm>
                            <a:off x="1164492" y="1338199"/>
                            <a:ext cx="1010865" cy="368934"/>
                          </a:xfrm>
                          <a:prstGeom prst="rect">
                            <a:avLst/>
                          </a:prstGeom>
                          <a:ln>
                            <a:noFill/>
                          </a:ln>
                        </wps:spPr>
                        <wps:txbx>
                          <w:txbxContent>
                            <w:p w:rsidR="00721CF3" w:rsidRDefault="00063BD2">
                              <w:pPr>
                                <w:spacing w:after="160" w:line="259" w:lineRule="auto"/>
                                <w:ind w:right="0" w:firstLine="0"/>
                                <w:jc w:val="left"/>
                              </w:pPr>
                              <w:r>
                                <w:rPr>
                                  <w:w w:val="5"/>
                                  <w:sz w:val="30"/>
                                  <w:u w:val="single" w:color="000000"/>
                                </w:rPr>
                                <w:t>aga.gunq</w:t>
                              </w:r>
                              <w:r>
                                <w:rPr>
                                  <w:spacing w:val="71"/>
                                  <w:w w:val="5"/>
                                  <w:sz w:val="30"/>
                                  <w:u w:val="single" w:color="000000"/>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90053" style="width:200.907pt;height:127.212pt;position:absolute;z-index:-2147483648;mso-position-horizontal-relative:text;mso-position-horizontal:absolute;margin-left:200.252pt;mso-position-vertical-relative:text;margin-top:36.9116pt;" coordsize="25515,16155">
                <v:shape id="Picture 94083" style="position:absolute;width:25515;height:15729;left:0;top:0;" filled="f">
                  <v:imagedata r:id="rId63"/>
                </v:shape>
                <v:rect id="Rectangle 90050" style="position:absolute;width:10108;height:3689;left:11644;top:13381;" filled="f" stroked="f">
                  <v:textbox inset="0,0,0,0">
                    <w:txbxContent>
                      <w:p>
                        <w:pPr>
                          <w:spacing w:before="0" w:after="160" w:line="259" w:lineRule="auto"/>
                          <w:ind w:right="0" w:firstLine="0"/>
                          <w:jc w:val="left"/>
                        </w:pPr>
                        <w:r>
                          <w:rPr>
                            <w:rFonts w:cs="Times New Roman" w:hAnsi="Times New Roman" w:eastAsia="Times New Roman" w:ascii="Times New Roman"/>
                            <w:w w:val="5"/>
                            <w:sz w:val="30"/>
                            <w:u w:val="single" w:color="000000"/>
                          </w:rPr>
                          <w:t xml:space="preserve">aga.gunq</w:t>
                        </w:r>
                        <w:r>
                          <w:rPr>
                            <w:rFonts w:cs="Times New Roman" w:hAnsi="Times New Roman" w:eastAsia="Times New Roman" w:ascii="Times New Roman"/>
                            <w:spacing w:val="71"/>
                            <w:w w:val="5"/>
                            <w:sz w:val="30"/>
                            <w:u w:val="single" w:color="000000"/>
                          </w:rPr>
                          <w:t xml:space="preserve"> </w:t>
                        </w:r>
                      </w:p>
                    </w:txbxContent>
                  </v:textbox>
                </v:rect>
              </v:group>
            </w:pict>
          </mc:Fallback>
        </mc:AlternateContent>
      </w:r>
      <w:r>
        <w:t>Руководитель Федеральной службы по надзору в сфере за</w:t>
      </w:r>
      <w:r>
        <w:t>щиты прав ебителей и благополучия человека, государственный санитарный</w:t>
      </w:r>
    </w:p>
    <w:p w:rsidR="00721CF3" w:rsidRDefault="00063BD2">
      <w:pPr>
        <w:spacing w:after="240"/>
        <w:ind w:left="5661" w:right="14" w:firstLine="0"/>
      </w:pPr>
      <w:r>
        <w:t>' е ийской Федерации</w:t>
      </w:r>
    </w:p>
    <w:p w:rsidR="00721CF3" w:rsidRDefault="00063BD2">
      <w:pPr>
        <w:spacing w:after="1660" w:line="264" w:lineRule="auto"/>
        <w:ind w:left="10" w:right="912" w:hanging="10"/>
        <w:jc w:val="right"/>
      </w:pPr>
      <w:r>
        <w:t>А.Ю. Попова</w:t>
      </w:r>
    </w:p>
    <w:p w:rsidR="00721CF3" w:rsidRDefault="00063BD2">
      <w:pPr>
        <w:spacing w:after="1222" w:line="262" w:lineRule="auto"/>
        <w:ind w:left="113" w:right="97" w:hanging="10"/>
        <w:jc w:val="center"/>
      </w:pPr>
      <w:r>
        <w:t>2.4. ГТР№НА ДЕТЕЙ И ПОДРОСТКОВ</w:t>
      </w:r>
    </w:p>
    <w:p w:rsidR="00721CF3" w:rsidRDefault="00063BD2">
      <w:pPr>
        <w:spacing w:after="0" w:line="265" w:lineRule="auto"/>
        <w:ind w:left="630" w:right="599" w:hanging="10"/>
        <w:jc w:val="center"/>
      </w:pPr>
      <w:r>
        <w:rPr>
          <w:sz w:val="30"/>
        </w:rPr>
        <w:t>МЕТОДИЧЕСКИЕ РЕКОМЕНДАЦИИ</w:t>
      </w:r>
    </w:p>
    <w:p w:rsidR="00721CF3" w:rsidRDefault="00063BD2">
      <w:pPr>
        <w:spacing w:after="0" w:line="265" w:lineRule="auto"/>
        <w:ind w:left="630" w:right="595" w:hanging="10"/>
        <w:jc w:val="center"/>
      </w:pPr>
      <w:r>
        <w:rPr>
          <w:sz w:val="30"/>
        </w:rPr>
        <w:t>ПО ОБЕСПЕЧЕНИЮ САНИТАРНО-ЭПИДЕМИОЛОГИЧЕСКИХ</w:t>
      </w:r>
    </w:p>
    <w:p w:rsidR="00721CF3" w:rsidRDefault="00063BD2">
      <w:pPr>
        <w:spacing w:after="0" w:line="266" w:lineRule="auto"/>
        <w:ind w:left="213" w:right="9" w:hanging="10"/>
      </w:pPr>
      <w:r>
        <w:rPr>
          <w:sz w:val="30"/>
        </w:rPr>
        <w:t>ТРЕБОВАНИЙ при РЕАЛИЗАЦИИ ОБРАЗОВАТЕЛЬНЫХ ПРОГРАММ</w:t>
      </w:r>
    </w:p>
    <w:p w:rsidR="00721CF3" w:rsidRDefault="00063BD2">
      <w:pPr>
        <w:spacing w:after="0" w:line="265" w:lineRule="auto"/>
        <w:ind w:left="630" w:right="609" w:hanging="10"/>
        <w:jc w:val="center"/>
      </w:pPr>
      <w:r>
        <w:rPr>
          <w:sz w:val="30"/>
        </w:rPr>
        <w:t>С ПРИМЕНЕНИЕМ ЭЛЕКТРОННОГО ОБУЧЕНИЯ</w:t>
      </w:r>
    </w:p>
    <w:p w:rsidR="00721CF3" w:rsidRDefault="00063BD2">
      <w:pPr>
        <w:spacing w:after="1250" w:line="265" w:lineRule="auto"/>
        <w:ind w:left="630" w:right="599" w:hanging="10"/>
        <w:jc w:val="center"/>
      </w:pPr>
      <w:r>
        <w:rPr>
          <w:sz w:val="30"/>
        </w:rPr>
        <w:t>И ДИСТАНЦИОННЫХ ОБРАЗОВАТЕЛЬНЫХ ТЕХНОЛОГИЙ</w:t>
      </w:r>
    </w:p>
    <w:p w:rsidR="00721CF3" w:rsidRDefault="00063BD2">
      <w:pPr>
        <w:spacing w:after="4" w:line="262" w:lineRule="auto"/>
        <w:ind w:left="113" w:right="107" w:hanging="10"/>
        <w:jc w:val="center"/>
      </w:pPr>
      <w:r>
        <w:t>Методические рекомендации</w:t>
      </w:r>
    </w:p>
    <w:p w:rsidR="00721CF3" w:rsidRDefault="00063BD2">
      <w:pPr>
        <w:spacing w:after="504" w:line="262" w:lineRule="auto"/>
        <w:ind w:left="113" w:right="107" w:hanging="10"/>
        <w:jc w:val="center"/>
      </w:pPr>
      <w:r>
        <w:t>МР 2.4. 0330-23</w:t>
      </w:r>
    </w:p>
    <w:p w:rsidR="00721CF3" w:rsidRDefault="00063BD2">
      <w:pPr>
        <w:spacing w:after="419" w:line="265" w:lineRule="auto"/>
        <w:ind w:left="630" w:right="609" w:hanging="10"/>
        <w:jc w:val="center"/>
      </w:pPr>
      <w:r>
        <w:rPr>
          <w:sz w:val="30"/>
        </w:rPr>
        <w:t>1. Область применения и общие положения</w:t>
      </w:r>
    </w:p>
    <w:p w:rsidR="00721CF3" w:rsidRDefault="00063BD2">
      <w:pPr>
        <w:numPr>
          <w:ilvl w:val="1"/>
          <w:numId w:val="2"/>
        </w:numPr>
        <w:spacing w:after="942"/>
        <w:ind w:right="14"/>
      </w:pPr>
      <w:r>
        <w:t xml:space="preserve">Настоящие методические рекомендации (далее — МР) содержат комплекс предложений по созданию условий для внедрения цифровой образовательной среды </w:t>
      </w:r>
      <w:r>
        <w:rPr>
          <w:vertAlign w:val="superscript"/>
        </w:rPr>
        <w:t xml:space="preserve">1 </w:t>
      </w:r>
      <w:r>
        <w:t>(далее — ЦОС) для детей</w:t>
      </w:r>
      <w:r>
        <w:rPr>
          <w:vertAlign w:val="superscript"/>
        </w:rPr>
        <w:footnoteReference w:id="1"/>
      </w:r>
      <w:r>
        <w:rPr>
          <w:vertAlign w:val="superscript"/>
        </w:rPr>
        <w:t xml:space="preserve"> </w:t>
      </w:r>
      <w:r>
        <w:t>и молодежи</w:t>
      </w:r>
      <w:r>
        <w:rPr>
          <w:vertAlign w:val="superscript"/>
        </w:rPr>
        <w:footnoteReference w:id="2"/>
      </w:r>
      <w:r>
        <w:rPr>
          <w:vertAlign w:val="superscript"/>
        </w:rPr>
        <w:t xml:space="preserve"> </w:t>
      </w:r>
      <w:r>
        <w:t>, осваивающих образовательные</w:t>
      </w:r>
    </w:p>
    <w:p w:rsidR="00721CF3" w:rsidRDefault="00063BD2">
      <w:pPr>
        <w:spacing w:after="11" w:line="251" w:lineRule="auto"/>
        <w:ind w:left="20" w:right="14" w:firstLine="178"/>
      </w:pPr>
      <w:r>
        <w:rPr>
          <w:sz w:val="24"/>
        </w:rPr>
        <w:t>Например, Федеральный проект «Цифровая образовательная среда» национального проекта «Образование».</w:t>
      </w:r>
    </w:p>
    <w:p w:rsidR="00721CF3" w:rsidRDefault="00063BD2">
      <w:pPr>
        <w:spacing w:after="27"/>
        <w:ind w:left="14" w:right="14" w:firstLine="14"/>
      </w:pPr>
      <w:r>
        <w:t>программы</w:t>
      </w:r>
      <w:r>
        <w:rPr>
          <w:vertAlign w:val="superscript"/>
        </w:rPr>
        <w:t xml:space="preserve">4 </w:t>
      </w:r>
      <w:r>
        <w:t>дошкольного (для детей 5 лет и старше), начального общего, основного общего, среднего общего, среднего профессионального и дополнительного образов</w:t>
      </w:r>
      <w:r>
        <w:t xml:space="preserve">ания (далее образовательные программы) с применением электронного обучения и дистанционных образовательных технологий с учетом санитарно-эпидемиологических требовании </w:t>
      </w:r>
      <w:r>
        <w:rPr>
          <w:vertAlign w:val="superscript"/>
        </w:rPr>
        <w:t>5</w:t>
      </w:r>
      <w:r>
        <w:rPr>
          <w:noProof/>
        </w:rPr>
        <w:drawing>
          <wp:inline distT="0" distB="0" distL="0" distR="0">
            <wp:extent cx="21339" cy="27435"/>
            <wp:effectExtent l="0" t="0" r="0" b="0"/>
            <wp:docPr id="4918" name="Picture 4918"/>
            <wp:cNvGraphicFramePr/>
            <a:graphic xmlns:a="http://schemas.openxmlformats.org/drawingml/2006/main">
              <a:graphicData uri="http://schemas.openxmlformats.org/drawingml/2006/picture">
                <pic:pic xmlns:pic="http://schemas.openxmlformats.org/drawingml/2006/picture">
                  <pic:nvPicPr>
                    <pic:cNvPr id="4918" name="Picture 4918"/>
                    <pic:cNvPicPr/>
                  </pic:nvPicPr>
                  <pic:blipFill>
                    <a:blip r:embed="rId64"/>
                    <a:stretch>
                      <a:fillRect/>
                    </a:stretch>
                  </pic:blipFill>
                  <pic:spPr>
                    <a:xfrm>
                      <a:off x="0" y="0"/>
                      <a:ext cx="21339" cy="27435"/>
                    </a:xfrm>
                    <a:prstGeom prst="rect">
                      <a:avLst/>
                    </a:prstGeom>
                  </pic:spPr>
                </pic:pic>
              </a:graphicData>
            </a:graphic>
          </wp:inline>
        </w:drawing>
      </w:r>
    </w:p>
    <w:p w:rsidR="00721CF3" w:rsidRDefault="00063BD2">
      <w:pPr>
        <w:numPr>
          <w:ilvl w:val="1"/>
          <w:numId w:val="2"/>
        </w:numPr>
        <w:spacing w:after="349"/>
        <w:ind w:right="14"/>
      </w:pPr>
      <w:r>
        <w:t>Реализация образовательных программ с применением электронного обучения и дистанционны</w:t>
      </w:r>
      <w:r>
        <w:t>х образовательных технологий установлена законодательством Российской федерации</w:t>
      </w:r>
      <w:r>
        <w:rPr>
          <w:vertAlign w:val="superscript"/>
        </w:rPr>
        <w:t xml:space="preserve">б </w:t>
      </w:r>
      <w:r>
        <w:t>. При необходимости допускается совмещение различных форм обучению, например, очного и обучения с использованием дистанционных образовательных технологий.</w:t>
      </w:r>
    </w:p>
    <w:p w:rsidR="00721CF3" w:rsidRDefault="00063BD2">
      <w:pPr>
        <w:spacing w:after="356" w:line="266" w:lineRule="auto"/>
        <w:ind w:left="434" w:right="9" w:hanging="346"/>
      </w:pPr>
      <w:r>
        <w:rPr>
          <w:sz w:val="30"/>
        </w:rPr>
        <w:t>П, Рекомендации по р</w:t>
      </w:r>
      <w:r>
        <w:rPr>
          <w:sz w:val="30"/>
        </w:rPr>
        <w:t>еализации образовательных программ с применением электронного обучения и дистанционных образовательных технологий</w:t>
      </w:r>
    </w:p>
    <w:p w:rsidR="00721CF3" w:rsidRDefault="00063BD2">
      <w:pPr>
        <w:ind w:left="14" w:right="14"/>
      </w:pPr>
      <w:r>
        <w:t>2.1. Электронные средства обучения (далее ЭСО) могут быть ЭСО коллективного использования (например, интерактивная доска, интерактивная панель</w:t>
      </w:r>
      <w:r>
        <w:t>) и ЭСО индивидуального использования (например, персональный компьютер (далее -- ПК), ноутбук, планшет).</w:t>
      </w:r>
    </w:p>
    <w:p w:rsidR="00721CF3" w:rsidRDefault="00063BD2">
      <w:pPr>
        <w:ind w:left="14" w:right="14"/>
      </w:pPr>
      <w:r>
        <w:t>ЭСО используются в соответствии с инструкцией по эксплуатации и (или) техническим паспортом с соблюдением санитарно-эпидемиологических требований</w:t>
      </w:r>
      <w:r>
        <w:rPr>
          <w:vertAlign w:val="superscript"/>
        </w:rPr>
        <w:t xml:space="preserve">8 </w:t>
      </w:r>
      <w:r>
        <w:t>и п</w:t>
      </w:r>
      <w:r>
        <w:t>ри наличии документов, подтверждающих их соответствие требованиям безопасности, установленным законодательством Российской федерации9.</w:t>
      </w:r>
    </w:p>
    <w:p w:rsidR="00721CF3" w:rsidRDefault="00063BD2">
      <w:pPr>
        <w:spacing w:after="125" w:line="259" w:lineRule="auto"/>
        <w:ind w:left="6" w:right="0" w:firstLine="0"/>
        <w:jc w:val="left"/>
      </w:pPr>
      <w:r>
        <w:rPr>
          <w:noProof/>
          <w:sz w:val="22"/>
        </w:rPr>
        <mc:AlternateContent>
          <mc:Choice Requires="wpg">
            <w:drawing>
              <wp:inline distT="0" distB="0" distL="0" distR="0">
                <wp:extent cx="1825997" cy="15242"/>
                <wp:effectExtent l="0" t="0" r="0" b="0"/>
                <wp:docPr id="94087" name="Group 94087"/>
                <wp:cNvGraphicFramePr/>
                <a:graphic xmlns:a="http://schemas.openxmlformats.org/drawingml/2006/main">
                  <a:graphicData uri="http://schemas.microsoft.com/office/word/2010/wordprocessingGroup">
                    <wpg:wgp>
                      <wpg:cNvGrpSpPr/>
                      <wpg:grpSpPr>
                        <a:xfrm>
                          <a:off x="0" y="0"/>
                          <a:ext cx="1825997" cy="15242"/>
                          <a:chOff x="0" y="0"/>
                          <a:chExt cx="1825997" cy="15242"/>
                        </a:xfrm>
                      </wpg:grpSpPr>
                      <wps:wsp>
                        <wps:cNvPr id="94086" name="Shape 94086"/>
                        <wps:cNvSpPr/>
                        <wps:spPr>
                          <a:xfrm>
                            <a:off x="0" y="0"/>
                            <a:ext cx="1825997" cy="15242"/>
                          </a:xfrm>
                          <a:custGeom>
                            <a:avLst/>
                            <a:gdLst/>
                            <a:ahLst/>
                            <a:cxnLst/>
                            <a:rect l="0" t="0" r="0" b="0"/>
                            <a:pathLst>
                              <a:path w="1825997" h="15242">
                                <a:moveTo>
                                  <a:pt x="0" y="7621"/>
                                </a:moveTo>
                                <a:lnTo>
                                  <a:pt x="1825997" y="7621"/>
                                </a:lnTo>
                              </a:path>
                            </a:pathLst>
                          </a:custGeom>
                          <a:ln w="15242"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94087" style="width:143.779pt;height:1.20013pt;mso-position-horizontal-relative:char;mso-position-vertical-relative:line" coordsize="18259,152">
                <v:shape id="Shape 94086" style="position:absolute;width:18259;height:152;left:0;top:0;" coordsize="1825997,15242" path="m0,7621l1825997,7621">
                  <v:stroke weight="1.20013pt" endcap="flat" joinstyle="miter" miterlimit="1" on="true" color="#000000"/>
                  <v:fill on="false" color="#000000"/>
                </v:shape>
              </v:group>
            </w:pict>
          </mc:Fallback>
        </mc:AlternateContent>
      </w:r>
    </w:p>
    <w:p w:rsidR="00721CF3" w:rsidRDefault="00063BD2">
      <w:pPr>
        <w:numPr>
          <w:ilvl w:val="0"/>
          <w:numId w:val="3"/>
        </w:numPr>
        <w:spacing w:after="11" w:line="251" w:lineRule="auto"/>
        <w:ind w:right="14" w:hanging="144"/>
      </w:pPr>
      <w:r>
        <w:rPr>
          <w:sz w:val="24"/>
        </w:rPr>
        <w:t>Статья 2 Федерального закона от 29.12.2012 № 273-ФЗ «Об образовании в Российской Федерации» (далее — Федеральный закон от 29.12.2012 № 273-ФЗ).</w:t>
      </w:r>
    </w:p>
    <w:p w:rsidR="00721CF3" w:rsidRDefault="00063BD2">
      <w:pPr>
        <w:numPr>
          <w:ilvl w:val="0"/>
          <w:numId w:val="3"/>
        </w:numPr>
        <w:spacing w:after="11" w:line="251" w:lineRule="auto"/>
        <w:ind w:right="14" w:hanging="144"/>
      </w:pPr>
      <w:r>
        <w:rPr>
          <w:sz w:val="24"/>
        </w:rPr>
        <w:t>Статья 42 Федерального закона от 30.03.1999 № 52-ФЗ «О санитарно-эпидемиологическом благополучии населения» (дал</w:t>
      </w:r>
      <w:r>
        <w:rPr>
          <w:sz w:val="24"/>
        </w:rPr>
        <w:t>ее — Федеральный закон от 30.03.1999 № 52-ФЗ); статья 12 Федерального закона от 29.12.2012 № 273-ФЗ; СП 2.4.3648-20 «Санитарно-эпидемиологические требования к организациям воспитания и обучения, отдыха и оздоровления детей и молодежи», утвержденные постано</w:t>
      </w:r>
      <w:r>
        <w:rPr>
          <w:sz w:val="24"/>
        </w:rPr>
        <w:t>влением Главного государственного санитарного врача Российской Федерации от 28.09.2020 № 28 (зарегистрировано Минюстом России 18.12.2020, регистрационный № 61573) (далее СП 2.4.3648-20); СанПиН 12.3685-21 «Гигиенические нормативы и требования к обеспечению</w:t>
      </w:r>
      <w:r>
        <w:rPr>
          <w:sz w:val="24"/>
        </w:rPr>
        <w:t xml:space="preserve"> безопасности и (или) безвредности для человека факторов среды обитания», утвержденные постановлением Главного государственного санитарного врача Российской Федерации от 28.01.2021 № 2, с изменениями, внесенными постановлением Главного государственного сан</w:t>
      </w:r>
      <w:r>
        <w:rPr>
          <w:sz w:val="24"/>
        </w:rPr>
        <w:t>итарного врача Российской Федерации от 30.12.2022 № 24 (зарегистрировано Минюстом России 29.01.2021, регистрационный № 62296) (далее - СанПиН 1.2.3685-21).</w:t>
      </w:r>
    </w:p>
    <w:p w:rsidR="00721CF3" w:rsidRDefault="00063BD2">
      <w:pPr>
        <w:numPr>
          <w:ilvl w:val="0"/>
          <w:numId w:val="3"/>
        </w:numPr>
        <w:spacing w:after="64" w:line="251" w:lineRule="auto"/>
        <w:ind w:right="14" w:hanging="144"/>
      </w:pPr>
      <w:r>
        <w:rPr>
          <w:sz w:val="24"/>
        </w:rPr>
        <w:t>Пункт 2 статьи 13, пункт 2 статьи 16 Федерального закона от 29.12.2012 № 273-ФЗ.</w:t>
      </w:r>
    </w:p>
    <w:p w:rsidR="00721CF3" w:rsidRDefault="00063BD2">
      <w:pPr>
        <w:numPr>
          <w:ilvl w:val="0"/>
          <w:numId w:val="3"/>
        </w:numPr>
        <w:spacing w:after="57" w:line="251" w:lineRule="auto"/>
        <w:ind w:right="14" w:hanging="144"/>
      </w:pPr>
      <w:r>
        <w:rPr>
          <w:sz w:val="24"/>
        </w:rPr>
        <w:t>Статья 17 Федеральн</w:t>
      </w:r>
      <w:r>
        <w:rPr>
          <w:sz w:val="24"/>
        </w:rPr>
        <w:t>ого закона от 29.12.2012 № 273-ФЗ.</w:t>
      </w:r>
    </w:p>
    <w:p w:rsidR="00721CF3" w:rsidRDefault="00063BD2">
      <w:pPr>
        <w:numPr>
          <w:ilvl w:val="0"/>
          <w:numId w:val="3"/>
        </w:numPr>
        <w:spacing w:after="11" w:line="251" w:lineRule="auto"/>
        <w:ind w:right="14" w:hanging="144"/>
      </w:pPr>
      <w:r>
        <w:rPr>
          <w:sz w:val="24"/>
        </w:rPr>
        <w:t>Пункт 3.5 главы III СП 2.43648-20.</w:t>
      </w:r>
    </w:p>
    <w:p w:rsidR="00721CF3" w:rsidRDefault="00063BD2">
      <w:pPr>
        <w:numPr>
          <w:ilvl w:val="0"/>
          <w:numId w:val="3"/>
        </w:numPr>
        <w:spacing w:after="11" w:line="251" w:lineRule="auto"/>
        <w:ind w:right="14" w:hanging="144"/>
      </w:pPr>
      <w:r>
        <w:rPr>
          <w:sz w:val="24"/>
        </w:rPr>
        <w:t>Технический регламент Таможенного союза «О безопасности низковольтового оборудования» (ТР ТС 004/2011), утвержденный решением Комиссии Таможенного союза от 16.08.2011 № 768, с изменениям</w:t>
      </w:r>
      <w:r>
        <w:rPr>
          <w:sz w:val="24"/>
        </w:rPr>
        <w:t xml:space="preserve">и, внесенными решениями Комиссии Таможенного союза от 09.12.2011 № 884, решениями Коллегии Евразийской экономической комиссии от 04.12.2012 № 247, от 25.12.2012 № 292, от 25.10.2016 № 120, решением Совета Евразийской экономической комиссии от 10.06.2022 № </w:t>
      </w:r>
      <w:r>
        <w:rPr>
          <w:sz w:val="24"/>
        </w:rPr>
        <w:t>90; технический регламент Таможенного союза</w:t>
      </w:r>
    </w:p>
    <w:p w:rsidR="00721CF3" w:rsidRDefault="00721CF3">
      <w:pPr>
        <w:sectPr w:rsidR="00721CF3">
          <w:headerReference w:type="even" r:id="rId65"/>
          <w:headerReference w:type="default" r:id="rId66"/>
          <w:footerReference w:type="even" r:id="rId67"/>
          <w:footerReference w:type="default" r:id="rId68"/>
          <w:headerReference w:type="first" r:id="rId69"/>
          <w:footerReference w:type="first" r:id="rId70"/>
          <w:pgSz w:w="11920" w:h="16840"/>
          <w:pgMar w:top="1120" w:right="917" w:bottom="730" w:left="1079" w:header="720" w:footer="720" w:gutter="0"/>
          <w:cols w:space="720"/>
        </w:sectPr>
      </w:pPr>
    </w:p>
    <w:p w:rsidR="00721CF3" w:rsidRDefault="00063BD2">
      <w:pPr>
        <w:ind w:left="14" w:right="14"/>
      </w:pPr>
      <w:r>
        <w:t>Сведения о наличии и соответствии требованиям безопасности ЭСО в организации, реализующей образовательные программы с применением электронного обучения и дистанционных образовательных технологий (далее образовательная организация), рекомендуется заносить в</w:t>
      </w:r>
      <w:r>
        <w:t xml:space="preserve"> журнал на бумажном и (или) электронном носителях. Рекомендуемый образец журнала представлен в приложении к настоящим МР.</w:t>
      </w:r>
    </w:p>
    <w:p w:rsidR="00721CF3" w:rsidRDefault="00063BD2">
      <w:pPr>
        <w:numPr>
          <w:ilvl w:val="1"/>
          <w:numId w:val="4"/>
        </w:numPr>
        <w:ind w:right="14"/>
      </w:pPr>
      <w:r>
        <w:t>Для создания локальной вычислительной сети, подключения к телекоммуникационной сети «Интернет» (далее Интернет), подключения периферий</w:t>
      </w:r>
      <w:r>
        <w:t>ных устройств ПК рекомендуется использовать системы проводной передачи данных.</w:t>
      </w:r>
    </w:p>
    <w:p w:rsidR="00721CF3" w:rsidRDefault="00063BD2">
      <w:pPr>
        <w:ind w:left="14" w:right="14"/>
      </w:pPr>
      <w:r>
        <w:t>При использовании системы беспроводной передачи данных точки доступа Wi-Fi рекомендуется размещать в подпотолочном пространстве учебных кабинетов на фронтальной стене и помещени</w:t>
      </w:r>
      <w:r>
        <w:t>й, где необходимо обеспечить устойчивое покрытие беспроводной сетью.</w:t>
      </w:r>
    </w:p>
    <w:p w:rsidR="00721CF3" w:rsidRDefault="00063BD2">
      <w:pPr>
        <w:ind w:left="14" w:right="14"/>
      </w:pPr>
      <w:r>
        <w:t xml:space="preserve">Установка и использование системы беспроводной передачи данных не рекомендуются в учебных помещениях, на этажах, в отдельно стоящих зданиях для обучающихся начального общего образования, </w:t>
      </w:r>
      <w:r>
        <w:t>в помещениях для детей в зданиях дошкольных образовательных организаций.</w:t>
      </w:r>
    </w:p>
    <w:p w:rsidR="00721CF3" w:rsidRDefault="00063BD2">
      <w:pPr>
        <w:numPr>
          <w:ilvl w:val="1"/>
          <w:numId w:val="4"/>
        </w:numPr>
        <w:ind w:right="14"/>
      </w:pPr>
      <w:r>
        <w:t>При выборе ЭСО коллективного использования рекомендуется использовать интерактивные доски (далее — ИД) и интерактивные панели (далее — ИГТ), имеющие токопроводящие поверхности, переда</w:t>
      </w:r>
      <w:r>
        <w:t>ющие информацию в ГЖ при непосредственном нажатии на поверхность доски и не требующие применения маркеров (резистивная технология).</w:t>
      </w:r>
    </w:p>
    <w:p w:rsidR="00721CF3" w:rsidRDefault="00063BD2">
      <w:pPr>
        <w:numPr>
          <w:ilvl w:val="1"/>
          <w:numId w:val="4"/>
        </w:numPr>
        <w:spacing w:after="0" w:line="264" w:lineRule="auto"/>
        <w:ind w:right="14"/>
      </w:pPr>
      <w:r>
        <w:t>При оборудовании ИД учебных и групповых помещений</w:t>
      </w:r>
    </w:p>
    <w:p w:rsidR="00721CF3" w:rsidRDefault="00063BD2">
      <w:pPr>
        <w:spacing w:after="46"/>
        <w:ind w:left="14" w:right="14" w:firstLine="0"/>
      </w:pPr>
      <w:r>
        <w:t>(далее — учебных помещений) рекомендуется использовать ИД обратной проекци</w:t>
      </w:r>
      <w:r>
        <w:t>и</w:t>
      </w:r>
    </w:p>
    <w:p w:rsidR="00721CF3" w:rsidRDefault="00063BD2">
      <w:pPr>
        <w:spacing w:after="115" w:line="259" w:lineRule="auto"/>
        <w:ind w:left="14" w:right="0" w:firstLine="0"/>
        <w:jc w:val="left"/>
      </w:pPr>
      <w:r>
        <w:rPr>
          <w:noProof/>
          <w:sz w:val="22"/>
        </w:rPr>
        <mc:AlternateContent>
          <mc:Choice Requires="wpg">
            <w:drawing>
              <wp:inline distT="0" distB="0" distL="0" distR="0">
                <wp:extent cx="1832094" cy="15241"/>
                <wp:effectExtent l="0" t="0" r="0" b="0"/>
                <wp:docPr id="94089" name="Group 94089"/>
                <wp:cNvGraphicFramePr/>
                <a:graphic xmlns:a="http://schemas.openxmlformats.org/drawingml/2006/main">
                  <a:graphicData uri="http://schemas.microsoft.com/office/word/2010/wordprocessingGroup">
                    <wpg:wgp>
                      <wpg:cNvGrpSpPr/>
                      <wpg:grpSpPr>
                        <a:xfrm>
                          <a:off x="0" y="0"/>
                          <a:ext cx="1832094" cy="15241"/>
                          <a:chOff x="0" y="0"/>
                          <a:chExt cx="1832094" cy="15241"/>
                        </a:xfrm>
                      </wpg:grpSpPr>
                      <wps:wsp>
                        <wps:cNvPr id="94088" name="Shape 94088"/>
                        <wps:cNvSpPr/>
                        <wps:spPr>
                          <a:xfrm>
                            <a:off x="0" y="0"/>
                            <a:ext cx="1832094" cy="15241"/>
                          </a:xfrm>
                          <a:custGeom>
                            <a:avLst/>
                            <a:gdLst/>
                            <a:ahLst/>
                            <a:cxnLst/>
                            <a:rect l="0" t="0" r="0" b="0"/>
                            <a:pathLst>
                              <a:path w="1832094" h="15241">
                                <a:moveTo>
                                  <a:pt x="0" y="7620"/>
                                </a:moveTo>
                                <a:lnTo>
                                  <a:pt x="1832094" y="7620"/>
                                </a:lnTo>
                              </a:path>
                            </a:pathLst>
                          </a:custGeom>
                          <a:ln w="15241"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94089" style="width:144.259pt;height:1.2001pt;mso-position-horizontal-relative:char;mso-position-vertical-relative:line" coordsize="18320,152">
                <v:shape id="Shape 94088" style="position:absolute;width:18320;height:152;left:0;top:0;" coordsize="1832094,15241" path="m0,7620l1832094,7620">
                  <v:stroke weight="1.2001pt" endcap="flat" joinstyle="miter" miterlimit="1" on="true" color="#000000"/>
                  <v:fill on="false" color="#000000"/>
                </v:shape>
              </v:group>
            </w:pict>
          </mc:Fallback>
        </mc:AlternateContent>
      </w:r>
    </w:p>
    <w:p w:rsidR="00721CF3" w:rsidRDefault="00063BD2">
      <w:pPr>
        <w:spacing w:after="11" w:line="251" w:lineRule="auto"/>
        <w:ind w:left="25" w:right="14" w:hanging="5"/>
      </w:pPr>
      <w:r>
        <w:rPr>
          <w:sz w:val="24"/>
        </w:rPr>
        <w:t>«Электромагнитная совместимость технических средств» (ТР ТС 020/2011), утвержденный решением Комиссии Таможенного союза от 09.12.2011 № 879, с изменениями, внесенньпии решениями Комиссии Таможенного союза от 04.12.2012 № 252, от 03.02.2015 № 8, от 29.06.20</w:t>
      </w:r>
      <w:r>
        <w:rPr>
          <w:sz w:val="24"/>
        </w:rPr>
        <w:t>21 № 77, решением Совета Евразийской экономической комиссии от 10.06.2022 № 91; Единые санитарно-эпидемиологические и гигиенические требования к продукции (товарам), подлежащей санитарно-эпидемиологическому надзору (контролю), утвержденные решением Комисси</w:t>
      </w:r>
      <w:r>
        <w:rPr>
          <w:sz w:val="24"/>
        </w:rPr>
        <w:t xml:space="preserve">и Таможенного союза от 28.05.2010 № 299, с изменениями, внесенными решениями Комиссии Таможенного союза от 17.08.2010 № 341, от 20.09.2010 № 383, от 14.10.2010 № 432, от О № 456, от 02.03.2011 № 566, от </w:t>
      </w:r>
      <w:r>
        <w:rPr>
          <w:noProof/>
        </w:rPr>
        <w:drawing>
          <wp:inline distT="0" distB="0" distL="0" distR="0">
            <wp:extent cx="609682" cy="115835"/>
            <wp:effectExtent l="0" t="0" r="0" b="0"/>
            <wp:docPr id="8132" name="Picture 8132"/>
            <wp:cNvGraphicFramePr/>
            <a:graphic xmlns:a="http://schemas.openxmlformats.org/drawingml/2006/main">
              <a:graphicData uri="http://schemas.openxmlformats.org/drawingml/2006/picture">
                <pic:pic xmlns:pic="http://schemas.openxmlformats.org/drawingml/2006/picture">
                  <pic:nvPicPr>
                    <pic:cNvPr id="8132" name="Picture 8132"/>
                    <pic:cNvPicPr/>
                  </pic:nvPicPr>
                  <pic:blipFill>
                    <a:blip r:embed="rId71"/>
                    <a:stretch>
                      <a:fillRect/>
                    </a:stretch>
                  </pic:blipFill>
                  <pic:spPr>
                    <a:xfrm>
                      <a:off x="0" y="0"/>
                      <a:ext cx="609682" cy="115835"/>
                    </a:xfrm>
                    <a:prstGeom prst="rect">
                      <a:avLst/>
                    </a:prstGeom>
                  </pic:spPr>
                </pic:pic>
              </a:graphicData>
            </a:graphic>
          </wp:inline>
        </w:drawing>
      </w:r>
      <w:r>
        <w:rPr>
          <w:sz w:val="24"/>
        </w:rPr>
        <w:t xml:space="preserve">№ 567, от 02.03.2011 № 568, от 02.03.2011 № 571, от </w:t>
      </w:r>
      <w:r>
        <w:rPr>
          <w:sz w:val="24"/>
        </w:rPr>
        <w:t>07.04.2011 № 622, от 18.10.2011 № 828, от 18.10.2011 № 829, от 09.12.2011 № 859, от 09.12.2011 № 888, от 09.12.2011 № 889, решением Коллегии Евразийской экономической комиссии от 19.04.2012 № 34, решениями Совета Евразийской экономической комиссии от 15.06</w:t>
      </w:r>
      <w:r>
        <w:rPr>
          <w:sz w:val="24"/>
        </w:rPr>
        <w:t>.2012 № 36, от 15.06.2012 № 37, от 20.07.2012 № 64, от 24.08.2012 № 73, от 17.12.2012 № 114, от 17.12.2012 № 115, от 18.09.2014 № 78, от 02.12.2015 № 82, от 16.02.2018 № 5, от 14.06.2018 № 64, от 22.02.2019 № 8, от 09.09.2019 № 97, от 04.09.2020 № 65, от 2</w:t>
      </w:r>
      <w:r>
        <w:rPr>
          <w:sz w:val="24"/>
        </w:rPr>
        <w:t>9.10.2021 № 109, от 18.02.2022 № 15, от 17.03.2022 № 28, от 25.01.2023 № 6, решениями Коллегии Евразийской экономической комиссии от 16.08.2012 № 125, от 23.08.2012 № 141, от 06.112012 № 206, от 06.11.2012 № 208, от 15.01.2013 № 6, от 13.05.2014 № 71, от 0</w:t>
      </w:r>
      <w:r>
        <w:rPr>
          <w:sz w:val="24"/>
        </w:rPr>
        <w:t xml:space="preserve">7.07.2014 № 101, от 18.11.2014 № 209, от 10.11.2015 № 149, от 08.12.2015 № 162, от 25.10.2016 № 18, 30.06.2017 № 80, от 29.08.2017 № 107, от 23.01.2018 № 12, от 10.05.2018 № 76, от 21.05.2019 № 78, от 08.09.2020 № 106, от 08.09.2020 № 107, от 08.12.2020 № </w:t>
      </w:r>
      <w:r>
        <w:rPr>
          <w:sz w:val="24"/>
        </w:rPr>
        <w:t>162, от 03.08.2021 № 99, от 29.11.2021 № 161, от 08.02.2022 № 22, от 22.02.2022 № 28.</w:t>
      </w:r>
    </w:p>
    <w:p w:rsidR="00721CF3" w:rsidRDefault="00063BD2">
      <w:pPr>
        <w:ind w:left="14" w:right="14" w:firstLine="0"/>
      </w:pPr>
      <w:r>
        <w:t>(проектор размещен позади ИД), исключающей возможность слепящего эффекта от лампы проектора и появление тени пользователя на проецируемом изображении.</w:t>
      </w:r>
    </w:p>
    <w:p w:rsidR="00721CF3" w:rsidRDefault="00063BD2">
      <w:pPr>
        <w:numPr>
          <w:ilvl w:val="1"/>
          <w:numId w:val="4"/>
        </w:numPr>
        <w:ind w:right="14"/>
      </w:pPr>
      <w:r>
        <w:t>При выборе ИД прямо</w:t>
      </w:r>
      <w:r>
        <w:t>й проекции (проектор размещен перед ИД) рекомендуется использовать коротко- или ультракороткофокусный проектор, снижающий риск слепящего эффекта для пользователя.</w:t>
      </w:r>
    </w:p>
    <w:p w:rsidR="00721CF3" w:rsidRDefault="00063BD2">
      <w:pPr>
        <w:ind w:left="14" w:right="14"/>
      </w:pPr>
      <w:r>
        <w:t>Для предотвращения появления бликов на экране ИД (ИП) рекомендуется использовать доски с матовой поверхностью.</w:t>
      </w:r>
    </w:p>
    <w:p w:rsidR="00721CF3" w:rsidRDefault="00063BD2">
      <w:pPr>
        <w:numPr>
          <w:ilvl w:val="1"/>
          <w:numId w:val="4"/>
        </w:numPr>
        <w:spacing w:after="25"/>
        <w:ind w:right="14"/>
      </w:pPr>
      <w:r>
        <w:t xml:space="preserve">В учебных помещениях рекомендуется использовать ШТ с максимальным углом обзора (более 170 </w:t>
      </w:r>
      <w:r>
        <w:rPr>
          <w:vertAlign w:val="superscript"/>
        </w:rPr>
        <w:t>0</w:t>
      </w:r>
      <w:r>
        <w:t>) по вертикали и горизонтали, обеспечивающим сохранени</w:t>
      </w:r>
      <w:r>
        <w:t>е контрастности изображения и не искажающим цветопередачу.</w:t>
      </w:r>
    </w:p>
    <w:p w:rsidR="00721CF3" w:rsidRDefault="00063BD2">
      <w:pPr>
        <w:numPr>
          <w:ilvl w:val="1"/>
          <w:numId w:val="4"/>
        </w:numPr>
        <w:spacing w:after="179"/>
        <w:ind w:right="14"/>
      </w:pPr>
      <w:r>
        <w:t xml:space="preserve">Рассаживать детей в учебном помещении относительно ЭСО коллективного использования рекомендуется с учетом зонирования помещения по условиям зрительного восприятия визуальной информации и состояния </w:t>
      </w:r>
      <w:r>
        <w:t>органа зрения обучающегося [12] (рис. 1). При использовании ИД (ИП) не рекомендуется размещать обучающихся в зоне, в которой может возникнуть трудность восприятия информации (зона Ш). Детей с нарушением зрения рекомендуется размещать в оптимальной зоне (зо</w:t>
      </w:r>
      <w:r>
        <w:t>на 1).</w:t>
      </w:r>
    </w:p>
    <w:p w:rsidR="00721CF3" w:rsidRDefault="00063BD2">
      <w:pPr>
        <w:spacing w:after="594" w:line="259" w:lineRule="auto"/>
        <w:ind w:left="2564" w:right="0" w:firstLine="0"/>
        <w:jc w:val="left"/>
      </w:pPr>
      <w:r>
        <w:rPr>
          <w:noProof/>
        </w:rPr>
        <w:drawing>
          <wp:inline distT="0" distB="0" distL="0" distR="0">
            <wp:extent cx="3219120" cy="2011871"/>
            <wp:effectExtent l="0" t="0" r="0" b="0"/>
            <wp:docPr id="94090" name="Picture 94090"/>
            <wp:cNvGraphicFramePr/>
            <a:graphic xmlns:a="http://schemas.openxmlformats.org/drawingml/2006/main">
              <a:graphicData uri="http://schemas.openxmlformats.org/drawingml/2006/picture">
                <pic:pic xmlns:pic="http://schemas.openxmlformats.org/drawingml/2006/picture">
                  <pic:nvPicPr>
                    <pic:cNvPr id="94090" name="Picture 94090"/>
                    <pic:cNvPicPr/>
                  </pic:nvPicPr>
                  <pic:blipFill>
                    <a:blip r:embed="rId72"/>
                    <a:stretch>
                      <a:fillRect/>
                    </a:stretch>
                  </pic:blipFill>
                  <pic:spPr>
                    <a:xfrm>
                      <a:off x="0" y="0"/>
                      <a:ext cx="3219120" cy="2011871"/>
                    </a:xfrm>
                    <a:prstGeom prst="rect">
                      <a:avLst/>
                    </a:prstGeom>
                  </pic:spPr>
                </pic:pic>
              </a:graphicData>
            </a:graphic>
          </wp:inline>
        </w:drawing>
      </w:r>
    </w:p>
    <w:p w:rsidR="00721CF3" w:rsidRDefault="00063BD2">
      <w:pPr>
        <w:spacing w:after="4" w:line="262" w:lineRule="auto"/>
        <w:ind w:left="113" w:right="113" w:hanging="10"/>
        <w:jc w:val="center"/>
      </w:pPr>
      <w:r>
        <w:t>Рис. 1. Зонирование учебных помещений по комфорту зрительного восприятия от ЭСО коллективного использования.</w:t>
      </w:r>
    </w:p>
    <w:p w:rsidR="00721CF3" w:rsidRDefault="00063BD2">
      <w:pPr>
        <w:spacing w:after="33" w:line="262" w:lineRule="auto"/>
        <w:ind w:left="113" w:right="103" w:hanging="10"/>
        <w:jc w:val="center"/>
      </w:pPr>
      <w:r>
        <w:t>Примечание: зона I оптимальное восприятие изображения; зона П — возможно искажение изображения; зона III — трудности восприятия; зона IV —</w:t>
      </w:r>
      <w:r>
        <w:t xml:space="preserve"> невозможно</w:t>
      </w:r>
    </w:p>
    <w:p w:rsidR="00721CF3" w:rsidRDefault="00063BD2">
      <w:pPr>
        <w:spacing w:after="416" w:line="262" w:lineRule="auto"/>
        <w:ind w:left="113" w:right="108" w:hanging="10"/>
        <w:jc w:val="center"/>
      </w:pPr>
      <w:r>
        <w:t>использовать</w:t>
      </w:r>
    </w:p>
    <w:p w:rsidR="00721CF3" w:rsidRDefault="00063BD2">
      <w:pPr>
        <w:spacing w:after="243" w:line="336" w:lineRule="auto"/>
        <w:ind w:left="14" w:right="14"/>
      </w:pPr>
      <w:r>
        <w:t xml:space="preserve">Зонирование помещения зависит от параметров доски, в том числе её ширины. Расстояние от ИД (ИГТ) до последнего ряда столов рассчитывается в соответствии с санитарно-эпидемиологическими требованиями </w:t>
      </w:r>
      <w:r>
        <w:rPr>
          <w:vertAlign w:val="superscript"/>
        </w:rPr>
        <w:t xml:space="preserve">10 </w:t>
      </w:r>
      <w:r>
        <w:t>В каждом учебном помещении, ос</w:t>
      </w:r>
      <w:r>
        <w:t>нащенном ЭСО коллективного использования, рекомендуется рассчитывать количество рабочих мест, на которых возможно</w:t>
      </w:r>
    </w:p>
    <w:p w:rsidR="00721CF3" w:rsidRDefault="00063BD2">
      <w:pPr>
        <w:spacing w:after="11" w:line="251" w:lineRule="auto"/>
        <w:ind w:left="269" w:right="14" w:hanging="5"/>
      </w:pPr>
      <w:r>
        <w:rPr>
          <w:sz w:val="24"/>
        </w:rPr>
        <w:t>Таблица 6.2 главы Ш СанПиН 1.23685-21.</w:t>
      </w:r>
    </w:p>
    <w:p w:rsidR="00721CF3" w:rsidRDefault="00063BD2">
      <w:pPr>
        <w:ind w:left="14" w:right="14" w:firstLine="0"/>
      </w:pPr>
      <w:r>
        <w:t>искажение изображения (зона П) и трудности восприятия (зона Ш) с целью их возможного сокращения.</w:t>
      </w:r>
    </w:p>
    <w:p w:rsidR="00721CF3" w:rsidRDefault="00063BD2">
      <w:pPr>
        <w:ind w:left="14" w:right="14"/>
      </w:pPr>
      <w:r>
        <w:t>Для обеспечения размещения ИД (ШТ) по центру фронтальной стены учебного помещения рекомендуется использовать доски с рельсовой раздвижной системой в центральной части, объединяющей в комплексе разные виды учебных досок, либо рельсовую систему, обеспечивающ</w:t>
      </w:r>
      <w:r>
        <w:t>ую смену досок разного вида.</w:t>
      </w:r>
    </w:p>
    <w:p w:rsidR="00721CF3" w:rsidRDefault="00063BD2">
      <w:pPr>
        <w:ind w:left="14" w:right="14"/>
      </w:pPr>
      <w:r>
        <w:t>В организациях, недостаточно оснащенных ЭСО коллективного использования, для повышения доступности работы с ИД (ШТ) на занятиях по разным учебным предметам может использоваться мобильная стойка для ИД (ИП). ИД (ШТ) на мобильной</w:t>
      </w:r>
      <w:r>
        <w:t xml:space="preserve"> стойке размещают по центру фронтальной стены учебного помещения на высоте 70-90 см от пола до нижнего края доски, соблюдая нормируемое расстояние до первого ряда столов (240 см) </w:t>
      </w:r>
      <w:r>
        <w:rPr>
          <w:vertAlign w:val="superscript"/>
        </w:rPr>
        <w:t>11</w:t>
      </w:r>
      <w:r>
        <w:rPr>
          <w:noProof/>
        </w:rPr>
        <w:drawing>
          <wp:inline distT="0" distB="0" distL="0" distR="0">
            <wp:extent cx="27436" cy="24386"/>
            <wp:effectExtent l="0" t="0" r="0" b="0"/>
            <wp:docPr id="12324" name="Picture 12324"/>
            <wp:cNvGraphicFramePr/>
            <a:graphic xmlns:a="http://schemas.openxmlformats.org/drawingml/2006/main">
              <a:graphicData uri="http://schemas.openxmlformats.org/drawingml/2006/picture">
                <pic:pic xmlns:pic="http://schemas.openxmlformats.org/drawingml/2006/picture">
                  <pic:nvPicPr>
                    <pic:cNvPr id="12324" name="Picture 12324"/>
                    <pic:cNvPicPr/>
                  </pic:nvPicPr>
                  <pic:blipFill>
                    <a:blip r:embed="rId73"/>
                    <a:stretch>
                      <a:fillRect/>
                    </a:stretch>
                  </pic:blipFill>
                  <pic:spPr>
                    <a:xfrm>
                      <a:off x="0" y="0"/>
                      <a:ext cx="27436" cy="24386"/>
                    </a:xfrm>
                    <a:prstGeom prst="rect">
                      <a:avLst/>
                    </a:prstGeom>
                  </pic:spPr>
                </pic:pic>
              </a:graphicData>
            </a:graphic>
          </wp:inline>
        </w:drawing>
      </w:r>
    </w:p>
    <w:p w:rsidR="00721CF3" w:rsidRDefault="00063BD2">
      <w:pPr>
        <w:ind w:left="14" w:right="14"/>
      </w:pPr>
      <w:r>
        <w:t>2.8. С целью обеспечения удобочитаемости рекомендуется использовать монит</w:t>
      </w:r>
      <w:r>
        <w:t>ор ЭСО индивидуального использования с диагональю 21-24 дюйма, но не менее размеров, установленных санитарно-эпидемиологическими требованиямир</w:t>
      </w:r>
      <w:r>
        <w:rPr>
          <w:noProof/>
        </w:rPr>
        <w:drawing>
          <wp:inline distT="0" distB="0" distL="0" distR="0">
            <wp:extent cx="27436" cy="30483"/>
            <wp:effectExtent l="0" t="0" r="0" b="0"/>
            <wp:docPr id="12325" name="Picture 12325"/>
            <wp:cNvGraphicFramePr/>
            <a:graphic xmlns:a="http://schemas.openxmlformats.org/drawingml/2006/main">
              <a:graphicData uri="http://schemas.openxmlformats.org/drawingml/2006/picture">
                <pic:pic xmlns:pic="http://schemas.openxmlformats.org/drawingml/2006/picture">
                  <pic:nvPicPr>
                    <pic:cNvPr id="12325" name="Picture 12325"/>
                    <pic:cNvPicPr/>
                  </pic:nvPicPr>
                  <pic:blipFill>
                    <a:blip r:embed="rId74"/>
                    <a:stretch>
                      <a:fillRect/>
                    </a:stretch>
                  </pic:blipFill>
                  <pic:spPr>
                    <a:xfrm>
                      <a:off x="0" y="0"/>
                      <a:ext cx="27436" cy="30483"/>
                    </a:xfrm>
                    <a:prstGeom prst="rect">
                      <a:avLst/>
                    </a:prstGeom>
                  </pic:spPr>
                </pic:pic>
              </a:graphicData>
            </a:graphic>
          </wp:inline>
        </w:drawing>
      </w:r>
    </w:p>
    <w:p w:rsidR="00721CF3" w:rsidRDefault="00063BD2">
      <w:pPr>
        <w:spacing w:after="25" w:line="264" w:lineRule="auto"/>
        <w:ind w:left="10" w:right="19" w:hanging="10"/>
        <w:jc w:val="right"/>
      </w:pPr>
      <w:r>
        <w:t xml:space="preserve">Мобильные средства связи не используются для образовательных целеи </w:t>
      </w:r>
      <w:r>
        <w:rPr>
          <w:vertAlign w:val="superscript"/>
        </w:rPr>
        <w:t>В</w:t>
      </w:r>
      <w:r>
        <w:rPr>
          <w:noProof/>
        </w:rPr>
        <w:drawing>
          <wp:inline distT="0" distB="0" distL="0" distR="0">
            <wp:extent cx="24388" cy="27435"/>
            <wp:effectExtent l="0" t="0" r="0" b="0"/>
            <wp:docPr id="12326" name="Picture 12326"/>
            <wp:cNvGraphicFramePr/>
            <a:graphic xmlns:a="http://schemas.openxmlformats.org/drawingml/2006/main">
              <a:graphicData uri="http://schemas.openxmlformats.org/drawingml/2006/picture">
                <pic:pic xmlns:pic="http://schemas.openxmlformats.org/drawingml/2006/picture">
                  <pic:nvPicPr>
                    <pic:cNvPr id="12326" name="Picture 12326"/>
                    <pic:cNvPicPr/>
                  </pic:nvPicPr>
                  <pic:blipFill>
                    <a:blip r:embed="rId75"/>
                    <a:stretch>
                      <a:fillRect/>
                    </a:stretch>
                  </pic:blipFill>
                  <pic:spPr>
                    <a:xfrm>
                      <a:off x="0" y="0"/>
                      <a:ext cx="24388" cy="27435"/>
                    </a:xfrm>
                    <a:prstGeom prst="rect">
                      <a:avLst/>
                    </a:prstGeom>
                  </pic:spPr>
                </pic:pic>
              </a:graphicData>
            </a:graphic>
          </wp:inline>
        </w:drawing>
      </w:r>
    </w:p>
    <w:p w:rsidR="00721CF3" w:rsidRDefault="00063BD2">
      <w:pPr>
        <w:ind w:left="14" w:right="14" w:firstLine="0"/>
      </w:pPr>
      <w:r>
        <w:t>Применение мобильных средств в образовател</w:t>
      </w:r>
      <w:r>
        <w:t xml:space="preserve">ьной организации допускается для личного использования в соответствии с правилами внутреннего распорядка] </w:t>
      </w:r>
      <w:r>
        <w:rPr>
          <w:vertAlign w:val="superscript"/>
        </w:rPr>
        <w:t xml:space="preserve">4 </w:t>
      </w:r>
      <w:r>
        <w:t>данной образовательной организации.</w:t>
      </w:r>
    </w:p>
    <w:p w:rsidR="00721CF3" w:rsidRDefault="00063BD2">
      <w:pPr>
        <w:spacing w:after="31"/>
        <w:ind w:left="14" w:right="14"/>
      </w:pPr>
      <w:r>
        <w:t>2.9. При реализации электронного обучения и дистанционных образовательных технологий, в том числе при выполнении</w:t>
      </w:r>
      <w:r>
        <w:t xml:space="preserve"> домашних заданий, проектной деятельности, обучающимся рекомендуется использовать ПК. При использовании ноутбука рекомендуется устанавливать его на подставку, которая обеспечит размещение монитора на уровне глаз, или подключать к ноутбуку дополнительный мо</w:t>
      </w:r>
      <w:r>
        <w:t>нитор и использовать дополнительную клавиатуру15</w:t>
      </w:r>
      <w:r>
        <w:rPr>
          <w:noProof/>
        </w:rPr>
        <w:drawing>
          <wp:inline distT="0" distB="0" distL="0" distR="0">
            <wp:extent cx="27436" cy="24386"/>
            <wp:effectExtent l="0" t="0" r="0" b="0"/>
            <wp:docPr id="12327" name="Picture 12327"/>
            <wp:cNvGraphicFramePr/>
            <a:graphic xmlns:a="http://schemas.openxmlformats.org/drawingml/2006/main">
              <a:graphicData uri="http://schemas.openxmlformats.org/drawingml/2006/picture">
                <pic:pic xmlns:pic="http://schemas.openxmlformats.org/drawingml/2006/picture">
                  <pic:nvPicPr>
                    <pic:cNvPr id="12327" name="Picture 12327"/>
                    <pic:cNvPicPr/>
                  </pic:nvPicPr>
                  <pic:blipFill>
                    <a:blip r:embed="rId76"/>
                    <a:stretch>
                      <a:fillRect/>
                    </a:stretch>
                  </pic:blipFill>
                  <pic:spPr>
                    <a:xfrm>
                      <a:off x="0" y="0"/>
                      <a:ext cx="27436" cy="24386"/>
                    </a:xfrm>
                    <a:prstGeom prst="rect">
                      <a:avLst/>
                    </a:prstGeom>
                  </pic:spPr>
                </pic:pic>
              </a:graphicData>
            </a:graphic>
          </wp:inline>
        </w:drawing>
      </w:r>
    </w:p>
    <w:p w:rsidR="00721CF3" w:rsidRDefault="00063BD2">
      <w:pPr>
        <w:ind w:left="14" w:right="14"/>
      </w:pPr>
      <w:r>
        <w:t>2.10. Для работы с ЭСО индивидуального использования рекомендуется использовать мониторы, регулируемые по высоте и углу наклона, имеющие матовое покрытие, автоматическую настройку яркости в зависимости от в</w:t>
      </w:r>
      <w:r>
        <w:t>нешнего освещения, с типом матрицы, обеспечивающим максимальный угол видимости.</w:t>
      </w:r>
    </w:p>
    <w:p w:rsidR="00721CF3" w:rsidRDefault="00063BD2">
      <w:pPr>
        <w:spacing w:after="31"/>
        <w:ind w:left="14" w:right="14"/>
      </w:pPr>
      <w:r>
        <w:t>Для работы детей с ЭСО индивидуального использования, в том числе для дистанционного обучения, выполнения домашних заданий, не рекомендуется использовать мониторы на основе эле</w:t>
      </w:r>
      <w:r>
        <w:t xml:space="preserve">ктронно-лучевых трубок. В образовательной организации данные типы мониторов не используются </w:t>
      </w:r>
      <w:r>
        <w:rPr>
          <w:vertAlign w:val="superscript"/>
        </w:rPr>
        <w:t>16</w:t>
      </w:r>
      <w:r>
        <w:rPr>
          <w:noProof/>
        </w:rPr>
        <w:drawing>
          <wp:inline distT="0" distB="0" distL="0" distR="0">
            <wp:extent cx="21338" cy="30483"/>
            <wp:effectExtent l="0" t="0" r="0" b="0"/>
            <wp:docPr id="12328" name="Picture 12328"/>
            <wp:cNvGraphicFramePr/>
            <a:graphic xmlns:a="http://schemas.openxmlformats.org/drawingml/2006/main">
              <a:graphicData uri="http://schemas.openxmlformats.org/drawingml/2006/picture">
                <pic:pic xmlns:pic="http://schemas.openxmlformats.org/drawingml/2006/picture">
                  <pic:nvPicPr>
                    <pic:cNvPr id="12328" name="Picture 12328"/>
                    <pic:cNvPicPr/>
                  </pic:nvPicPr>
                  <pic:blipFill>
                    <a:blip r:embed="rId77"/>
                    <a:stretch>
                      <a:fillRect/>
                    </a:stretch>
                  </pic:blipFill>
                  <pic:spPr>
                    <a:xfrm>
                      <a:off x="0" y="0"/>
                      <a:ext cx="21338" cy="30483"/>
                    </a:xfrm>
                    <a:prstGeom prst="rect">
                      <a:avLst/>
                    </a:prstGeom>
                  </pic:spPr>
                </pic:pic>
              </a:graphicData>
            </a:graphic>
          </wp:inline>
        </w:drawing>
      </w:r>
    </w:p>
    <w:p w:rsidR="00721CF3" w:rsidRDefault="00063BD2">
      <w:pPr>
        <w:spacing w:after="30"/>
        <w:ind w:left="14" w:right="14"/>
      </w:pPr>
      <w:r>
        <w:t>Для рациональной организации рабочего места рекомендуется использовать беспроводные клавиатуру и мышь.</w:t>
      </w:r>
    </w:p>
    <w:p w:rsidR="00721CF3" w:rsidRDefault="00063BD2">
      <w:pPr>
        <w:spacing w:after="57" w:line="264" w:lineRule="auto"/>
        <w:ind w:left="10" w:right="19" w:hanging="10"/>
        <w:jc w:val="right"/>
      </w:pPr>
      <w:r>
        <w:t xml:space="preserve">2.11. Оконные проемы в помещениях, где используются ЭСО, </w:t>
      </w:r>
      <w:r>
        <w:t>оборудуется</w:t>
      </w:r>
    </w:p>
    <w:p w:rsidR="00721CF3" w:rsidRDefault="00063BD2">
      <w:pPr>
        <w:spacing w:after="125" w:line="259" w:lineRule="auto"/>
        <w:ind w:left="29" w:right="0" w:firstLine="0"/>
        <w:jc w:val="left"/>
      </w:pPr>
      <w:r>
        <w:rPr>
          <w:noProof/>
          <w:sz w:val="22"/>
        </w:rPr>
        <mc:AlternateContent>
          <mc:Choice Requires="wpg">
            <w:drawing>
              <wp:inline distT="0" distB="0" distL="0" distR="0">
                <wp:extent cx="1825997" cy="15241"/>
                <wp:effectExtent l="0" t="0" r="0" b="0"/>
                <wp:docPr id="94095" name="Group 94095"/>
                <wp:cNvGraphicFramePr/>
                <a:graphic xmlns:a="http://schemas.openxmlformats.org/drawingml/2006/main">
                  <a:graphicData uri="http://schemas.microsoft.com/office/word/2010/wordprocessingGroup">
                    <wpg:wgp>
                      <wpg:cNvGrpSpPr/>
                      <wpg:grpSpPr>
                        <a:xfrm>
                          <a:off x="0" y="0"/>
                          <a:ext cx="1825997" cy="15241"/>
                          <a:chOff x="0" y="0"/>
                          <a:chExt cx="1825997" cy="15241"/>
                        </a:xfrm>
                      </wpg:grpSpPr>
                      <wps:wsp>
                        <wps:cNvPr id="94094" name="Shape 94094"/>
                        <wps:cNvSpPr/>
                        <wps:spPr>
                          <a:xfrm>
                            <a:off x="0" y="0"/>
                            <a:ext cx="1825997" cy="15241"/>
                          </a:xfrm>
                          <a:custGeom>
                            <a:avLst/>
                            <a:gdLst/>
                            <a:ahLst/>
                            <a:cxnLst/>
                            <a:rect l="0" t="0" r="0" b="0"/>
                            <a:pathLst>
                              <a:path w="1825997" h="15241">
                                <a:moveTo>
                                  <a:pt x="0" y="7620"/>
                                </a:moveTo>
                                <a:lnTo>
                                  <a:pt x="1825997" y="7620"/>
                                </a:lnTo>
                              </a:path>
                            </a:pathLst>
                          </a:custGeom>
                          <a:ln w="15241"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94095" style="width:143.779pt;height:1.20007pt;mso-position-horizontal-relative:char;mso-position-vertical-relative:line" coordsize="18259,152">
                <v:shape id="Shape 94094" style="position:absolute;width:18259;height:152;left:0;top:0;" coordsize="1825997,15241" path="m0,7620l1825997,7620">
                  <v:stroke weight="1.20007pt" endcap="flat" joinstyle="miter" miterlimit="1" on="true" color="#000000"/>
                  <v:fill on="false" color="#000000"/>
                </v:shape>
              </v:group>
            </w:pict>
          </mc:Fallback>
        </mc:AlternateContent>
      </w:r>
    </w:p>
    <w:p w:rsidR="00721CF3" w:rsidRDefault="00063BD2">
      <w:pPr>
        <w:spacing w:after="11" w:line="251" w:lineRule="auto"/>
        <w:ind w:left="25" w:right="5180" w:hanging="5"/>
      </w:pPr>
      <w:r>
        <w:rPr>
          <w:sz w:val="24"/>
          <w:vertAlign w:val="superscript"/>
        </w:rPr>
        <w:t xml:space="preserve">ll </w:t>
      </w:r>
      <w:r>
        <w:rPr>
          <w:sz w:val="24"/>
        </w:rPr>
        <w:t xml:space="preserve">Таблица 6.2 главы VI СанПиН 1.23685-21. </w:t>
      </w:r>
      <w:r>
        <w:rPr>
          <w:sz w:val="24"/>
          <w:vertAlign w:val="superscript"/>
        </w:rPr>
        <w:t xml:space="preserve">12 </w:t>
      </w:r>
      <w:r>
        <w:rPr>
          <w:sz w:val="24"/>
        </w:rPr>
        <w:t>Таблица 6.3 главы VI СанПиН 1.23685-21.</w:t>
      </w:r>
    </w:p>
    <w:p w:rsidR="00721CF3" w:rsidRDefault="00063BD2">
      <w:pPr>
        <w:numPr>
          <w:ilvl w:val="0"/>
          <w:numId w:val="5"/>
        </w:numPr>
        <w:spacing w:line="259" w:lineRule="auto"/>
        <w:ind w:right="14" w:hanging="202"/>
      </w:pPr>
      <w:r>
        <w:rPr>
          <w:sz w:val="26"/>
        </w:rPr>
        <w:t>пункт 3.5.3 главы Ш СП 2.43648-20.</w:t>
      </w:r>
    </w:p>
    <w:p w:rsidR="00721CF3" w:rsidRDefault="00063BD2">
      <w:pPr>
        <w:numPr>
          <w:ilvl w:val="0"/>
          <w:numId w:val="5"/>
        </w:numPr>
        <w:spacing w:after="11" w:line="251" w:lineRule="auto"/>
        <w:ind w:right="14" w:hanging="202"/>
      </w:pPr>
      <w:r>
        <w:rPr>
          <w:sz w:val="24"/>
        </w:rPr>
        <w:t>Статья 43 Федерального закона от 29.12.2012 № 273-ФЗ.</w:t>
      </w:r>
    </w:p>
    <w:p w:rsidR="00721CF3" w:rsidRDefault="00063BD2">
      <w:pPr>
        <w:numPr>
          <w:ilvl w:val="0"/>
          <w:numId w:val="5"/>
        </w:numPr>
        <w:spacing w:after="11" w:line="251" w:lineRule="auto"/>
        <w:ind w:right="14" w:hanging="202"/>
      </w:pPr>
      <w:r>
        <w:rPr>
          <w:noProof/>
        </w:rPr>
        <w:drawing>
          <wp:anchor distT="0" distB="0" distL="114300" distR="114300" simplePos="0" relativeHeight="251659264" behindDoc="0" locked="0" layoutInCell="1" allowOverlap="0">
            <wp:simplePos x="0" y="0"/>
            <wp:positionH relativeFrom="column">
              <wp:posOffset>39629</wp:posOffset>
            </wp:positionH>
            <wp:positionV relativeFrom="paragraph">
              <wp:posOffset>174732</wp:posOffset>
            </wp:positionV>
            <wp:extent cx="24387" cy="79256"/>
            <wp:effectExtent l="0" t="0" r="0" b="0"/>
            <wp:wrapSquare wrapText="bothSides"/>
            <wp:docPr id="12329" name="Picture 12329"/>
            <wp:cNvGraphicFramePr/>
            <a:graphic xmlns:a="http://schemas.openxmlformats.org/drawingml/2006/main">
              <a:graphicData uri="http://schemas.openxmlformats.org/drawingml/2006/picture">
                <pic:pic xmlns:pic="http://schemas.openxmlformats.org/drawingml/2006/picture">
                  <pic:nvPicPr>
                    <pic:cNvPr id="12329" name="Picture 12329"/>
                    <pic:cNvPicPr/>
                  </pic:nvPicPr>
                  <pic:blipFill>
                    <a:blip r:embed="rId78"/>
                    <a:stretch>
                      <a:fillRect/>
                    </a:stretch>
                  </pic:blipFill>
                  <pic:spPr>
                    <a:xfrm>
                      <a:off x="0" y="0"/>
                      <a:ext cx="24387" cy="79256"/>
                    </a:xfrm>
                    <a:prstGeom prst="rect">
                      <a:avLst/>
                    </a:prstGeom>
                  </pic:spPr>
                </pic:pic>
              </a:graphicData>
            </a:graphic>
          </wp:anchor>
        </w:drawing>
      </w:r>
      <w:r>
        <w:rPr>
          <w:sz w:val="24"/>
        </w:rPr>
        <w:t>Пункт 3.5.4 главы III СП 2.4.3648-20; пункт 189 главы VI СанПиН 1.23685-21. пункт 3.5.1 главы Ш СП 2.4.3648-20.</w:t>
      </w:r>
    </w:p>
    <w:p w:rsidR="00721CF3" w:rsidRDefault="00063BD2">
      <w:pPr>
        <w:spacing w:line="257" w:lineRule="auto"/>
        <w:ind w:left="-1" w:right="4" w:firstLine="0"/>
        <w:jc w:val="left"/>
      </w:pPr>
      <w:r>
        <w:t>светорегулируемыми</w:t>
      </w:r>
      <w:r>
        <w:tab/>
        <w:t>устройствами</w:t>
      </w:r>
      <w:r>
        <w:tab/>
        <w:t>в</w:t>
      </w:r>
      <w:r>
        <w:tab/>
        <w:t>соответствии</w:t>
      </w:r>
      <w:r>
        <w:tab/>
        <w:t>с</w:t>
      </w:r>
      <w:r>
        <w:tab/>
        <w:t xml:space="preserve">санитарноэпидемиологическими требованиями] </w:t>
      </w:r>
      <w:r>
        <w:rPr>
          <w:vertAlign w:val="superscript"/>
        </w:rPr>
        <w:t xml:space="preserve">7 </w:t>
      </w:r>
      <w:r>
        <w:t>. При использовании ИД (ШТ) ближайший от них оконн</w:t>
      </w:r>
      <w:r>
        <w:t>ый проем рекомендуется закрывать.</w:t>
      </w:r>
    </w:p>
    <w:p w:rsidR="00721CF3" w:rsidRDefault="00063BD2">
      <w:pPr>
        <w:numPr>
          <w:ilvl w:val="1"/>
          <w:numId w:val="6"/>
        </w:numPr>
        <w:ind w:right="14"/>
      </w:pPr>
      <w:r>
        <w:t xml:space="preserve">В случае использования ноутбуков и (или) планшетов, в том числе тележки-хранилища для ноутбуков / планшетных компьютеров с системой подзарядки </w:t>
      </w:r>
      <w:r>
        <w:rPr>
          <w:vertAlign w:val="superscript"/>
        </w:rPr>
        <w:t xml:space="preserve">18 </w:t>
      </w:r>
      <w:r>
        <w:t xml:space="preserve">, рекомендуется заряжать ЭСО при отсутствии в помещении детей во внеучебное </w:t>
      </w:r>
      <w:r>
        <w:t>время.</w:t>
      </w:r>
    </w:p>
    <w:p w:rsidR="00721CF3" w:rsidRDefault="00063BD2">
      <w:pPr>
        <w:numPr>
          <w:ilvl w:val="1"/>
          <w:numId w:val="6"/>
        </w:numPr>
        <w:ind w:right="14"/>
      </w:pPr>
      <w:r>
        <w:t>При размещении рабочих мест, оборудованных ГК, рекомендуется учитывать расположение световых проемов и удаленность от элементов систем электроснабжения. Возможные варианты размещения рабочих мест в учебных помещениях представлены в приложении 2 к на</w:t>
      </w:r>
      <w:r>
        <w:t>стоящим МР.</w:t>
      </w:r>
    </w:p>
    <w:p w:rsidR="00721CF3" w:rsidRDefault="00063BD2">
      <w:pPr>
        <w:numPr>
          <w:ilvl w:val="1"/>
          <w:numId w:val="6"/>
        </w:numPr>
        <w:ind w:right="14"/>
      </w:pPr>
      <w:r>
        <w:t>Для оборудования рабочего места обучающегося при работе с ЭСО индивидуального использования рекомендуется использовать стол с глубиной столешницы не менее 75 см, что позволит размещать на ней ЭСО, учебные принадлежности, перемещать их (например</w:t>
      </w:r>
      <w:r>
        <w:t>, при работе с учебником или тетрадью переместить их в основную рабочую зону, а клавиатуру переместить в дополнительную рабочую зону и наоборот).</w:t>
      </w:r>
    </w:p>
    <w:p w:rsidR="00721CF3" w:rsidRDefault="00063BD2">
      <w:pPr>
        <w:ind w:left="14" w:right="14"/>
      </w:pPr>
      <w:r>
        <w:t>Функциональные размеры мебели в образовательной организации определены санитарно-эпидемиологическими требовани</w:t>
      </w:r>
      <w:r>
        <w:t xml:space="preserve">ями </w:t>
      </w:r>
      <w:r>
        <w:rPr>
          <w:vertAlign w:val="superscript"/>
        </w:rPr>
        <w:footnoteReference w:id="3"/>
      </w:r>
      <w:r>
        <w:rPr>
          <w:vertAlign w:val="superscript"/>
        </w:rPr>
        <w:t xml:space="preserve"> </w:t>
      </w:r>
      <w:r>
        <w:t>Правильно подобранный с учетом роста обучающегося стул (кресло) обеспечивает следующие условия:</w:t>
      </w:r>
    </w:p>
    <w:p w:rsidR="00721CF3" w:rsidRDefault="00063BD2">
      <w:pPr>
        <w:ind w:left="725" w:right="14" w:firstLine="0"/>
      </w:pPr>
      <w:r>
        <w:t>— ноги свободно размещаются под столом;</w:t>
      </w:r>
    </w:p>
    <w:p w:rsidR="00721CF3" w:rsidRDefault="00063BD2">
      <w:pPr>
        <w:ind w:left="720" w:right="1407" w:firstLine="5"/>
      </w:pPr>
      <w:r>
        <w:t xml:space="preserve">— стопы имеют опору на полу или на подставке для ног; </w:t>
      </w:r>
      <w:r>
        <w:rPr>
          <w:noProof/>
        </w:rPr>
        <w:drawing>
          <wp:inline distT="0" distB="0" distL="0" distR="0">
            <wp:extent cx="100597" cy="18290"/>
            <wp:effectExtent l="0" t="0" r="0" b="0"/>
            <wp:docPr id="14685" name="Picture 14685"/>
            <wp:cNvGraphicFramePr/>
            <a:graphic xmlns:a="http://schemas.openxmlformats.org/drawingml/2006/main">
              <a:graphicData uri="http://schemas.openxmlformats.org/drawingml/2006/picture">
                <pic:pic xmlns:pic="http://schemas.openxmlformats.org/drawingml/2006/picture">
                  <pic:nvPicPr>
                    <pic:cNvPr id="14685" name="Picture 14685"/>
                    <pic:cNvPicPr/>
                  </pic:nvPicPr>
                  <pic:blipFill>
                    <a:blip r:embed="rId79"/>
                    <a:stretch>
                      <a:fillRect/>
                    </a:stretch>
                  </pic:blipFill>
                  <pic:spPr>
                    <a:xfrm>
                      <a:off x="0" y="0"/>
                      <a:ext cx="100597" cy="18290"/>
                    </a:xfrm>
                    <a:prstGeom prst="rect">
                      <a:avLst/>
                    </a:prstGeom>
                  </pic:spPr>
                </pic:pic>
              </a:graphicData>
            </a:graphic>
          </wp:inline>
        </w:drawing>
      </w:r>
      <w:r>
        <w:t>коленные суставы согнуты под углом не менее 90</w:t>
      </w:r>
      <w:r>
        <w:rPr>
          <w:vertAlign w:val="superscript"/>
        </w:rPr>
        <w:t xml:space="preserve">0 </w:t>
      </w:r>
      <w:r>
        <w:t>,</w:t>
      </w:r>
    </w:p>
    <w:p w:rsidR="00721CF3" w:rsidRDefault="00063BD2">
      <w:pPr>
        <w:ind w:left="14" w:right="14"/>
      </w:pPr>
      <w:r>
        <w:t>Рекоменду</w:t>
      </w:r>
      <w:r>
        <w:t>ется использовать стул (кресло), спинка которого имеет поясничный упор.</w:t>
      </w:r>
    </w:p>
    <w:p w:rsidR="00721CF3" w:rsidRDefault="00063BD2">
      <w:pPr>
        <w:ind w:left="14" w:right="14"/>
      </w:pPr>
      <w:r>
        <w:t>При использовании клавиатуры и мыши локти обучающегося размещаются на столе полностью, кисти рук на клавиатуре или мыши находятся в положении, близком к горизонтальному или немного ниж</w:t>
      </w:r>
      <w:r>
        <w:t>е горизонтали. Использование «ножек» на клавиатуре для увеличения угла наклона не рекомендуется. При подкладывании валиков под запястье обучающегося — их размещают ближе к клавиатуре. При использовании подлокотников рекомендуется регулировать их высоту так</w:t>
      </w:r>
      <w:r>
        <w:t>, чтобы они размещались на одном уровне со столешницей и не мешали движениям рук,</w:t>
      </w:r>
    </w:p>
    <w:p w:rsidR="00721CF3" w:rsidRDefault="00063BD2">
      <w:pPr>
        <w:spacing w:after="378" w:line="264" w:lineRule="auto"/>
        <w:ind w:left="10" w:right="19" w:hanging="10"/>
        <w:jc w:val="right"/>
      </w:pPr>
      <w:r>
        <w:t>2.15. Оптимальная зрительная дистанция до экрана ГЖ или ноутбука</w:t>
      </w:r>
    </w:p>
    <w:p w:rsidR="00721CF3" w:rsidRDefault="00063BD2">
      <w:pPr>
        <w:spacing w:after="11" w:line="251" w:lineRule="auto"/>
        <w:ind w:left="240" w:right="14" w:hanging="5"/>
      </w:pPr>
      <w:r>
        <w:rPr>
          <w:sz w:val="24"/>
        </w:rPr>
        <w:t>пункт 3.5.5 главы Ш СП 2.4.3648-20.</w:t>
      </w:r>
    </w:p>
    <w:p w:rsidR="00721CF3" w:rsidRDefault="00063BD2">
      <w:pPr>
        <w:spacing w:after="67" w:line="251" w:lineRule="auto"/>
        <w:ind w:left="25" w:right="14" w:hanging="5"/>
      </w:pPr>
      <w:r>
        <w:rPr>
          <w:sz w:val="24"/>
        </w:rPr>
        <w:t>18 Приказ Минпросвещения России/Минцифры России № 634/925 от 08.09.2021</w:t>
      </w:r>
    </w:p>
    <w:p w:rsidR="00721CF3" w:rsidRDefault="00063BD2">
      <w:pPr>
        <w:spacing w:after="11" w:line="251" w:lineRule="auto"/>
        <w:ind w:left="25" w:right="14" w:hanging="5"/>
      </w:pPr>
      <w:r>
        <w:rPr>
          <w:sz w:val="24"/>
        </w:rPr>
        <w:t>«Об утверждении стандарта оснащения государственных и муниципальных общеобразовательных организаций, осуществляющих образовательную деятельность в субъектах российской федерации, на территории которых проводится эксперимент по внедрению цифровой образовате</w:t>
      </w:r>
      <w:r>
        <w:rPr>
          <w:sz w:val="24"/>
        </w:rPr>
        <w:t>льной среды, компьютерным, мультимедийным, презентационным оборудованием и программным обеспечением» (зарегистрирован Минюстом России 16.12.2021 , регистрационный № 66360).</w:t>
      </w:r>
    </w:p>
    <w:p w:rsidR="00721CF3" w:rsidRDefault="00721CF3">
      <w:pPr>
        <w:sectPr w:rsidR="00721CF3">
          <w:headerReference w:type="even" r:id="rId80"/>
          <w:headerReference w:type="default" r:id="rId81"/>
          <w:footerReference w:type="even" r:id="rId82"/>
          <w:footerReference w:type="default" r:id="rId83"/>
          <w:headerReference w:type="first" r:id="rId84"/>
          <w:footerReference w:type="first" r:id="rId85"/>
          <w:pgSz w:w="11920" w:h="16840"/>
          <w:pgMar w:top="1289" w:right="903" w:bottom="736" w:left="1080" w:header="684" w:footer="720" w:gutter="0"/>
          <w:cols w:space="720"/>
        </w:sectPr>
      </w:pPr>
    </w:p>
    <w:p w:rsidR="00721CF3" w:rsidRDefault="00063BD2">
      <w:pPr>
        <w:ind w:left="14" w:right="14" w:firstLine="10"/>
      </w:pPr>
      <w:r>
        <w:t xml:space="preserve">составляет </w:t>
      </w:r>
      <w:r>
        <w:rPr>
          <w:vertAlign w:val="superscript"/>
        </w:rPr>
        <w:footnoteReference w:id="4"/>
      </w:r>
      <w:r>
        <w:t xml:space="preserve">60-70 см, но не менее 50 см. Верхний край монитора рекомендуется размещать на уровне глаз, чтобы исключить запрокидывание или чрезмерный наклон головы. Монитор рекомендуется наклонять на 10-20 </w:t>
      </w:r>
      <w:r>
        <w:rPr>
          <w:vertAlign w:val="superscript"/>
        </w:rPr>
        <w:t xml:space="preserve">0 </w:t>
      </w:r>
      <w:r>
        <w:t>назад (в зависимости от высот</w:t>
      </w:r>
      <w:r>
        <w:t>ы монитора), чтобы обеспечить одинаковое расстояния от глаз до верхнего и нижнего края монитора.</w:t>
      </w:r>
    </w:p>
    <w:p w:rsidR="00721CF3" w:rsidRDefault="00063BD2">
      <w:pPr>
        <w:ind w:left="14" w:right="14"/>
      </w:pPr>
      <w:r>
        <w:t xml:space="preserve">Рекомендуется увеличивать размер изображения (шрифта) при необходимости обучающегося, использующего ЭСО, наклоняться к монитору, чтобы рассмотреть информацию, </w:t>
      </w:r>
      <w:r>
        <w:t>представленную на экране.</w:t>
      </w:r>
    </w:p>
    <w:p w:rsidR="00721CF3" w:rsidRDefault="00063BD2">
      <w:pPr>
        <w:ind w:left="14" w:right="14"/>
      </w:pPr>
      <w:r>
        <w:t>2.16. Суммарная продолжительность использования ИД (ИП) и непрерывная продолжительность использования ГК, ноутбука и планшета на занятиях рассчитывается в соответствии с санитарно-эпидемиологическими требованиями20</w:t>
      </w:r>
      <w:r>
        <w:rPr>
          <w:noProof/>
        </w:rPr>
        <w:drawing>
          <wp:inline distT="0" distB="0" distL="0" distR="0">
            <wp:extent cx="27436" cy="27434"/>
            <wp:effectExtent l="0" t="0" r="0" b="0"/>
            <wp:docPr id="16901" name="Picture 16901"/>
            <wp:cNvGraphicFramePr/>
            <a:graphic xmlns:a="http://schemas.openxmlformats.org/drawingml/2006/main">
              <a:graphicData uri="http://schemas.openxmlformats.org/drawingml/2006/picture">
                <pic:pic xmlns:pic="http://schemas.openxmlformats.org/drawingml/2006/picture">
                  <pic:nvPicPr>
                    <pic:cNvPr id="16901" name="Picture 16901"/>
                    <pic:cNvPicPr/>
                  </pic:nvPicPr>
                  <pic:blipFill>
                    <a:blip r:embed="rId86"/>
                    <a:stretch>
                      <a:fillRect/>
                    </a:stretch>
                  </pic:blipFill>
                  <pic:spPr>
                    <a:xfrm>
                      <a:off x="0" y="0"/>
                      <a:ext cx="27436" cy="27434"/>
                    </a:xfrm>
                    <a:prstGeom prst="rect">
                      <a:avLst/>
                    </a:prstGeom>
                  </pic:spPr>
                </pic:pic>
              </a:graphicData>
            </a:graphic>
          </wp:inline>
        </w:drawing>
      </w:r>
    </w:p>
    <w:p w:rsidR="00721CF3" w:rsidRDefault="00063BD2">
      <w:pPr>
        <w:ind w:left="14" w:right="14"/>
      </w:pPr>
      <w:r>
        <w:t>Суммарная суто</w:t>
      </w:r>
      <w:r>
        <w:t>чная продолжительность использования ЭСО включает суммарную продолжительность использования ЭСО в образовательной организации, при реализации программ дополнительного образования, при выполнении домашних заданий и досуговой деятельности. Пример определения</w:t>
      </w:r>
      <w:r>
        <w:t xml:space="preserve"> суммарной продолжительности использования ЭСО и (или) средств, оснащенных экраном, представлен в приложении З к настоящим МР.</w:t>
      </w:r>
    </w:p>
    <w:p w:rsidR="00721CF3" w:rsidRDefault="00063BD2">
      <w:pPr>
        <w:ind w:left="14" w:right="14"/>
      </w:pPr>
      <w:r>
        <w:t>При использовании двух и более ЭСО суммарное время работы рассчитывается в соответствии с санитарно-эпидемиологическими требовани</w:t>
      </w:r>
      <w:r>
        <w:t>ями</w:t>
      </w:r>
      <w:r>
        <w:rPr>
          <w:vertAlign w:val="superscript"/>
        </w:rPr>
        <w:t xml:space="preserve">21 </w:t>
      </w:r>
      <w:r>
        <w:t>. Использование на занятии в образовательной организации более двух различных ЭСО определяется в соответствии с санитарноэпидемиологическими требованиями</w:t>
      </w:r>
      <w:r>
        <w:rPr>
          <w:vertAlign w:val="superscript"/>
        </w:rPr>
        <w:footnoteReference w:id="5"/>
      </w:r>
      <w:r>
        <w:rPr>
          <w:noProof/>
        </w:rPr>
        <w:drawing>
          <wp:inline distT="0" distB="0" distL="0" distR="0">
            <wp:extent cx="24387" cy="27435"/>
            <wp:effectExtent l="0" t="0" r="0" b="0"/>
            <wp:docPr id="16902" name="Picture 16902"/>
            <wp:cNvGraphicFramePr/>
            <a:graphic xmlns:a="http://schemas.openxmlformats.org/drawingml/2006/main">
              <a:graphicData uri="http://schemas.openxmlformats.org/drawingml/2006/picture">
                <pic:pic xmlns:pic="http://schemas.openxmlformats.org/drawingml/2006/picture">
                  <pic:nvPicPr>
                    <pic:cNvPr id="16902" name="Picture 16902"/>
                    <pic:cNvPicPr/>
                  </pic:nvPicPr>
                  <pic:blipFill>
                    <a:blip r:embed="rId87"/>
                    <a:stretch>
                      <a:fillRect/>
                    </a:stretch>
                  </pic:blipFill>
                  <pic:spPr>
                    <a:xfrm>
                      <a:off x="0" y="0"/>
                      <a:ext cx="24387" cy="27435"/>
                    </a:xfrm>
                    <a:prstGeom prst="rect">
                      <a:avLst/>
                    </a:prstGeom>
                  </pic:spPr>
                </pic:pic>
              </a:graphicData>
            </a:graphic>
          </wp:inline>
        </w:drawing>
      </w:r>
    </w:p>
    <w:p w:rsidR="00721CF3" w:rsidRDefault="00063BD2">
      <w:pPr>
        <w:ind w:left="14" w:right="14"/>
      </w:pPr>
      <w:r>
        <w:t>ЭСО рекомендуется выключать или переводить монитор в режим ожидания («спящий режим»), когда их использование приостановлено или завершено, чтобы светящийся экран не находился в поле зрения обучающихся. Предпочтительным является выключение экрана,</w:t>
      </w:r>
    </w:p>
    <w:p w:rsidR="00721CF3" w:rsidRDefault="00063BD2">
      <w:pPr>
        <w:ind w:left="14" w:right="14"/>
      </w:pPr>
      <w:r>
        <w:t>2.17. Для</w:t>
      </w:r>
      <w:r>
        <w:t xml:space="preserve"> чтения обучающимся всех возрастных групп рекомендуется использовать печатные учебные, книжные и журнальные издания.</w:t>
      </w:r>
    </w:p>
    <w:p w:rsidR="00721CF3" w:rsidRDefault="00063BD2">
      <w:pPr>
        <w:ind w:left="14" w:right="14"/>
      </w:pPr>
      <w:r>
        <w:t>Шрифтовое оформление электронных учебных изданий должно соответствовать санитарно-эпидемиологическим требованиям</w:t>
      </w:r>
      <w:r>
        <w:rPr>
          <w:vertAlign w:val="superscript"/>
        </w:rPr>
        <w:footnoteReference w:id="6"/>
      </w:r>
      <w:r>
        <w:rPr>
          <w:noProof/>
        </w:rPr>
        <w:drawing>
          <wp:inline distT="0" distB="0" distL="0" distR="0">
            <wp:extent cx="21339" cy="30483"/>
            <wp:effectExtent l="0" t="0" r="0" b="0"/>
            <wp:docPr id="16903" name="Picture 16903"/>
            <wp:cNvGraphicFramePr/>
            <a:graphic xmlns:a="http://schemas.openxmlformats.org/drawingml/2006/main">
              <a:graphicData uri="http://schemas.openxmlformats.org/drawingml/2006/picture">
                <pic:pic xmlns:pic="http://schemas.openxmlformats.org/drawingml/2006/picture">
                  <pic:nvPicPr>
                    <pic:cNvPr id="16903" name="Picture 16903"/>
                    <pic:cNvPicPr/>
                  </pic:nvPicPr>
                  <pic:blipFill>
                    <a:blip r:embed="rId88"/>
                    <a:stretch>
                      <a:fillRect/>
                    </a:stretch>
                  </pic:blipFill>
                  <pic:spPr>
                    <a:xfrm>
                      <a:off x="0" y="0"/>
                      <a:ext cx="21339" cy="30483"/>
                    </a:xfrm>
                    <a:prstGeom prst="rect">
                      <a:avLst/>
                    </a:prstGeom>
                  </pic:spPr>
                </pic:pic>
              </a:graphicData>
            </a:graphic>
          </wp:inline>
        </w:drawing>
      </w:r>
    </w:p>
    <w:p w:rsidR="00721CF3" w:rsidRDefault="00063BD2">
      <w:pPr>
        <w:spacing w:after="35"/>
        <w:ind w:left="14" w:right="14"/>
      </w:pPr>
      <w:r>
        <w:t>2.18, При реализации эле</w:t>
      </w:r>
      <w:r>
        <w:t>ктронного обучения и дистанционных образовательных технологий в режим учебного дня обучающихся, в том числе во время учебных занятий, рекомендуется включать различные формы двигательной активности. Рекомендуемые формы двигательной активности представлены в</w:t>
      </w:r>
      <w:r>
        <w:t xml:space="preserve"> приложении 4 к настоящим МР.</w:t>
      </w:r>
    </w:p>
    <w:p w:rsidR="00721CF3" w:rsidRDefault="00063BD2">
      <w:pPr>
        <w:ind w:left="14" w:right="14"/>
      </w:pPr>
      <w:r>
        <w:t>В середине занятия организуется перерыв</w:t>
      </w:r>
      <w:r>
        <w:rPr>
          <w:vertAlign w:val="superscript"/>
        </w:rPr>
        <w:t xml:space="preserve">24 </w:t>
      </w:r>
      <w:r>
        <w:t>для проведения комплекса упражнений с целью профилактики зрительного утомления, повышения активности центральной нервной системы, снятия напряжения с мышц шеи и плечевого пояса, с мышц</w:t>
      </w:r>
      <w:r>
        <w:t xml:space="preserve"> туловища, для укрепления мышц и связок нижних конечностей. Комплексы упражнений проводятся в соответствии с рекомендациями, представленными в приложении 5 к настоящим МР с учетом преобладающих учебных нагрузок и состояния здоровья обучающихся. Для детей д</w:t>
      </w:r>
      <w:r>
        <w:t>ошкольного возраста комплексы упражнений проводятся в игровой форме.</w:t>
      </w:r>
    </w:p>
    <w:p w:rsidR="00721CF3" w:rsidRDefault="00063BD2">
      <w:pPr>
        <w:ind w:left="14" w:right="14"/>
      </w:pPr>
      <w:r>
        <w:t>Рекомендуемая продолжительность суточной физической активности от умеренной до высокой интенсивности составляет не менее 60 минут в день.</w:t>
      </w:r>
    </w:p>
    <w:p w:rsidR="00721CF3" w:rsidRDefault="00063BD2">
      <w:pPr>
        <w:ind w:left="14" w:right="14"/>
      </w:pPr>
      <w:r>
        <w:t>2.19. При реализации дистанционных образовательны</w:t>
      </w:r>
      <w:r>
        <w:t>х технологий в программу производственного контроля образовательной организации рекомендуется включать анализ ЭСО, используемых обучающимися в домашних условиях.</w:t>
      </w:r>
    </w:p>
    <w:p w:rsidR="00721CF3" w:rsidRDefault="00063BD2">
      <w:pPr>
        <w:ind w:left="14" w:right="14"/>
      </w:pPr>
      <w:r>
        <w:t>На каждую учебную группу (класс) рекомендуется иметь сведения об используемых обучающимися ЭСО</w:t>
      </w:r>
      <w:r>
        <w:t>, соответствующих гигиеническим требованиям</w:t>
      </w:r>
      <w:r>
        <w:rPr>
          <w:vertAlign w:val="superscript"/>
        </w:rPr>
        <w:t xml:space="preserve">и </w:t>
      </w:r>
      <w:r>
        <w:t>. Сведения о наличии у обучающихся необходимых ЭСО рекомендуется заносить в журнал на бумажном и (или) электронном носителях. Рекомендуемый образец журнала представлен в приложении 2 к настоящим МР.</w:t>
      </w:r>
    </w:p>
    <w:p w:rsidR="00721CF3" w:rsidRDefault="00063BD2">
      <w:pPr>
        <w:ind w:left="739" w:right="14" w:firstLine="0"/>
      </w:pPr>
      <w:r>
        <w:t>В случае отс</w:t>
      </w:r>
      <w:r>
        <w:t>утствия у обучающихся указанных ЭСО рекомендуется:</w:t>
      </w:r>
    </w:p>
    <w:p w:rsidR="00721CF3" w:rsidRDefault="00063BD2">
      <w:pPr>
        <w:spacing w:after="35" w:line="257" w:lineRule="auto"/>
        <w:ind w:left="-1" w:right="4" w:firstLine="720"/>
        <w:jc w:val="left"/>
      </w:pPr>
      <w:r>
        <w:t xml:space="preserve">— исключить дистанционный формат обучения; </w:t>
      </w:r>
      <w:r>
        <w:rPr>
          <w:noProof/>
        </w:rPr>
        <w:drawing>
          <wp:inline distT="0" distB="0" distL="0" distR="0">
            <wp:extent cx="97549" cy="18290"/>
            <wp:effectExtent l="0" t="0" r="0" b="0"/>
            <wp:docPr id="19102" name="Picture 19102"/>
            <wp:cNvGraphicFramePr/>
            <a:graphic xmlns:a="http://schemas.openxmlformats.org/drawingml/2006/main">
              <a:graphicData uri="http://schemas.openxmlformats.org/drawingml/2006/picture">
                <pic:pic xmlns:pic="http://schemas.openxmlformats.org/drawingml/2006/picture">
                  <pic:nvPicPr>
                    <pic:cNvPr id="19102" name="Picture 19102"/>
                    <pic:cNvPicPr/>
                  </pic:nvPicPr>
                  <pic:blipFill>
                    <a:blip r:embed="rId89"/>
                    <a:stretch>
                      <a:fillRect/>
                    </a:stretch>
                  </pic:blipFill>
                  <pic:spPr>
                    <a:xfrm>
                      <a:off x="0" y="0"/>
                      <a:ext cx="97549" cy="18290"/>
                    </a:xfrm>
                    <a:prstGeom prst="rect">
                      <a:avLst/>
                    </a:prstGeom>
                  </pic:spPr>
                </pic:pic>
              </a:graphicData>
            </a:graphic>
          </wp:inline>
        </w:drawing>
      </w:r>
      <w:r>
        <w:t xml:space="preserve"> организовать образовательный процесс с возможностью выполнять задания с использованием ЭСО в образовательной организации; </w:t>
      </w:r>
      <w:r>
        <w:rPr>
          <w:noProof/>
        </w:rPr>
        <w:drawing>
          <wp:inline distT="0" distB="0" distL="0" distR="0">
            <wp:extent cx="97549" cy="18290"/>
            <wp:effectExtent l="0" t="0" r="0" b="0"/>
            <wp:docPr id="19103" name="Picture 19103"/>
            <wp:cNvGraphicFramePr/>
            <a:graphic xmlns:a="http://schemas.openxmlformats.org/drawingml/2006/main">
              <a:graphicData uri="http://schemas.openxmlformats.org/drawingml/2006/picture">
                <pic:pic xmlns:pic="http://schemas.openxmlformats.org/drawingml/2006/picture">
                  <pic:nvPicPr>
                    <pic:cNvPr id="19103" name="Picture 19103"/>
                    <pic:cNvPicPr/>
                  </pic:nvPicPr>
                  <pic:blipFill>
                    <a:blip r:embed="rId90"/>
                    <a:stretch>
                      <a:fillRect/>
                    </a:stretch>
                  </pic:blipFill>
                  <pic:spPr>
                    <a:xfrm>
                      <a:off x="0" y="0"/>
                      <a:ext cx="97549" cy="18290"/>
                    </a:xfrm>
                    <a:prstGeom prst="rect">
                      <a:avLst/>
                    </a:prstGeom>
                  </pic:spPr>
                </pic:pic>
              </a:graphicData>
            </a:graphic>
          </wp:inline>
        </w:drawing>
      </w:r>
      <w:r>
        <w:t xml:space="preserve"> обеспечить обучающихся ЭСО, соответс</w:t>
      </w:r>
      <w:r>
        <w:t>твующими гигиеническим требованиям.</w:t>
      </w:r>
    </w:p>
    <w:p w:rsidR="00721CF3" w:rsidRDefault="00063BD2">
      <w:pPr>
        <w:ind w:left="14" w:right="14"/>
      </w:pPr>
      <w:r>
        <w:t>2.20. При необходимости перехода на смешанное или дистанционное обучение обучающихся 1-5-х классов рекомендуется переводить на дистанционный режим работы в последнюю очередь.</w:t>
      </w:r>
    </w:p>
    <w:p w:rsidR="00721CF3" w:rsidRDefault="00063BD2">
      <w:pPr>
        <w:spacing w:after="66" w:line="264" w:lineRule="auto"/>
        <w:ind w:left="10" w:right="19" w:hanging="10"/>
        <w:jc w:val="right"/>
      </w:pPr>
      <w:r>
        <w:t>2.21, Перед началом занятий и каждый час рабо</w:t>
      </w:r>
      <w:r>
        <w:t>ты учебные помещения</w:t>
      </w:r>
    </w:p>
    <w:p w:rsidR="00721CF3" w:rsidRDefault="00063BD2">
      <w:pPr>
        <w:ind w:left="14" w:right="14" w:firstLine="0"/>
      </w:pPr>
      <w:r>
        <w:t>проветриваются с учетом погодно-климатических условии026</w:t>
      </w:r>
      <w:r>
        <w:rPr>
          <w:noProof/>
        </w:rPr>
        <w:drawing>
          <wp:inline distT="0" distB="0" distL="0" distR="0">
            <wp:extent cx="27436" cy="27434"/>
            <wp:effectExtent l="0" t="0" r="0" b="0"/>
            <wp:docPr id="19118" name="Picture 19118"/>
            <wp:cNvGraphicFramePr/>
            <a:graphic xmlns:a="http://schemas.openxmlformats.org/drawingml/2006/main">
              <a:graphicData uri="http://schemas.openxmlformats.org/drawingml/2006/picture">
                <pic:pic xmlns:pic="http://schemas.openxmlformats.org/drawingml/2006/picture">
                  <pic:nvPicPr>
                    <pic:cNvPr id="19118" name="Picture 19118"/>
                    <pic:cNvPicPr/>
                  </pic:nvPicPr>
                  <pic:blipFill>
                    <a:blip r:embed="rId91"/>
                    <a:stretch>
                      <a:fillRect/>
                    </a:stretch>
                  </pic:blipFill>
                  <pic:spPr>
                    <a:xfrm>
                      <a:off x="0" y="0"/>
                      <a:ext cx="27436" cy="27434"/>
                    </a:xfrm>
                    <a:prstGeom prst="rect">
                      <a:avLst/>
                    </a:prstGeom>
                  </pic:spPr>
                </pic:pic>
              </a:graphicData>
            </a:graphic>
          </wp:inline>
        </w:drawing>
      </w:r>
    </w:p>
    <w:p w:rsidR="00721CF3" w:rsidRDefault="00063BD2">
      <w:pPr>
        <w:ind w:left="14" w:right="14"/>
      </w:pPr>
      <w:r>
        <w:t>2.22. Обработка (очистка) электронного оборудования, в том числе сенсорного экрана, клавиатуры, компьютерной мыши проводится в соответствии с рекомендациями производителя. Перед</w:t>
      </w:r>
      <w:r>
        <w:t xml:space="preserve"> проведением обработки рекомендуется выключать ЭСО.</w:t>
      </w:r>
    </w:p>
    <w:p w:rsidR="00721CF3" w:rsidRDefault="00063BD2">
      <w:pPr>
        <w:ind w:left="14" w:right="14"/>
      </w:pPr>
      <w:r>
        <w:t>2.23. В процессе занятий рекомендуется формировать у обучающихся навыки безвредного для здоровья использования ЭСО (продолжительность занятий с ЭСО, рациональная организация рабочего места, достаточная ос</w:t>
      </w:r>
      <w:r>
        <w:t>вещенность, проведение гимнастики для глаз и физкультурных минуток (далее ФМ) во время занятий с ЭСО)</w:t>
      </w:r>
      <w:r>
        <w:rPr>
          <w:vertAlign w:val="superscript"/>
        </w:rPr>
        <w:t>27</w:t>
      </w:r>
      <w:r>
        <w:rPr>
          <w:noProof/>
        </w:rPr>
        <w:drawing>
          <wp:inline distT="0" distB="0" distL="0" distR="0">
            <wp:extent cx="21339" cy="27434"/>
            <wp:effectExtent l="0" t="0" r="0" b="0"/>
            <wp:docPr id="19119" name="Picture 19119"/>
            <wp:cNvGraphicFramePr/>
            <a:graphic xmlns:a="http://schemas.openxmlformats.org/drawingml/2006/main">
              <a:graphicData uri="http://schemas.openxmlformats.org/drawingml/2006/picture">
                <pic:pic xmlns:pic="http://schemas.openxmlformats.org/drawingml/2006/picture">
                  <pic:nvPicPr>
                    <pic:cNvPr id="19119" name="Picture 19119"/>
                    <pic:cNvPicPr/>
                  </pic:nvPicPr>
                  <pic:blipFill>
                    <a:blip r:embed="rId92"/>
                    <a:stretch>
                      <a:fillRect/>
                    </a:stretch>
                  </pic:blipFill>
                  <pic:spPr>
                    <a:xfrm>
                      <a:off x="0" y="0"/>
                      <a:ext cx="21339" cy="27434"/>
                    </a:xfrm>
                    <a:prstGeom prst="rect">
                      <a:avLst/>
                    </a:prstGeom>
                  </pic:spPr>
                </pic:pic>
              </a:graphicData>
            </a:graphic>
          </wp:inline>
        </w:drawing>
      </w:r>
    </w:p>
    <w:p w:rsidR="00721CF3" w:rsidRDefault="00063BD2">
      <w:pPr>
        <w:spacing w:after="239"/>
        <w:ind w:left="14" w:right="14"/>
      </w:pPr>
      <w:r>
        <w:t>2.25. Для оптимальной организации деятельности обучающегося в домашних условиях (с учетом дневного суммарного времени использования ЭСО)</w:t>
      </w:r>
    </w:p>
    <w:p w:rsidR="00721CF3" w:rsidRDefault="00063BD2">
      <w:pPr>
        <w:spacing w:after="131" w:line="259" w:lineRule="auto"/>
        <w:ind w:left="5" w:right="0" w:firstLine="0"/>
        <w:jc w:val="left"/>
      </w:pPr>
      <w:r>
        <w:rPr>
          <w:noProof/>
          <w:sz w:val="22"/>
        </w:rPr>
        <mc:AlternateContent>
          <mc:Choice Requires="wpg">
            <w:drawing>
              <wp:inline distT="0" distB="0" distL="0" distR="0">
                <wp:extent cx="1825997" cy="15242"/>
                <wp:effectExtent l="0" t="0" r="0" b="0"/>
                <wp:docPr id="94099" name="Group 94099"/>
                <wp:cNvGraphicFramePr/>
                <a:graphic xmlns:a="http://schemas.openxmlformats.org/drawingml/2006/main">
                  <a:graphicData uri="http://schemas.microsoft.com/office/word/2010/wordprocessingGroup">
                    <wpg:wgp>
                      <wpg:cNvGrpSpPr/>
                      <wpg:grpSpPr>
                        <a:xfrm>
                          <a:off x="0" y="0"/>
                          <a:ext cx="1825997" cy="15242"/>
                          <a:chOff x="0" y="0"/>
                          <a:chExt cx="1825997" cy="15242"/>
                        </a:xfrm>
                      </wpg:grpSpPr>
                      <wps:wsp>
                        <wps:cNvPr id="94098" name="Shape 94098"/>
                        <wps:cNvSpPr/>
                        <wps:spPr>
                          <a:xfrm>
                            <a:off x="0" y="0"/>
                            <a:ext cx="1825997" cy="15242"/>
                          </a:xfrm>
                          <a:custGeom>
                            <a:avLst/>
                            <a:gdLst/>
                            <a:ahLst/>
                            <a:cxnLst/>
                            <a:rect l="0" t="0" r="0" b="0"/>
                            <a:pathLst>
                              <a:path w="1825997" h="15242">
                                <a:moveTo>
                                  <a:pt x="0" y="7620"/>
                                </a:moveTo>
                                <a:lnTo>
                                  <a:pt x="1825997" y="7620"/>
                                </a:lnTo>
                              </a:path>
                            </a:pathLst>
                          </a:custGeom>
                          <a:ln w="15242"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94099" style="width:143.779pt;height:1.20013pt;mso-position-horizontal-relative:char;mso-position-vertical-relative:line" coordsize="18259,152">
                <v:shape id="Shape 94098" style="position:absolute;width:18259;height:152;left:0;top:0;" coordsize="1825997,15242" path="m0,7620l1825997,7620">
                  <v:stroke weight="1.20013pt" endcap="flat" joinstyle="miter" miterlimit="1" on="true" color="#000000"/>
                  <v:fill on="false" color="#000000"/>
                </v:shape>
              </v:group>
            </w:pict>
          </mc:Fallback>
        </mc:AlternateContent>
      </w:r>
    </w:p>
    <w:p w:rsidR="00721CF3" w:rsidRDefault="00063BD2">
      <w:pPr>
        <w:numPr>
          <w:ilvl w:val="0"/>
          <w:numId w:val="7"/>
        </w:numPr>
        <w:spacing w:after="11" w:line="251" w:lineRule="auto"/>
        <w:ind w:right="14" w:hanging="230"/>
      </w:pPr>
      <w:r>
        <w:rPr>
          <w:sz w:val="24"/>
        </w:rPr>
        <w:t>Таблица 6.3, пункт 189 главы Vl СанПиН 12,3685-21; пункт 3.5.4 главы III СП 2,43648-20.</w:t>
      </w:r>
    </w:p>
    <w:p w:rsidR="00721CF3" w:rsidRDefault="00063BD2">
      <w:pPr>
        <w:numPr>
          <w:ilvl w:val="0"/>
          <w:numId w:val="7"/>
        </w:numPr>
        <w:spacing w:after="11" w:line="251" w:lineRule="auto"/>
        <w:ind w:right="14" w:hanging="230"/>
      </w:pPr>
      <w:r>
        <w:rPr>
          <w:sz w:val="24"/>
        </w:rPr>
        <w:t>Таблица 6, 12 главы VI СанПиН 12.3685-21.</w:t>
      </w:r>
    </w:p>
    <w:p w:rsidR="00721CF3" w:rsidRDefault="00063BD2">
      <w:pPr>
        <w:numPr>
          <w:ilvl w:val="0"/>
          <w:numId w:val="7"/>
        </w:numPr>
        <w:spacing w:after="11" w:line="251" w:lineRule="auto"/>
        <w:ind w:right="14" w:hanging="230"/>
      </w:pPr>
      <w:r>
        <w:rPr>
          <w:sz w:val="24"/>
        </w:rPr>
        <w:t xml:space="preserve">Пункты 2.102, 2.10.3 главы Ш СП </w:t>
      </w:r>
    </w:p>
    <w:p w:rsidR="00721CF3" w:rsidRDefault="00063BD2">
      <w:pPr>
        <w:ind w:left="19" w:right="14" w:hanging="5"/>
      </w:pPr>
      <w:r>
        <w:t>рекомендуется размещать на информационных ресурсах образовательной организации (портале, сайт</w:t>
      </w:r>
      <w:r>
        <w:t>е) данные об объеме образовательной нагрузки с использованием ЭСО для каждой учебной группы (класса).</w:t>
      </w:r>
    </w:p>
    <w:p w:rsidR="00721CF3" w:rsidRDefault="00063BD2">
      <w:pPr>
        <w:numPr>
          <w:ilvl w:val="1"/>
          <w:numId w:val="8"/>
        </w:numPr>
        <w:ind w:right="14"/>
      </w:pPr>
      <w:r>
        <w:t>Информацию о способах профилактики нарушений здоровья обучающихся при реализации дистанционных образовательных технологий, необходимости своевременного пр</w:t>
      </w:r>
      <w:r>
        <w:t>охождения периодических медицинских осмотров детей (включая осмотр окулиста) рекомендуется доводить до сведения обучающихся и их родителей (законных представителей) и размещать на сайте образовательной организации.</w:t>
      </w:r>
    </w:p>
    <w:p w:rsidR="00721CF3" w:rsidRDefault="00063BD2">
      <w:pPr>
        <w:numPr>
          <w:ilvl w:val="1"/>
          <w:numId w:val="8"/>
        </w:numPr>
        <w:spacing w:after="335"/>
        <w:ind w:right="14"/>
      </w:pPr>
      <w:r>
        <w:t>В образовательной организации рекомендует</w:t>
      </w:r>
      <w:r>
        <w:t>ся назначать ответственное лицо, контролирующее выполнение санитарно-эпидемиологических требований безопасности ЦОС для здоровья обучающихся</w:t>
      </w:r>
      <w:r>
        <w:rPr>
          <w:vertAlign w:val="superscript"/>
        </w:rPr>
        <w:footnoteReference w:id="7"/>
      </w:r>
      <w:r>
        <w:rPr>
          <w:vertAlign w:val="superscript"/>
        </w:rPr>
        <w:t xml:space="preserve"> </w:t>
      </w:r>
      <w:r>
        <w:t>в том числе параметров среды</w:t>
      </w:r>
      <w:r>
        <w:rPr>
          <w:vertAlign w:val="superscript"/>
        </w:rPr>
        <w:footnoteReference w:id="8"/>
      </w:r>
      <w:r>
        <w:rPr>
          <w:vertAlign w:val="superscript"/>
        </w:rPr>
        <w:t xml:space="preserve"> </w:t>
      </w:r>
      <w:r>
        <w:t>(микроклимата, освещенности, шума, электромагнитного излучения, концентрации загрязн</w:t>
      </w:r>
      <w:r>
        <w:t>яющих веществ в воздухе помещений, положительных и отрицательных аэроионов, микробиологических показателей).</w:t>
      </w:r>
    </w:p>
    <w:p w:rsidR="00721CF3" w:rsidRDefault="00063BD2">
      <w:pPr>
        <w:spacing w:after="289" w:line="265" w:lineRule="auto"/>
        <w:ind w:left="973" w:right="1001" w:hanging="10"/>
        <w:jc w:val="center"/>
      </w:pPr>
      <w:r>
        <w:rPr>
          <w:sz w:val="30"/>
        </w:rPr>
        <w:t>Ш. Рекомендации по организации занятий у обучающихся при реализации дистанционных образовательных технологий в домашних условиях</w:t>
      </w:r>
    </w:p>
    <w:p w:rsidR="00721CF3" w:rsidRDefault="00063BD2">
      <w:pPr>
        <w:numPr>
          <w:ilvl w:val="1"/>
          <w:numId w:val="9"/>
        </w:numPr>
        <w:ind w:right="14"/>
      </w:pPr>
      <w:r>
        <w:t>При реализации дистанционных образовательных технологий в домашних условиях рекомендуется руководствоваться положениями, включенными в главу П.</w:t>
      </w:r>
    </w:p>
    <w:p w:rsidR="00721CF3" w:rsidRDefault="00063BD2">
      <w:pPr>
        <w:numPr>
          <w:ilvl w:val="1"/>
          <w:numId w:val="9"/>
        </w:numPr>
        <w:ind w:right="14"/>
      </w:pPr>
      <w:r>
        <w:t>Рабочее место обучающегося рекомендуется размещать таким образом, чтобы:</w:t>
      </w:r>
    </w:p>
    <w:p w:rsidR="00721CF3" w:rsidRDefault="00063BD2">
      <w:pPr>
        <w:ind w:left="720" w:right="1205" w:firstLine="0"/>
      </w:pPr>
      <w:r>
        <w:t xml:space="preserve">— естественный свет падал слева, а для </w:t>
      </w:r>
      <w:r>
        <w:t>леворуких детей — справа; — обучающийся не сидел лицом или спиной к оконному проему.</w:t>
      </w:r>
    </w:p>
    <w:p w:rsidR="00721CF3" w:rsidRDefault="00063BD2">
      <w:pPr>
        <w:ind w:left="14" w:right="14"/>
      </w:pPr>
      <w:r>
        <w:t>Рабочее место рекомендуется обеспечивать местным источником света, который располагают слева, для леворуких детей — справа.</w:t>
      </w:r>
    </w:p>
    <w:p w:rsidR="00721CF3" w:rsidRDefault="00063BD2">
      <w:pPr>
        <w:ind w:left="14" w:right="14"/>
      </w:pPr>
      <w:r>
        <w:t>Рекомендуется использовать освещение, не создаю</w:t>
      </w:r>
      <w:r>
        <w:t>щее слепящий эффект и блики на поверхности экрана и клавиатуры.</w:t>
      </w:r>
    </w:p>
    <w:p w:rsidR="00721CF3" w:rsidRDefault="00063BD2">
      <w:pPr>
        <w:numPr>
          <w:ilvl w:val="1"/>
          <w:numId w:val="9"/>
        </w:numPr>
        <w:ind w:right="14"/>
      </w:pPr>
      <w:r>
        <w:t>Мебель для рабочего места обучающегося рекомендуется подбирать таким образом, чтобы она обеспечивала правильное положение тела при работе, исключая сдавливание туловища или конечностей, необхо</w:t>
      </w:r>
      <w:r>
        <w:t>димость тянуться к экрану монитора, запрокидывать голову. Для этого рекомендуется использовать столы с регулируемой по высоте столешницей.</w:t>
      </w:r>
    </w:p>
    <w:p w:rsidR="00721CF3" w:rsidRDefault="00063BD2">
      <w:pPr>
        <w:ind w:left="14" w:right="14"/>
      </w:pPr>
      <w:r>
        <w:t>Не рекомендуется работать с ноутбуком или планшетом на коленях, в руках или лежа.</w:t>
      </w:r>
    </w:p>
    <w:p w:rsidR="00721CF3" w:rsidRDefault="00063BD2">
      <w:pPr>
        <w:spacing w:after="26"/>
        <w:ind w:left="14" w:right="14"/>
      </w:pPr>
      <w:r>
        <w:t>Не рекомендуется пользоваться ноутбуком и планшетом во время зарядки аккумулятора.</w:t>
      </w:r>
    </w:p>
    <w:p w:rsidR="00721CF3" w:rsidRDefault="00063BD2">
      <w:pPr>
        <w:numPr>
          <w:ilvl w:val="1"/>
          <w:numId w:val="9"/>
        </w:numPr>
        <w:spacing w:after="25" w:line="264" w:lineRule="auto"/>
        <w:ind w:right="14"/>
      </w:pPr>
      <w:r>
        <w:t>Для поддержания умственной работоспособности и профилактики</w:t>
      </w:r>
    </w:p>
    <w:p w:rsidR="00721CF3" w:rsidRDefault="00721CF3">
      <w:pPr>
        <w:sectPr w:rsidR="00721CF3">
          <w:headerReference w:type="even" r:id="rId93"/>
          <w:headerReference w:type="default" r:id="rId94"/>
          <w:footerReference w:type="even" r:id="rId95"/>
          <w:footerReference w:type="default" r:id="rId96"/>
          <w:headerReference w:type="first" r:id="rId97"/>
          <w:footerReference w:type="first" r:id="rId98"/>
          <w:pgSz w:w="11920" w:h="16840"/>
          <w:pgMar w:top="1298" w:right="903" w:bottom="738" w:left="1080" w:header="720" w:footer="768" w:gutter="0"/>
          <w:cols w:space="720"/>
          <w:titlePg/>
        </w:sectPr>
      </w:pPr>
    </w:p>
    <w:p w:rsidR="00721CF3" w:rsidRDefault="00063BD2">
      <w:pPr>
        <w:ind w:left="14" w:right="14" w:firstLine="0"/>
      </w:pPr>
      <w:r>
        <w:t xml:space="preserve">возникновения </w:t>
      </w:r>
      <w:r>
        <w:rPr>
          <w:vertAlign w:val="superscript"/>
        </w:rPr>
        <w:footnoteReference w:id="9"/>
      </w:r>
      <w:r>
        <w:t>школьно-обусловленных нарушений здоровья и заболеваний у обучающихся обеспечивается:</w:t>
      </w:r>
    </w:p>
    <w:p w:rsidR="00721CF3" w:rsidRDefault="00063BD2">
      <w:pPr>
        <w:spacing w:after="36"/>
        <w:ind w:left="14" w:right="14"/>
      </w:pPr>
      <w:r>
        <w:t>— соответствие организации образовательного процесса и расписания занятий санитарно-эпидемиологическим требованиям30.</w:t>
      </w:r>
    </w:p>
    <w:p w:rsidR="00721CF3" w:rsidRDefault="00063BD2">
      <w:pPr>
        <w:spacing w:after="27"/>
        <w:ind w:left="14" w:right="14"/>
      </w:pPr>
      <w:r>
        <w:t>-- соответствие продолжительности исп</w:t>
      </w:r>
      <w:r>
        <w:t>ользования ЭСО в образовательной и досуговой деятельности санитарно-эпидемиологическим требованиям</w:t>
      </w:r>
      <w:r>
        <w:rPr>
          <w:vertAlign w:val="superscript"/>
        </w:rPr>
        <w:footnoteReference w:id="10"/>
      </w:r>
      <w:r>
        <w:rPr>
          <w:noProof/>
        </w:rPr>
        <w:drawing>
          <wp:inline distT="0" distB="0" distL="0" distR="0">
            <wp:extent cx="30483" cy="112787"/>
            <wp:effectExtent l="0" t="0" r="0" b="0"/>
            <wp:docPr id="94101" name="Picture 94101"/>
            <wp:cNvGraphicFramePr/>
            <a:graphic xmlns:a="http://schemas.openxmlformats.org/drawingml/2006/main">
              <a:graphicData uri="http://schemas.openxmlformats.org/drawingml/2006/picture">
                <pic:pic xmlns:pic="http://schemas.openxmlformats.org/drawingml/2006/picture">
                  <pic:nvPicPr>
                    <pic:cNvPr id="94101" name="Picture 94101"/>
                    <pic:cNvPicPr/>
                  </pic:nvPicPr>
                  <pic:blipFill>
                    <a:blip r:embed="rId99"/>
                    <a:stretch>
                      <a:fillRect/>
                    </a:stretch>
                  </pic:blipFill>
                  <pic:spPr>
                    <a:xfrm>
                      <a:off x="0" y="0"/>
                      <a:ext cx="30483" cy="112787"/>
                    </a:xfrm>
                    <a:prstGeom prst="rect">
                      <a:avLst/>
                    </a:prstGeom>
                  </pic:spPr>
                </pic:pic>
              </a:graphicData>
            </a:graphic>
          </wp:inline>
        </w:drawing>
      </w:r>
    </w:p>
    <w:p w:rsidR="00721CF3" w:rsidRDefault="00063BD2">
      <w:pPr>
        <w:ind w:left="715" w:right="14" w:firstLine="0"/>
      </w:pPr>
      <w:r>
        <w:t>— предпочтение бумажного носителя информации электронному;</w:t>
      </w:r>
    </w:p>
    <w:p w:rsidR="00721CF3" w:rsidRDefault="00063BD2">
      <w:pPr>
        <w:spacing w:line="257" w:lineRule="auto"/>
        <w:ind w:left="-1" w:right="4" w:firstLine="706"/>
        <w:jc w:val="left"/>
      </w:pPr>
      <w:r>
        <w:t xml:space="preserve">— исключение одновременного использования более двух ЭСО, оборудованных мониторами (экранами); </w:t>
      </w:r>
      <w:r>
        <w:rPr>
          <w:noProof/>
        </w:rPr>
        <w:drawing>
          <wp:inline distT="0" distB="0" distL="0" distR="0">
            <wp:extent cx="94501" cy="18290"/>
            <wp:effectExtent l="0" t="0" r="0" b="0"/>
            <wp:docPr id="22615" name="Picture 22615"/>
            <wp:cNvGraphicFramePr/>
            <a:graphic xmlns:a="http://schemas.openxmlformats.org/drawingml/2006/main">
              <a:graphicData uri="http://schemas.openxmlformats.org/drawingml/2006/picture">
                <pic:pic xmlns:pic="http://schemas.openxmlformats.org/drawingml/2006/picture">
                  <pic:nvPicPr>
                    <pic:cNvPr id="22615" name="Picture 22615"/>
                    <pic:cNvPicPr/>
                  </pic:nvPicPr>
                  <pic:blipFill>
                    <a:blip r:embed="rId100"/>
                    <a:stretch>
                      <a:fillRect/>
                    </a:stretch>
                  </pic:blipFill>
                  <pic:spPr>
                    <a:xfrm>
                      <a:off x="0" y="0"/>
                      <a:ext cx="94501" cy="18290"/>
                    </a:xfrm>
                    <a:prstGeom prst="rect">
                      <a:avLst/>
                    </a:prstGeom>
                  </pic:spPr>
                </pic:pic>
              </a:graphicData>
            </a:graphic>
          </wp:inline>
        </w:drawing>
      </w:r>
      <w:r>
        <w:t xml:space="preserve"> выключение или перевод в режим ожидания («спящий режим») ЭСО, когда его использование приостановлено или завершено, чтобы светящийся экран не находился в поле зрения;</w:t>
      </w:r>
    </w:p>
    <w:p w:rsidR="00721CF3" w:rsidRDefault="00063BD2">
      <w:pPr>
        <w:ind w:left="14" w:right="14"/>
      </w:pPr>
      <w:r>
        <w:t>— проведение перерывов для выполнения комплекса упражнений, направленных на профилактику</w:t>
      </w:r>
      <w:r>
        <w:t xml:space="preserve"> общего и зрительного утомления в середине занятия или по мере необходимости и с учетом преобладающих учебных нагрузок (приложения 4 и 5 к настоящим МР);</w:t>
      </w:r>
    </w:p>
    <w:p w:rsidR="00721CF3" w:rsidRDefault="00063BD2">
      <w:pPr>
        <w:ind w:left="14" w:right="14"/>
      </w:pPr>
      <w:r>
        <w:t>— проветривание помещений перед началом занятия и через каждый час работы;</w:t>
      </w:r>
    </w:p>
    <w:p w:rsidR="00721CF3" w:rsidRDefault="00063BD2">
      <w:pPr>
        <w:spacing w:after="28"/>
        <w:ind w:left="14" w:right="14"/>
      </w:pPr>
      <w:r>
        <w:t xml:space="preserve">— выполнение гигиенических </w:t>
      </w:r>
      <w:r>
        <w:t>нормативов по продолжительности режимных компонентов дня (сон, физическая активность, пребывание на свежем воздухе)</w:t>
      </w:r>
      <w:r>
        <w:rPr>
          <w:vertAlign w:val="superscript"/>
        </w:rPr>
        <w:footnoteReference w:id="11"/>
      </w:r>
      <w:r>
        <w:rPr>
          <w:noProof/>
        </w:rPr>
        <w:drawing>
          <wp:inline distT="0" distB="0" distL="0" distR="0">
            <wp:extent cx="21340" cy="27435"/>
            <wp:effectExtent l="0" t="0" r="0" b="0"/>
            <wp:docPr id="22616" name="Picture 22616"/>
            <wp:cNvGraphicFramePr/>
            <a:graphic xmlns:a="http://schemas.openxmlformats.org/drawingml/2006/main">
              <a:graphicData uri="http://schemas.openxmlformats.org/drawingml/2006/picture">
                <pic:pic xmlns:pic="http://schemas.openxmlformats.org/drawingml/2006/picture">
                  <pic:nvPicPr>
                    <pic:cNvPr id="22616" name="Picture 22616"/>
                    <pic:cNvPicPr/>
                  </pic:nvPicPr>
                  <pic:blipFill>
                    <a:blip r:embed="rId101"/>
                    <a:stretch>
                      <a:fillRect/>
                    </a:stretch>
                  </pic:blipFill>
                  <pic:spPr>
                    <a:xfrm>
                      <a:off x="0" y="0"/>
                      <a:ext cx="21340" cy="27435"/>
                    </a:xfrm>
                    <a:prstGeom prst="rect">
                      <a:avLst/>
                    </a:prstGeom>
                  </pic:spPr>
                </pic:pic>
              </a:graphicData>
            </a:graphic>
          </wp:inline>
        </w:drawing>
      </w:r>
    </w:p>
    <w:p w:rsidR="00721CF3" w:rsidRDefault="00063BD2">
      <w:pPr>
        <w:ind w:left="14" w:right="14"/>
      </w:pPr>
      <w:r>
        <w:t>3.5. С целью снижения риска нарушений зрения, осанки, появления избыточной массы тела и (или) развития ожирения, нарушений сна, агрессивно</w:t>
      </w:r>
      <w:r>
        <w:t>го поведения и интернет-зависимости у обучающегося рекомендуется сокращать время пользования устройствами, оснащенными экраном (далее — экранное время) (не более 2-Х часов в день) [1 1, 13, 14]. Рекомендации по снижению экранного времени представлены в при</w:t>
      </w:r>
      <w:r>
        <w:t>ложении 6 к настоящим М-Р.</w:t>
      </w:r>
    </w:p>
    <w:p w:rsidR="00721CF3" w:rsidRDefault="00721CF3">
      <w:pPr>
        <w:sectPr w:rsidR="00721CF3">
          <w:headerReference w:type="even" r:id="rId102"/>
          <w:headerReference w:type="default" r:id="rId103"/>
          <w:footerReference w:type="even" r:id="rId104"/>
          <w:footerReference w:type="default" r:id="rId105"/>
          <w:headerReference w:type="first" r:id="rId106"/>
          <w:footerReference w:type="first" r:id="rId107"/>
          <w:pgSz w:w="11920" w:h="16840"/>
          <w:pgMar w:top="1440" w:right="936" w:bottom="1440" w:left="1085" w:header="684" w:footer="720" w:gutter="0"/>
          <w:cols w:space="720"/>
        </w:sectPr>
      </w:pPr>
    </w:p>
    <w:p w:rsidR="00721CF3" w:rsidRDefault="00063BD2">
      <w:pPr>
        <w:tabs>
          <w:tab w:val="center" w:pos="8405"/>
          <w:tab w:val="right" w:pos="14359"/>
        </w:tabs>
        <w:spacing w:after="0" w:line="259" w:lineRule="auto"/>
        <w:ind w:right="0" w:firstLine="0"/>
        <w:jc w:val="left"/>
      </w:pPr>
      <w:r>
        <w:rPr>
          <w:sz w:val="16"/>
        </w:rPr>
        <w:tab/>
      </w:r>
      <w:r>
        <w:rPr>
          <w:rFonts w:ascii="MS Mincho" w:eastAsia="MS Mincho" w:hAnsi="MS Mincho" w:cs="MS Mincho"/>
          <w:sz w:val="16"/>
        </w:rPr>
        <w:t>・</w:t>
      </w:r>
      <w:r>
        <w:rPr>
          <w:rFonts w:ascii="MS Mincho" w:eastAsia="MS Mincho" w:hAnsi="MS Mincho" w:cs="MS Mincho"/>
          <w:sz w:val="16"/>
        </w:rPr>
        <w:t>06</w:t>
      </w:r>
      <w:r>
        <w:rPr>
          <w:rFonts w:ascii="MS Mincho" w:eastAsia="MS Mincho" w:hAnsi="MS Mincho" w:cs="MS Mincho"/>
          <w:sz w:val="16"/>
        </w:rPr>
        <w:t>・</w:t>
      </w:r>
      <w:r>
        <w:rPr>
          <w:rFonts w:ascii="MS Mincho" w:eastAsia="MS Mincho" w:hAnsi="MS Mincho" w:cs="MS Mincho"/>
          <w:sz w:val="16"/>
        </w:rPr>
        <w:t>8 £•</w:t>
      </w:r>
      <w:r>
        <w:rPr>
          <w:rFonts w:ascii="MS Mincho" w:eastAsia="MS Mincho" w:hAnsi="MS Mincho" w:cs="MS Mincho"/>
          <w:sz w:val="16"/>
        </w:rPr>
        <w:t>寸べ</w:t>
      </w:r>
      <w:r>
        <w:rPr>
          <w:rFonts w:ascii="MS Mincho" w:eastAsia="MS Mincho" w:hAnsi="MS Mincho" w:cs="MS Mincho"/>
          <w:sz w:val="16"/>
        </w:rPr>
        <w:t>LIO</w:t>
      </w:r>
      <w:r>
        <w:rPr>
          <w:rFonts w:ascii="MS Mincho" w:eastAsia="MS Mincho" w:hAnsi="MS Mincho" w:cs="MS Mincho"/>
          <w:sz w:val="16"/>
        </w:rPr>
        <w:t>一一一</w:t>
      </w:r>
      <w:r>
        <w:rPr>
          <w:rFonts w:ascii="MS Mincho" w:eastAsia="MS Mincho" w:hAnsi="MS Mincho" w:cs="MS Mincho"/>
          <w:sz w:val="16"/>
        </w:rPr>
        <w:t xml:space="preserve"> </w:t>
      </w:r>
      <w:r>
        <w:rPr>
          <w:rFonts w:ascii="MS Mincho" w:eastAsia="MS Mincho" w:hAnsi="MS Mincho" w:cs="MS Mincho"/>
          <w:sz w:val="16"/>
        </w:rPr>
        <w:t>こ、</w:t>
      </w:r>
      <w:r>
        <w:rPr>
          <w:rFonts w:ascii="MS Mincho" w:eastAsia="MS Mincho" w:hAnsi="MS Mincho" w:cs="MS Mincho"/>
          <w:sz w:val="16"/>
        </w:rPr>
        <w:t>(1-1= 989E</w:t>
      </w:r>
      <w:r>
        <w:rPr>
          <w:rFonts w:ascii="MS Mincho" w:eastAsia="MS Mincho" w:hAnsi="MS Mincho" w:cs="MS Mincho"/>
          <w:sz w:val="16"/>
        </w:rPr>
        <w:t>べ・一</w:t>
      </w:r>
      <w:r>
        <w:rPr>
          <w:rFonts w:ascii="MS Mincho" w:eastAsia="MS Mincho" w:hAnsi="MS Mincho" w:cs="MS Mincho"/>
          <w:sz w:val="16"/>
        </w:rPr>
        <w:t>H</w:t>
      </w:r>
      <w:r>
        <w:rPr>
          <w:rFonts w:ascii="MS Mincho" w:eastAsia="MS Mincho" w:hAnsi="MS Mincho" w:cs="MS Mincho"/>
          <w:sz w:val="16"/>
        </w:rPr>
        <w:t>ミ</w:t>
      </w:r>
      <w:r>
        <w:rPr>
          <w:rFonts w:ascii="MS Mincho" w:eastAsia="MS Mincho" w:hAnsi="MS Mincho" w:cs="MS Mincho"/>
          <w:sz w:val="16"/>
        </w:rPr>
        <w:t>1.1 0IA 568</w:t>
      </w:r>
      <w:r>
        <w:rPr>
          <w:rFonts w:ascii="MS Mincho" w:eastAsia="MS Mincho" w:hAnsi="MS Mincho" w:cs="MS Mincho"/>
          <w:sz w:val="16"/>
        </w:rPr>
        <w:t>一</w:t>
      </w:r>
      <w:r>
        <w:rPr>
          <w:rFonts w:ascii="MS Mincho" w:eastAsia="MS Mincho" w:hAnsi="MS Mincho" w:cs="MS Mincho"/>
          <w:sz w:val="16"/>
        </w:rPr>
        <w:tab/>
      </w:r>
      <w:r>
        <w:rPr>
          <w:rFonts w:ascii="MS Mincho" w:eastAsia="MS Mincho" w:hAnsi="MS Mincho" w:cs="MS Mincho"/>
          <w:sz w:val="16"/>
        </w:rPr>
        <w:t>・</w:t>
      </w:r>
      <w:r>
        <w:rPr>
          <w:rFonts w:ascii="MS Mincho" w:eastAsia="MS Mincho" w:hAnsi="MS Mincho" w:cs="MS Mincho"/>
          <w:sz w:val="16"/>
        </w:rPr>
        <w:t>92</w:t>
      </w:r>
      <w:r>
        <w:rPr>
          <w:rFonts w:ascii="MS Mincho" w:eastAsia="MS Mincho" w:hAnsi="MS Mincho" w:cs="MS Mincho"/>
          <w:sz w:val="16"/>
        </w:rPr>
        <w:t>ゴミ</w:t>
      </w:r>
      <w:r>
        <w:rPr>
          <w:rFonts w:ascii="MS Mincho" w:eastAsia="MS Mincho" w:hAnsi="MS Mincho" w:cs="MS Mincho"/>
          <w:sz w:val="16"/>
        </w:rPr>
        <w:t>r92</w:t>
      </w:r>
      <w:r>
        <w:rPr>
          <w:rFonts w:ascii="MS Mincho" w:eastAsia="MS Mincho" w:hAnsi="MS Mincho" w:cs="MS Mincho"/>
          <w:sz w:val="16"/>
        </w:rPr>
        <w:t>ト</w:t>
      </w:r>
      <w:r>
        <w:rPr>
          <w:rFonts w:ascii="MS Mincho" w:eastAsia="MS Mincho" w:hAnsi="MS Mincho" w:cs="MS Mincho"/>
          <w:sz w:val="16"/>
        </w:rPr>
        <w:t xml:space="preserve"> </w:t>
      </w:r>
      <w:r>
        <w:rPr>
          <w:rFonts w:ascii="MS Mincho" w:eastAsia="MS Mincho" w:hAnsi="MS Mincho" w:cs="MS Mincho"/>
          <w:sz w:val="16"/>
        </w:rPr>
        <w:t>〔</w:t>
      </w:r>
    </w:p>
    <w:p w:rsidR="00721CF3" w:rsidRDefault="00063BD2">
      <w:pPr>
        <w:spacing w:after="0" w:line="259" w:lineRule="auto"/>
        <w:ind w:right="222" w:firstLine="0"/>
        <w:jc w:val="right"/>
      </w:pPr>
      <w:r>
        <w:rPr>
          <w:rFonts w:ascii="MS Mincho" w:eastAsia="MS Mincho" w:hAnsi="MS Mincho" w:cs="MS Mincho"/>
          <w:sz w:val="16"/>
        </w:rPr>
        <w:t>・</w:t>
      </w:r>
      <w:r>
        <w:rPr>
          <w:rFonts w:ascii="MS Mincho" w:eastAsia="MS Mincho" w:hAnsi="MS Mincho" w:cs="MS Mincho"/>
          <w:sz w:val="16"/>
        </w:rPr>
        <w:t xml:space="preserve"> </w:t>
      </w:r>
      <w:r>
        <w:rPr>
          <w:rFonts w:ascii="MS Mincho" w:eastAsia="MS Mincho" w:hAnsi="MS Mincho" w:cs="MS Mincho"/>
          <w:sz w:val="16"/>
        </w:rPr>
        <w:t>・の</w:t>
      </w:r>
      <w:r>
        <w:rPr>
          <w:rFonts w:ascii="MS Mincho" w:eastAsia="MS Mincho" w:hAnsi="MS Mincho" w:cs="MS Mincho"/>
          <w:sz w:val="16"/>
        </w:rPr>
        <w:t xml:space="preserve">89 </w:t>
      </w:r>
      <w:r>
        <w:rPr>
          <w:rFonts w:ascii="MS Mincho" w:eastAsia="MS Mincho" w:hAnsi="MS Mincho" w:cs="MS Mincho"/>
          <w:sz w:val="16"/>
        </w:rPr>
        <w:t>ミ一</w:t>
      </w:r>
      <w:r>
        <w:rPr>
          <w:rFonts w:ascii="MS Mincho" w:eastAsia="MS Mincho" w:hAnsi="MS Mincho" w:cs="MS Mincho"/>
          <w:sz w:val="16"/>
        </w:rPr>
        <w:t>H</w:t>
      </w:r>
      <w:r>
        <w:rPr>
          <w:rFonts w:ascii="MS Mincho" w:eastAsia="MS Mincho" w:hAnsi="MS Mincho" w:cs="MS Mincho"/>
          <w:sz w:val="16"/>
        </w:rPr>
        <w:t>ミ</w:t>
      </w:r>
      <w:r>
        <w:rPr>
          <w:rFonts w:ascii="MS Mincho" w:eastAsia="MS Mincho" w:hAnsi="MS Mincho" w:cs="MS Mincho"/>
          <w:sz w:val="16"/>
        </w:rPr>
        <w:t xml:space="preserve">LI 0IA </w:t>
      </w:r>
      <w:r>
        <w:rPr>
          <w:rFonts w:ascii="MS Mincho" w:eastAsia="MS Mincho" w:hAnsi="MS Mincho" w:cs="MS Mincho"/>
          <w:sz w:val="16"/>
        </w:rPr>
        <w:t>目こ</w:t>
      </w:r>
      <w:r>
        <w:rPr>
          <w:rFonts w:ascii="MS Mincho" w:eastAsia="MS Mincho" w:hAnsi="MS Mincho" w:cs="MS Mincho"/>
          <w:sz w:val="16"/>
        </w:rPr>
        <w:t xml:space="preserve">£9 </w:t>
      </w:r>
      <w:r>
        <w:rPr>
          <w:rFonts w:ascii="MS Mincho" w:eastAsia="MS Mincho" w:hAnsi="MS Mincho" w:cs="MS Mincho"/>
          <w:sz w:val="16"/>
        </w:rPr>
        <w:t>ゴミ</w:t>
      </w:r>
      <w:r>
        <w:rPr>
          <w:rFonts w:ascii="MS Mincho" w:eastAsia="MS Mincho" w:hAnsi="MS Mincho" w:cs="MS Mincho"/>
          <w:sz w:val="16"/>
        </w:rPr>
        <w:t xml:space="preserve"> 2</w:t>
      </w:r>
      <w:r>
        <w:rPr>
          <w:rFonts w:ascii="MS Mincho" w:eastAsia="MS Mincho" w:hAnsi="MS Mincho" w:cs="MS Mincho"/>
          <w:sz w:val="16"/>
        </w:rPr>
        <w:t>ト</w:t>
      </w:r>
    </w:p>
    <w:tbl>
      <w:tblPr>
        <w:tblStyle w:val="TableGrid"/>
        <w:tblpPr w:vertAnchor="text" w:horzAnchor="margin" w:tblpX="6796" w:tblpY="-11169"/>
        <w:tblOverlap w:val="never"/>
        <w:tblW w:w="1574" w:type="dxa"/>
        <w:tblInd w:w="0" w:type="dxa"/>
        <w:tblCellMar>
          <w:top w:w="126" w:type="dxa"/>
          <w:left w:w="0" w:type="dxa"/>
          <w:bottom w:w="111" w:type="dxa"/>
          <w:right w:w="54" w:type="dxa"/>
        </w:tblCellMar>
        <w:tblLook w:val="04A0" w:firstRow="1" w:lastRow="0" w:firstColumn="1" w:lastColumn="0" w:noHBand="0" w:noVBand="1"/>
      </w:tblPr>
      <w:tblGrid>
        <w:gridCol w:w="692"/>
        <w:gridCol w:w="414"/>
        <w:gridCol w:w="467"/>
      </w:tblGrid>
      <w:tr w:rsidR="00721CF3">
        <w:trPr>
          <w:trHeight w:val="324"/>
        </w:trPr>
        <w:tc>
          <w:tcPr>
            <w:tcW w:w="692" w:type="dxa"/>
            <w:vMerge w:val="restart"/>
            <w:tcBorders>
              <w:top w:val="single" w:sz="2" w:space="0" w:color="000000"/>
              <w:left w:val="single" w:sz="2" w:space="0" w:color="000000"/>
              <w:bottom w:val="single" w:sz="2" w:space="0" w:color="000000"/>
              <w:right w:val="single" w:sz="2" w:space="0" w:color="000000"/>
            </w:tcBorders>
            <w:textDirection w:val="tbRlV"/>
            <w:vAlign w:val="bottom"/>
          </w:tcPr>
          <w:p w:rsidR="00721CF3" w:rsidRDefault="00063BD2">
            <w:pPr>
              <w:spacing w:after="140" w:line="259" w:lineRule="auto"/>
              <w:ind w:right="2" w:firstLine="0"/>
              <w:jc w:val="center"/>
            </w:pPr>
            <w:r>
              <w:rPr>
                <w:rFonts w:ascii="MS Mincho" w:eastAsia="MS Mincho" w:hAnsi="MS Mincho" w:cs="MS Mincho"/>
                <w:sz w:val="10"/>
              </w:rPr>
              <w:t>(q</w:t>
            </w:r>
            <w:r>
              <w:rPr>
                <w:rFonts w:ascii="MS Mincho" w:eastAsia="MS Mincho" w:hAnsi="MS Mincho" w:cs="MS Mincho"/>
                <w:sz w:val="10"/>
              </w:rPr>
              <w:t>トミトのト</w:t>
            </w:r>
            <w:r>
              <w:rPr>
                <w:rFonts w:ascii="MS Mincho" w:eastAsia="MS Mincho" w:hAnsi="MS Mincho" w:cs="MS Mincho"/>
                <w:sz w:val="10"/>
              </w:rPr>
              <w:t>0)</w:t>
            </w:r>
          </w:p>
          <w:p w:rsidR="00721CF3" w:rsidRDefault="00063BD2">
            <w:pPr>
              <w:spacing w:after="0" w:line="259" w:lineRule="auto"/>
              <w:ind w:left="185" w:right="0" w:firstLine="0"/>
              <w:jc w:val="left"/>
            </w:pPr>
            <w:r>
              <w:rPr>
                <w:rFonts w:ascii="MS Mincho" w:eastAsia="MS Mincho" w:hAnsi="MS Mincho" w:cs="MS Mincho"/>
                <w:sz w:val="10"/>
              </w:rPr>
              <w:t>ミト伏</w:t>
            </w:r>
            <w:r>
              <w:rPr>
                <w:rFonts w:ascii="MS Mincho" w:eastAsia="MS Mincho" w:hAnsi="MS Mincho" w:cs="MS Mincho"/>
                <w:sz w:val="10"/>
              </w:rPr>
              <w:t xml:space="preserve">He </w:t>
            </w:r>
            <w:r>
              <w:rPr>
                <w:rFonts w:ascii="MS Mincho" w:eastAsia="MS Mincho" w:hAnsi="MS Mincho" w:cs="MS Mincho"/>
                <w:sz w:val="10"/>
              </w:rPr>
              <w:t>伏く</w:t>
            </w:r>
            <w:r>
              <w:rPr>
                <w:rFonts w:ascii="MS Mincho" w:eastAsia="MS Mincho" w:hAnsi="MS Mincho" w:cs="MS Mincho"/>
                <w:sz w:val="10"/>
              </w:rPr>
              <w:t xml:space="preserve"> </w:t>
            </w:r>
            <w:r>
              <w:rPr>
                <w:rFonts w:ascii="MS Mincho" w:eastAsia="MS Mincho" w:hAnsi="MS Mincho" w:cs="MS Mincho"/>
                <w:sz w:val="10"/>
              </w:rPr>
              <w:t>ト</w:t>
            </w:r>
            <w:r>
              <w:rPr>
                <w:rFonts w:ascii="MS Mincho" w:eastAsia="MS Mincho" w:hAnsi="MS Mincho" w:cs="MS Mincho"/>
                <w:sz w:val="10"/>
              </w:rPr>
              <w:t>OHda</w:t>
            </w:r>
            <w:r>
              <w:rPr>
                <w:rFonts w:ascii="MS Mincho" w:eastAsia="MS Mincho" w:hAnsi="MS Mincho" w:cs="MS Mincho"/>
                <w:sz w:val="10"/>
              </w:rPr>
              <w:t>ト</w:t>
            </w:r>
            <w:r>
              <w:rPr>
                <w:rFonts w:ascii="MS Mincho" w:eastAsia="MS Mincho" w:hAnsi="MS Mincho" w:cs="MS Mincho"/>
                <w:sz w:val="10"/>
              </w:rPr>
              <w:t>HH009</w:t>
            </w:r>
            <w:r>
              <w:rPr>
                <w:rFonts w:ascii="MS Mincho" w:eastAsia="MS Mincho" w:hAnsi="MS Mincho" w:cs="MS Mincho"/>
                <w:sz w:val="10"/>
              </w:rPr>
              <w:t>ミ</w:t>
            </w:r>
            <w:r>
              <w:rPr>
                <w:rFonts w:ascii="MS Mincho" w:eastAsia="MS Mincho" w:hAnsi="MS Mincho" w:cs="MS Mincho"/>
                <w:sz w:val="10"/>
              </w:rPr>
              <w:t>h</w:t>
            </w:r>
            <w:r>
              <w:rPr>
                <w:rFonts w:ascii="MS Mincho" w:eastAsia="MS Mincho" w:hAnsi="MS Mincho" w:cs="MS Mincho"/>
                <w:sz w:val="10"/>
              </w:rPr>
              <w:t>な</w:t>
            </w:r>
            <w:r>
              <w:rPr>
                <w:rFonts w:ascii="MS Mincho" w:eastAsia="MS Mincho" w:hAnsi="MS Mincho" w:cs="MS Mincho"/>
                <w:sz w:val="10"/>
              </w:rPr>
              <w:t>0</w:t>
            </w:r>
            <w:r>
              <w:rPr>
                <w:rFonts w:ascii="MS Mincho" w:eastAsia="MS Mincho" w:hAnsi="MS Mincho" w:cs="MS Mincho"/>
                <w:sz w:val="10"/>
              </w:rPr>
              <w:t>ト</w:t>
            </w:r>
            <w:r>
              <w:rPr>
                <w:rFonts w:ascii="MS Mincho" w:eastAsia="MS Mincho" w:hAnsi="MS Mincho" w:cs="MS Mincho"/>
                <w:sz w:val="10"/>
              </w:rPr>
              <w:t>OK</w:t>
            </w:r>
            <w:r>
              <w:rPr>
                <w:rFonts w:ascii="MS Mincho" w:eastAsia="MS Mincho" w:hAnsi="MS Mincho" w:cs="MS Mincho"/>
                <w:sz w:val="10"/>
              </w:rPr>
              <w:t>のミ</w:t>
            </w:r>
            <w:r>
              <w:rPr>
                <w:rFonts w:ascii="MS Mincho" w:eastAsia="MS Mincho" w:hAnsi="MS Mincho" w:cs="MS Mincho"/>
                <w:sz w:val="10"/>
              </w:rPr>
              <w:t>h</w:t>
            </w:r>
            <w:r>
              <w:rPr>
                <w:rFonts w:ascii="MS Mincho" w:eastAsia="MS Mincho" w:hAnsi="MS Mincho" w:cs="MS Mincho"/>
                <w:sz w:val="10"/>
              </w:rPr>
              <w:t>ミ</w:t>
            </w:r>
            <w:r>
              <w:rPr>
                <w:rFonts w:ascii="MS Mincho" w:eastAsia="MS Mincho" w:hAnsi="MS Mincho" w:cs="MS Mincho"/>
                <w:sz w:val="10"/>
              </w:rPr>
              <w:t xml:space="preserve"> H</w:t>
            </w:r>
          </w:p>
        </w:tc>
        <w:tc>
          <w:tcPr>
            <w:tcW w:w="414" w:type="dxa"/>
            <w:vMerge w:val="restart"/>
            <w:tcBorders>
              <w:top w:val="single" w:sz="2" w:space="0" w:color="000000"/>
              <w:left w:val="single" w:sz="2" w:space="0" w:color="000000"/>
              <w:bottom w:val="single" w:sz="2" w:space="0" w:color="000000"/>
              <w:right w:val="single" w:sz="2" w:space="0" w:color="000000"/>
            </w:tcBorders>
            <w:textDirection w:val="tbRlV"/>
            <w:vAlign w:val="bottom"/>
          </w:tcPr>
          <w:p w:rsidR="00721CF3" w:rsidRDefault="00063BD2">
            <w:pPr>
              <w:spacing w:after="0" w:line="259" w:lineRule="auto"/>
              <w:ind w:left="114" w:right="0" w:firstLine="0"/>
              <w:jc w:val="left"/>
            </w:pPr>
            <w:r>
              <w:rPr>
                <w:rFonts w:ascii="MS Mincho" w:eastAsia="MS Mincho" w:hAnsi="MS Mincho" w:cs="MS Mincho"/>
                <w:sz w:val="38"/>
              </w:rPr>
              <w:t xml:space="preserve">V </w:t>
            </w:r>
            <w:r>
              <w:rPr>
                <w:rFonts w:ascii="MS Mincho" w:eastAsia="MS Mincho" w:hAnsi="MS Mincho" w:cs="MS Mincho"/>
                <w:sz w:val="38"/>
              </w:rPr>
              <w:t>」</w:t>
            </w:r>
            <w:r>
              <w:rPr>
                <w:rFonts w:ascii="MS Mincho" w:eastAsia="MS Mincho" w:hAnsi="MS Mincho" w:cs="MS Mincho"/>
                <w:sz w:val="38"/>
              </w:rPr>
              <w:t>308</w:t>
            </w:r>
          </w:p>
        </w:tc>
        <w:tc>
          <w:tcPr>
            <w:tcW w:w="467" w:type="dxa"/>
            <w:vMerge w:val="restart"/>
            <w:tcBorders>
              <w:top w:val="nil"/>
              <w:left w:val="single" w:sz="2" w:space="0" w:color="000000"/>
              <w:bottom w:val="single" w:sz="2" w:space="0" w:color="000000"/>
              <w:right w:val="single" w:sz="2" w:space="0" w:color="000000"/>
            </w:tcBorders>
            <w:textDirection w:val="tbRlV"/>
          </w:tcPr>
          <w:p w:rsidR="00721CF3" w:rsidRDefault="00063BD2">
            <w:pPr>
              <w:spacing w:after="56" w:line="259" w:lineRule="auto"/>
              <w:ind w:right="0" w:firstLine="0"/>
              <w:jc w:val="right"/>
            </w:pPr>
            <w:r>
              <w:rPr>
                <w:rFonts w:ascii="MS Mincho" w:eastAsia="MS Mincho" w:hAnsi="MS Mincho" w:cs="MS Mincho"/>
                <w:sz w:val="10"/>
              </w:rPr>
              <w:t>めめ公</w:t>
            </w:r>
            <w:r>
              <w:rPr>
                <w:rFonts w:ascii="MS Mincho" w:eastAsia="MS Mincho" w:hAnsi="MS Mincho" w:cs="MS Mincho"/>
                <w:sz w:val="10"/>
              </w:rPr>
              <w:t>3 92</w:t>
            </w:r>
            <w:r>
              <w:rPr>
                <w:rFonts w:ascii="MS Mincho" w:eastAsia="MS Mincho" w:hAnsi="MS Mincho" w:cs="MS Mincho"/>
                <w:sz w:val="10"/>
              </w:rPr>
              <w:t>ご</w:t>
            </w:r>
            <w:r>
              <w:rPr>
                <w:rFonts w:ascii="MS Mincho" w:eastAsia="MS Mincho" w:hAnsi="MS Mincho" w:cs="MS Mincho"/>
                <w:sz w:val="10"/>
              </w:rPr>
              <w:t xml:space="preserve"> o</w:t>
            </w:r>
            <w:r>
              <w:rPr>
                <w:rFonts w:ascii="MS Mincho" w:eastAsia="MS Mincho" w:hAnsi="MS Mincho" w:cs="MS Mincho"/>
                <w:sz w:val="10"/>
              </w:rPr>
              <w:t>よ</w:t>
            </w:r>
            <w:r>
              <w:rPr>
                <w:rFonts w:ascii="MS Mincho" w:eastAsia="MS Mincho" w:hAnsi="MS Mincho" w:cs="MS Mincho"/>
                <w:sz w:val="10"/>
              </w:rPr>
              <w:t>5</w:t>
            </w:r>
            <w:r>
              <w:rPr>
                <w:rFonts w:ascii="MS Mincho" w:eastAsia="MS Mincho" w:hAnsi="MS Mincho" w:cs="MS Mincho"/>
                <w:sz w:val="10"/>
              </w:rPr>
              <w:t>ト</w:t>
            </w:r>
            <w:r>
              <w:rPr>
                <w:rFonts w:ascii="MS Mincho" w:eastAsia="MS Mincho" w:hAnsi="MS Mincho" w:cs="MS Mincho"/>
                <w:sz w:val="10"/>
              </w:rPr>
              <w:t xml:space="preserve"> 0:0</w:t>
            </w:r>
            <w:r>
              <w:rPr>
                <w:rFonts w:ascii="MS Mincho" w:eastAsia="MS Mincho" w:hAnsi="MS Mincho" w:cs="MS Mincho"/>
                <w:sz w:val="10"/>
              </w:rPr>
              <w:t>買</w:t>
            </w:r>
          </w:p>
          <w:p w:rsidR="00721CF3" w:rsidRDefault="00063BD2">
            <w:pPr>
              <w:spacing w:after="0" w:line="259" w:lineRule="auto"/>
              <w:ind w:left="39" w:right="0" w:firstLine="0"/>
            </w:pPr>
            <w:r>
              <w:rPr>
                <w:rFonts w:ascii="MS Mincho" w:eastAsia="MS Mincho" w:hAnsi="MS Mincho" w:cs="MS Mincho"/>
                <w:sz w:val="10"/>
              </w:rPr>
              <w:t>■</w:t>
            </w:r>
            <w:r>
              <w:rPr>
                <w:rFonts w:ascii="MS Mincho" w:eastAsia="MS Mincho" w:hAnsi="MS Mincho" w:cs="MS Mincho"/>
                <w:sz w:val="10"/>
              </w:rPr>
              <w:t>ま</w:t>
            </w:r>
            <w:r>
              <w:rPr>
                <w:rFonts w:ascii="MS Mincho" w:eastAsia="MS Mincho" w:hAnsi="MS Mincho" w:cs="MS Mincho"/>
                <w:sz w:val="10"/>
              </w:rPr>
              <w:t xml:space="preserve"> </w:t>
            </w:r>
            <w:r>
              <w:rPr>
                <w:rFonts w:ascii="MS Mincho" w:eastAsia="MS Mincho" w:hAnsi="MS Mincho" w:cs="MS Mincho"/>
                <w:sz w:val="10"/>
              </w:rPr>
              <w:t>ト</w:t>
            </w:r>
            <w:r>
              <w:rPr>
                <w:rFonts w:ascii="MS Mincho" w:eastAsia="MS Mincho" w:hAnsi="MS Mincho" w:cs="MS Mincho"/>
                <w:sz w:val="10"/>
              </w:rPr>
              <w:t>0</w:t>
            </w:r>
            <w:r>
              <w:rPr>
                <w:rFonts w:ascii="MS Mincho" w:eastAsia="MS Mincho" w:hAnsi="MS Mincho" w:cs="MS Mincho"/>
                <w:sz w:val="10"/>
              </w:rPr>
              <w:t>ミ</w:t>
            </w:r>
            <w:r>
              <w:rPr>
                <w:rFonts w:ascii="MS Mincho" w:eastAsia="MS Mincho" w:hAnsi="MS Mincho" w:cs="MS Mincho"/>
                <w:sz w:val="10"/>
              </w:rPr>
              <w:t>0</w:t>
            </w:r>
            <w:r>
              <w:rPr>
                <w:rFonts w:ascii="MS Mincho" w:eastAsia="MS Mincho" w:hAnsi="MS Mincho" w:cs="MS Mincho"/>
                <w:sz w:val="10"/>
              </w:rPr>
              <w:t>に・ミ</w:t>
            </w:r>
            <w:r>
              <w:rPr>
                <w:rFonts w:ascii="MS Mincho" w:eastAsia="MS Mincho" w:hAnsi="MS Mincho" w:cs="MS Mincho"/>
                <w:sz w:val="10"/>
              </w:rPr>
              <w:t>h</w:t>
            </w:r>
            <w:r>
              <w:rPr>
                <w:rFonts w:ascii="MS Mincho" w:eastAsia="MS Mincho" w:hAnsi="MS Mincho" w:cs="MS Mincho"/>
                <w:sz w:val="10"/>
              </w:rPr>
              <w:t>置ご</w:t>
            </w:r>
            <w:r>
              <w:rPr>
                <w:rFonts w:ascii="MS Mincho" w:eastAsia="MS Mincho" w:hAnsi="MS Mincho" w:cs="MS Mincho"/>
                <w:sz w:val="10"/>
              </w:rPr>
              <w:t xml:space="preserve"> </w:t>
            </w:r>
            <w:r>
              <w:rPr>
                <w:rFonts w:ascii="MS Mincho" w:eastAsia="MS Mincho" w:hAnsi="MS Mincho" w:cs="MS Mincho"/>
                <w:sz w:val="10"/>
              </w:rPr>
              <w:t>》》</w:t>
            </w:r>
            <w:r>
              <w:rPr>
                <w:rFonts w:ascii="MS Mincho" w:eastAsia="MS Mincho" w:hAnsi="MS Mincho" w:cs="MS Mincho"/>
                <w:sz w:val="10"/>
              </w:rPr>
              <w:t>-</w:t>
            </w:r>
            <w:r>
              <w:rPr>
                <w:rFonts w:ascii="MS Mincho" w:eastAsia="MS Mincho" w:hAnsi="MS Mincho" w:cs="MS Mincho"/>
                <w:sz w:val="10"/>
              </w:rPr>
              <w:t>公</w:t>
            </w:r>
            <w:r>
              <w:rPr>
                <w:rFonts w:ascii="MS Mincho" w:eastAsia="MS Mincho" w:hAnsi="MS Mincho" w:cs="MS Mincho"/>
                <w:sz w:val="10"/>
              </w:rPr>
              <w:t xml:space="preserve"> d</w:t>
            </w:r>
            <w:r>
              <w:rPr>
                <w:rFonts w:ascii="MS Mincho" w:eastAsia="MS Mincho" w:hAnsi="MS Mincho" w:cs="MS Mincho"/>
                <w:sz w:val="10"/>
              </w:rPr>
              <w:t>の</w:t>
            </w:r>
            <w:r>
              <w:rPr>
                <w:rFonts w:ascii="MS Mincho" w:eastAsia="MS Mincho" w:hAnsi="MS Mincho" w:cs="MS Mincho"/>
                <w:sz w:val="10"/>
              </w:rPr>
              <w:t>d</w:t>
            </w:r>
            <w:r>
              <w:rPr>
                <w:rFonts w:ascii="MS Mincho" w:eastAsia="MS Mincho" w:hAnsi="MS Mincho" w:cs="MS Mincho"/>
                <w:sz w:val="10"/>
              </w:rPr>
              <w:t>・</w:t>
            </w:r>
            <w:r>
              <w:rPr>
                <w:rFonts w:ascii="MS Mincho" w:eastAsia="MS Mincho" w:hAnsi="MS Mincho" w:cs="MS Mincho"/>
                <w:sz w:val="10"/>
              </w:rPr>
              <w:t>Red</w:t>
            </w:r>
            <w:r>
              <w:rPr>
                <w:rFonts w:ascii="MS Mincho" w:eastAsia="MS Mincho" w:hAnsi="MS Mincho" w:cs="MS Mincho"/>
                <w:sz w:val="10"/>
              </w:rPr>
              <w:t>》〉</w:t>
            </w:r>
            <w:r>
              <w:rPr>
                <w:rFonts w:ascii="MS Mincho" w:eastAsia="MS Mincho" w:hAnsi="MS Mincho" w:cs="MS Mincho"/>
                <w:sz w:val="10"/>
              </w:rPr>
              <w:t>W</w:t>
            </w:r>
            <w:r>
              <w:rPr>
                <w:rFonts w:ascii="MS Mincho" w:eastAsia="MS Mincho" w:hAnsi="MS Mincho" w:cs="MS Mincho"/>
                <w:sz w:val="10"/>
              </w:rPr>
              <w:t>供ごト</w:t>
            </w:r>
            <w:r>
              <w:rPr>
                <w:rFonts w:ascii="MS Mincho" w:eastAsia="MS Mincho" w:hAnsi="MS Mincho" w:cs="MS Mincho"/>
                <w:sz w:val="10"/>
              </w:rPr>
              <w:t xml:space="preserve"> B</w:t>
            </w:r>
            <w:r>
              <w:rPr>
                <w:rFonts w:ascii="MS Mincho" w:eastAsia="MS Mincho" w:hAnsi="MS Mincho" w:cs="MS Mincho"/>
                <w:sz w:val="10"/>
              </w:rPr>
              <w:t>望</w:t>
            </w:r>
            <w:r>
              <w:rPr>
                <w:rFonts w:ascii="MS Mincho" w:eastAsia="MS Mincho" w:hAnsi="MS Mincho" w:cs="MS Mincho"/>
                <w:sz w:val="10"/>
              </w:rPr>
              <w:t xml:space="preserve"> </w:t>
            </w:r>
            <w:r>
              <w:rPr>
                <w:rFonts w:ascii="MS Mincho" w:eastAsia="MS Mincho" w:hAnsi="MS Mincho" w:cs="MS Mincho"/>
                <w:sz w:val="10"/>
              </w:rPr>
              <w:t>ー</w:t>
            </w:r>
            <w:r>
              <w:rPr>
                <w:rFonts w:ascii="MS Mincho" w:eastAsia="MS Mincho" w:hAnsi="MS Mincho" w:cs="MS Mincho"/>
                <w:sz w:val="10"/>
              </w:rPr>
              <w:t xml:space="preserve"> </w:t>
            </w:r>
            <w:r>
              <w:rPr>
                <w:rFonts w:ascii="MS Mincho" w:eastAsia="MS Mincho" w:hAnsi="MS Mincho" w:cs="MS Mincho"/>
                <w:sz w:val="10"/>
              </w:rPr>
              <w:t>あトハ</w:t>
            </w:r>
            <w:r>
              <w:rPr>
                <w:rFonts w:ascii="MS Mincho" w:eastAsia="MS Mincho" w:hAnsi="MS Mincho" w:cs="MS Mincho"/>
                <w:sz w:val="10"/>
              </w:rPr>
              <w:t>0</w:t>
            </w:r>
            <w:r>
              <w:rPr>
                <w:noProof/>
                <w:sz w:val="22"/>
              </w:rPr>
              <mc:AlternateContent>
                <mc:Choice Requires="wpg">
                  <w:drawing>
                    <wp:inline distT="0" distB="0" distL="0" distR="0">
                      <wp:extent cx="134764" cy="715460"/>
                      <wp:effectExtent l="0" t="0" r="0" b="0"/>
                      <wp:docPr id="93219" name="Group 93219"/>
                      <wp:cNvGraphicFramePr/>
                      <a:graphic xmlns:a="http://schemas.openxmlformats.org/drawingml/2006/main">
                        <a:graphicData uri="http://schemas.microsoft.com/office/word/2010/wordprocessingGroup">
                          <wpg:wgp>
                            <wpg:cNvGrpSpPr/>
                            <wpg:grpSpPr>
                              <a:xfrm>
                                <a:off x="0" y="0"/>
                                <a:ext cx="134764" cy="715460"/>
                                <a:chOff x="0" y="0"/>
                                <a:chExt cx="134764" cy="715460"/>
                              </a:xfrm>
                            </wpg:grpSpPr>
                            <pic:pic xmlns:pic="http://schemas.openxmlformats.org/drawingml/2006/picture">
                              <pic:nvPicPr>
                                <pic:cNvPr id="94105" name="Picture 94105"/>
                                <pic:cNvPicPr/>
                              </pic:nvPicPr>
                              <pic:blipFill>
                                <a:blip r:embed="rId108"/>
                                <a:stretch>
                                  <a:fillRect/>
                                </a:stretch>
                              </pic:blipFill>
                              <pic:spPr>
                                <a:xfrm rot="5399999">
                                  <a:off x="-296765" y="296766"/>
                                  <a:ext cx="715460" cy="121929"/>
                                </a:xfrm>
                                <a:prstGeom prst="rect">
                                  <a:avLst/>
                                </a:prstGeom>
                              </pic:spPr>
                            </pic:pic>
                            <wps:wsp>
                              <wps:cNvPr id="23083" name="Rectangle 23083"/>
                              <wps:cNvSpPr/>
                              <wps:spPr>
                                <a:xfrm>
                                  <a:off x="3209" y="455584"/>
                                  <a:ext cx="174968" cy="81075"/>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0"/>
                                      </w:rPr>
                                      <w:t>公</w:t>
                                    </w:r>
                                  </w:p>
                                </w:txbxContent>
                              </wps:txbx>
                              <wps:bodyPr horzOverflow="overflow" vert="horz" lIns="0" tIns="0" rIns="0" bIns="0" rtlCol="0">
                                <a:noAutofit/>
                              </wps:bodyPr>
                            </wps:wsp>
                          </wpg:wgp>
                        </a:graphicData>
                      </a:graphic>
                    </wp:inline>
                  </w:drawing>
                </mc:Choice>
                <mc:Fallback xmlns:a="http://schemas.openxmlformats.org/drawingml/2006/main">
                  <w:pict>
                    <v:group id="Group 93219" style="width:10.6113pt;height:56.3354pt;mso-position-horizontal-relative:char;mso-position-vertical-relative:line" coordsize="1347,7154">
                      <v:shape id="Picture 94105" style="position:absolute;width:7154;height:1219;left:-2967;top:2967;rotation:90;" filled="f">
                        <v:imagedata r:id="rId109"/>
                      </v:shape>
                      <v:rect id="Rectangle 23083" style="position:absolute;width:1749;height:810;left:32;top:4555;" filled="f" stroked="f">
                        <v:textbox inset="0,0,0,0">
                          <w:txbxContent>
                            <w:p>
                              <w:pPr>
                                <w:spacing w:before="0" w:after="160" w:line="259" w:lineRule="auto"/>
                                <w:ind w:right="0" w:firstLine="0"/>
                                <w:jc w:val="left"/>
                              </w:pPr>
                              <w:r>
                                <w:rPr>
                                  <w:rFonts w:cs="MS Mincho" w:hAnsi="MS Mincho" w:eastAsia="MS Mincho" w:ascii="MS Mincho"/>
                                  <w:sz w:val="10"/>
                                </w:rPr>
                                <w:t xml:space="preserve">公</w:t>
                              </w:r>
                            </w:p>
                          </w:txbxContent>
                        </v:textbox>
                      </v:rect>
                    </v:group>
                  </w:pict>
                </mc:Fallback>
              </mc:AlternateContent>
            </w:r>
            <w:r>
              <w:rPr>
                <w:rFonts w:ascii="MS Mincho" w:eastAsia="MS Mincho" w:hAnsi="MS Mincho" w:cs="MS Mincho"/>
                <w:sz w:val="10"/>
              </w:rPr>
              <w:t>d</w:t>
            </w:r>
            <w:r>
              <w:rPr>
                <w:rFonts w:ascii="MS Mincho" w:eastAsia="MS Mincho" w:hAnsi="MS Mincho" w:cs="MS Mincho"/>
                <w:sz w:val="10"/>
              </w:rPr>
              <w:t>望</w:t>
            </w:r>
            <w:r>
              <w:rPr>
                <w:rFonts w:ascii="MS Mincho" w:eastAsia="MS Mincho" w:hAnsi="MS Mincho" w:cs="MS Mincho"/>
                <w:sz w:val="10"/>
              </w:rPr>
              <w:t xml:space="preserve"> dawtgd»</w:t>
            </w:r>
            <w:r>
              <w:rPr>
                <w:rFonts w:ascii="MS Mincho" w:eastAsia="MS Mincho" w:hAnsi="MS Mincho" w:cs="MS Mincho"/>
                <w:sz w:val="10"/>
              </w:rPr>
              <w:t>ま</w:t>
            </w:r>
            <w:r>
              <w:rPr>
                <w:rFonts w:ascii="MS Mincho" w:eastAsia="MS Mincho" w:hAnsi="MS Mincho" w:cs="MS Mincho"/>
                <w:sz w:val="10"/>
              </w:rPr>
              <w:t xml:space="preserve"> </w:t>
            </w:r>
            <w:r>
              <w:rPr>
                <w:rFonts w:ascii="MS Mincho" w:eastAsia="MS Mincho" w:hAnsi="MS Mincho" w:cs="MS Mincho"/>
                <w:sz w:val="10"/>
              </w:rPr>
              <w:t>ト</w:t>
            </w:r>
            <w:r>
              <w:rPr>
                <w:rFonts w:ascii="MS Mincho" w:eastAsia="MS Mincho" w:hAnsi="MS Mincho" w:cs="MS Mincho"/>
                <w:sz w:val="10"/>
              </w:rPr>
              <w:t>Be</w:t>
            </w:r>
            <w:r>
              <w:rPr>
                <w:rFonts w:ascii="MS Mincho" w:eastAsia="MS Mincho" w:hAnsi="MS Mincho" w:cs="MS Mincho"/>
                <w:sz w:val="10"/>
              </w:rPr>
              <w:t>ま</w:t>
            </w:r>
            <w:r>
              <w:rPr>
                <w:rFonts w:ascii="MS Mincho" w:eastAsia="MS Mincho" w:hAnsi="MS Mincho" w:cs="MS Mincho"/>
                <w:sz w:val="10"/>
              </w:rPr>
              <w:t>01.1011</w:t>
            </w:r>
            <w:r>
              <w:rPr>
                <w:rFonts w:ascii="MS Mincho" w:eastAsia="MS Mincho" w:hAnsi="MS Mincho" w:cs="MS Mincho"/>
                <w:sz w:val="10"/>
              </w:rPr>
              <w:t>ー</w:t>
            </w:r>
            <w:r>
              <w:rPr>
                <w:rFonts w:ascii="MS Mincho" w:eastAsia="MS Mincho" w:hAnsi="MS Mincho" w:cs="MS Mincho"/>
                <w:sz w:val="10"/>
              </w:rPr>
              <w:t xml:space="preserve"> </w:t>
            </w:r>
            <w:r>
              <w:rPr>
                <w:rFonts w:ascii="MS Mincho" w:eastAsia="MS Mincho" w:hAnsi="MS Mincho" w:cs="MS Mincho"/>
                <w:sz w:val="10"/>
              </w:rPr>
              <w:t>ト・ヨま電月</w:t>
            </w:r>
            <w:r>
              <w:rPr>
                <w:rFonts w:ascii="MS Mincho" w:eastAsia="MS Mincho" w:hAnsi="MS Mincho" w:cs="MS Mincho"/>
                <w:sz w:val="10"/>
              </w:rPr>
              <w:t>:</w:t>
            </w:r>
            <w:r>
              <w:rPr>
                <w:noProof/>
                <w:sz w:val="22"/>
              </w:rPr>
              <mc:AlternateContent>
                <mc:Choice Requires="wpg">
                  <w:drawing>
                    <wp:inline distT="0" distB="0" distL="0" distR="0">
                      <wp:extent cx="154015" cy="612793"/>
                      <wp:effectExtent l="0" t="0" r="0" b="0"/>
                      <wp:docPr id="93220" name="Group 93220"/>
                      <wp:cNvGraphicFramePr/>
                      <a:graphic xmlns:a="http://schemas.openxmlformats.org/drawingml/2006/main">
                        <a:graphicData uri="http://schemas.microsoft.com/office/word/2010/wordprocessingGroup">
                          <wpg:wgp>
                            <wpg:cNvGrpSpPr/>
                            <wpg:grpSpPr>
                              <a:xfrm>
                                <a:off x="0" y="0"/>
                                <a:ext cx="154015" cy="612793"/>
                                <a:chOff x="0" y="0"/>
                                <a:chExt cx="154015" cy="612793"/>
                              </a:xfrm>
                            </wpg:grpSpPr>
                            <pic:pic xmlns:pic="http://schemas.openxmlformats.org/drawingml/2006/picture">
                              <pic:nvPicPr>
                                <pic:cNvPr id="94106" name="Picture 94106"/>
                                <pic:cNvPicPr/>
                              </pic:nvPicPr>
                              <pic:blipFill>
                                <a:blip r:embed="rId110"/>
                                <a:stretch>
                                  <a:fillRect/>
                                </a:stretch>
                              </pic:blipFill>
                              <pic:spPr>
                                <a:xfrm rot="5399999">
                                  <a:off x="-243828" y="243829"/>
                                  <a:ext cx="612793" cy="125137"/>
                                </a:xfrm>
                                <a:prstGeom prst="rect">
                                  <a:avLst/>
                                </a:prstGeom>
                              </pic:spPr>
                            </pic:pic>
                            <wps:wsp>
                              <wps:cNvPr id="23101" name="Rectangle 23101"/>
                              <wps:cNvSpPr/>
                              <wps:spPr>
                                <a:xfrm>
                                  <a:off x="22460" y="397834"/>
                                  <a:ext cx="174968" cy="85342"/>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0"/>
                                      </w:rPr>
                                      <w:t>号</w:t>
                                    </w:r>
                                  </w:p>
                                </w:txbxContent>
                              </wps:txbx>
                              <wps:bodyPr horzOverflow="overflow" vert="horz" lIns="0" tIns="0" rIns="0" bIns="0" rtlCol="0">
                                <a:noAutofit/>
                              </wps:bodyPr>
                            </wps:wsp>
                          </wpg:wgp>
                        </a:graphicData>
                      </a:graphic>
                    </wp:inline>
                  </w:drawing>
                </mc:Choice>
                <mc:Fallback xmlns:a="http://schemas.openxmlformats.org/drawingml/2006/main">
                  <w:pict>
                    <v:group id="Group 93220" style="width:12.1272pt;height:48.2514pt;mso-position-horizontal-relative:char;mso-position-vertical-relative:line" coordsize="1540,6127">
                      <v:shape id="Picture 94106" style="position:absolute;width:6127;height:1251;left:-2438;top:2438;rotation:90;" filled="f">
                        <v:imagedata r:id="rId111"/>
                      </v:shape>
                      <v:rect id="Rectangle 23101" style="position:absolute;width:1749;height:853;left:224;top:3978;" filled="f" stroked="f">
                        <v:textbox inset="0,0,0,0">
                          <w:txbxContent>
                            <w:p>
                              <w:pPr>
                                <w:spacing w:before="0" w:after="160" w:line="259" w:lineRule="auto"/>
                                <w:ind w:right="0" w:firstLine="0"/>
                                <w:jc w:val="left"/>
                              </w:pPr>
                              <w:r>
                                <w:rPr>
                                  <w:rFonts w:cs="MS Mincho" w:hAnsi="MS Mincho" w:eastAsia="MS Mincho" w:ascii="MS Mincho"/>
                                  <w:sz w:val="10"/>
                                </w:rPr>
                                <w:t xml:space="preserve">号</w:t>
                              </w:r>
                            </w:p>
                          </w:txbxContent>
                        </v:textbox>
                      </v:rect>
                    </v:group>
                  </w:pict>
                </mc:Fallback>
              </mc:AlternateContent>
            </w:r>
            <w:r>
              <w:rPr>
                <w:rFonts w:ascii="MS Mincho" w:eastAsia="MS Mincho" w:hAnsi="MS Mincho" w:cs="MS Mincho"/>
                <w:sz w:val="10"/>
              </w:rPr>
              <w:t>¥~</w:t>
            </w:r>
            <w:r>
              <w:rPr>
                <w:rFonts w:ascii="MS Mincho" w:eastAsia="MS Mincho" w:hAnsi="MS Mincho" w:cs="MS Mincho"/>
                <w:sz w:val="10"/>
              </w:rPr>
              <w:t>あ</w:t>
            </w:r>
            <w:r>
              <w:rPr>
                <w:rFonts w:ascii="MS Mincho" w:eastAsia="MS Mincho" w:hAnsi="MS Mincho" w:cs="MS Mincho"/>
                <w:sz w:val="10"/>
              </w:rPr>
              <w:t>0</w:t>
            </w:r>
            <w:r>
              <w:rPr>
                <w:rFonts w:ascii="MS Mincho" w:eastAsia="MS Mincho" w:hAnsi="MS Mincho" w:cs="MS Mincho"/>
                <w:sz w:val="10"/>
              </w:rPr>
              <w:t>トあ</w:t>
            </w:r>
            <w:r>
              <w:rPr>
                <w:rFonts w:ascii="MS Mincho" w:eastAsia="MS Mincho" w:hAnsi="MS Mincho" w:cs="MS Mincho"/>
                <w:sz w:val="10"/>
              </w:rPr>
              <w:t>OH</w:t>
            </w:r>
            <w:r>
              <w:rPr>
                <w:rFonts w:ascii="MS Mincho" w:eastAsia="MS Mincho" w:hAnsi="MS Mincho" w:cs="MS Mincho"/>
                <w:sz w:val="10"/>
              </w:rPr>
              <w:t>ー</w:t>
            </w:r>
            <w:r>
              <w:rPr>
                <w:rFonts w:ascii="MS Mincho" w:eastAsia="MS Mincho" w:hAnsi="MS Mincho" w:cs="MS Mincho"/>
                <w:sz w:val="10"/>
              </w:rPr>
              <w:t xml:space="preserve"> </w:t>
            </w:r>
            <w:r>
              <w:rPr>
                <w:rFonts w:ascii="MS Mincho" w:eastAsia="MS Mincho" w:hAnsi="MS Mincho" w:cs="MS Mincho"/>
                <w:sz w:val="10"/>
              </w:rPr>
              <w:t>【・髪</w:t>
            </w:r>
            <w:r>
              <w:rPr>
                <w:rFonts w:ascii="MS Mincho" w:eastAsia="MS Mincho" w:hAnsi="MS Mincho" w:cs="MS Mincho"/>
                <w:sz w:val="10"/>
              </w:rPr>
              <w:t>Bh</w:t>
            </w:r>
            <w:r>
              <w:rPr>
                <w:rFonts w:ascii="MS Mincho" w:eastAsia="MS Mincho" w:hAnsi="MS Mincho" w:cs="MS Mincho"/>
                <w:sz w:val="10"/>
              </w:rPr>
              <w:t>・</w:t>
            </w:r>
            <w:r>
              <w:rPr>
                <w:rFonts w:ascii="MS Mincho" w:eastAsia="MS Mincho" w:hAnsi="MS Mincho" w:cs="MS Mincho"/>
                <w:sz w:val="10"/>
              </w:rPr>
              <w:t>Rdu</w:t>
            </w:r>
          </w:p>
        </w:tc>
      </w:tr>
      <w:tr w:rsidR="00721CF3">
        <w:trPr>
          <w:trHeight w:val="1257"/>
        </w:trPr>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c>
          <w:tcPr>
            <w:tcW w:w="0" w:type="auto"/>
            <w:vMerge/>
            <w:tcBorders>
              <w:top w:val="nil"/>
              <w:left w:val="single" w:sz="2" w:space="0" w:color="000000"/>
              <w:bottom w:val="single" w:sz="2" w:space="0" w:color="000000"/>
              <w:right w:val="single" w:sz="2" w:space="0" w:color="000000"/>
            </w:tcBorders>
            <w:textDirection w:val="tbRlV"/>
            <w:vAlign w:val="bottom"/>
          </w:tcPr>
          <w:p w:rsidR="00721CF3" w:rsidRDefault="00721CF3">
            <w:pPr>
              <w:spacing w:after="160" w:line="259" w:lineRule="auto"/>
              <w:ind w:right="0" w:firstLine="0"/>
              <w:jc w:val="left"/>
            </w:pPr>
          </w:p>
        </w:tc>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r>
      <w:tr w:rsidR="00721CF3">
        <w:trPr>
          <w:trHeight w:val="993"/>
        </w:trPr>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c>
          <w:tcPr>
            <w:tcW w:w="414" w:type="dxa"/>
            <w:tcBorders>
              <w:top w:val="single" w:sz="2" w:space="0" w:color="000000"/>
              <w:left w:val="single" w:sz="2" w:space="0" w:color="000000"/>
              <w:bottom w:val="single" w:sz="2" w:space="0" w:color="000000"/>
              <w:right w:val="single" w:sz="2" w:space="0" w:color="000000"/>
            </w:tcBorders>
            <w:textDirection w:val="tbRlV"/>
            <w:vAlign w:val="bottom"/>
          </w:tcPr>
          <w:p w:rsidR="00721CF3" w:rsidRDefault="00063BD2">
            <w:pPr>
              <w:spacing w:after="0" w:line="259" w:lineRule="auto"/>
              <w:ind w:left="180" w:right="0" w:firstLine="0"/>
            </w:pPr>
            <w:r>
              <w:rPr>
                <w:rFonts w:ascii="MS Mincho" w:eastAsia="MS Mincho" w:hAnsi="MS Mincho" w:cs="MS Mincho"/>
                <w:sz w:val="38"/>
              </w:rPr>
              <w:t>JAH</w:t>
            </w:r>
          </w:p>
        </w:tc>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r>
      <w:tr w:rsidR="00721CF3">
        <w:trPr>
          <w:trHeight w:val="1718"/>
        </w:trPr>
        <w:tc>
          <w:tcPr>
            <w:tcW w:w="0" w:type="auto"/>
            <w:vMerge/>
            <w:tcBorders>
              <w:top w:val="nil"/>
              <w:left w:val="single" w:sz="2" w:space="0" w:color="000000"/>
              <w:bottom w:val="single" w:sz="2" w:space="0" w:color="000000"/>
              <w:right w:val="single" w:sz="2" w:space="0" w:color="000000"/>
            </w:tcBorders>
            <w:textDirection w:val="tbRlV"/>
          </w:tcPr>
          <w:p w:rsidR="00721CF3" w:rsidRDefault="00721CF3">
            <w:pPr>
              <w:spacing w:after="160" w:line="259" w:lineRule="auto"/>
              <w:ind w:right="0" w:firstLine="0"/>
              <w:jc w:val="left"/>
            </w:pPr>
          </w:p>
        </w:tc>
        <w:tc>
          <w:tcPr>
            <w:tcW w:w="414" w:type="dxa"/>
            <w:tcBorders>
              <w:top w:val="single" w:sz="2" w:space="0" w:color="000000"/>
              <w:left w:val="single" w:sz="2" w:space="0" w:color="000000"/>
              <w:bottom w:val="single" w:sz="2" w:space="0" w:color="000000"/>
              <w:right w:val="single" w:sz="2" w:space="0" w:color="000000"/>
            </w:tcBorders>
            <w:textDirection w:val="tbRlV"/>
          </w:tcPr>
          <w:p w:rsidR="00721CF3" w:rsidRDefault="00721CF3">
            <w:pPr>
              <w:spacing w:after="160" w:line="259" w:lineRule="auto"/>
              <w:ind w:right="0" w:firstLine="0"/>
              <w:jc w:val="left"/>
            </w:pPr>
          </w:p>
        </w:tc>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r>
      <w:tr w:rsidR="00721CF3">
        <w:trPr>
          <w:trHeight w:val="1425"/>
        </w:trPr>
        <w:tc>
          <w:tcPr>
            <w:tcW w:w="692" w:type="dxa"/>
            <w:vMerge w:val="restart"/>
            <w:tcBorders>
              <w:top w:val="single" w:sz="2" w:space="0" w:color="000000"/>
              <w:left w:val="single" w:sz="2" w:space="0" w:color="000000"/>
              <w:bottom w:val="single" w:sz="2" w:space="0" w:color="000000"/>
              <w:right w:val="single" w:sz="2" w:space="0" w:color="000000"/>
            </w:tcBorders>
            <w:textDirection w:val="tbRlV"/>
            <w:vAlign w:val="bottom"/>
          </w:tcPr>
          <w:p w:rsidR="00721CF3" w:rsidRDefault="00063BD2">
            <w:pPr>
              <w:spacing w:after="0" w:line="259" w:lineRule="auto"/>
              <w:ind w:right="9" w:firstLine="0"/>
              <w:jc w:val="right"/>
            </w:pPr>
            <w:r>
              <w:rPr>
                <w:rFonts w:ascii="MS Mincho" w:eastAsia="MS Mincho" w:hAnsi="MS Mincho" w:cs="MS Mincho"/>
                <w:sz w:val="10"/>
              </w:rPr>
              <w:t>ミ</w:t>
            </w:r>
            <w:r>
              <w:rPr>
                <w:rFonts w:ascii="MS Mincho" w:eastAsia="MS Mincho" w:hAnsi="MS Mincho" w:cs="MS Mincho"/>
                <w:sz w:val="10"/>
              </w:rPr>
              <w:t>H2809</w:t>
            </w:r>
            <w:r>
              <w:rPr>
                <w:rFonts w:ascii="MS Mincho" w:eastAsia="MS Mincho" w:hAnsi="MS Mincho" w:cs="MS Mincho"/>
                <w:sz w:val="10"/>
              </w:rPr>
              <w:t>の</w:t>
            </w:r>
            <w:r>
              <w:rPr>
                <w:rFonts w:ascii="MS Mincho" w:eastAsia="MS Mincho" w:hAnsi="MS Mincho" w:cs="MS Mincho"/>
                <w:sz w:val="10"/>
              </w:rPr>
              <w:t xml:space="preserve">d.L </w:t>
            </w:r>
            <w:r>
              <w:rPr>
                <w:rFonts w:ascii="MS Mincho" w:eastAsia="MS Mincho" w:hAnsi="MS Mincho" w:cs="MS Mincho"/>
                <w:sz w:val="10"/>
              </w:rPr>
              <w:t>ミ</w:t>
            </w:r>
            <w:r>
              <w:rPr>
                <w:rFonts w:ascii="MS Mincho" w:eastAsia="MS Mincho" w:hAnsi="MS Mincho" w:cs="MS Mincho"/>
                <w:sz w:val="10"/>
              </w:rPr>
              <w:t>02h</w:t>
            </w:r>
            <w:r>
              <w:rPr>
                <w:rFonts w:ascii="MS Mincho" w:eastAsia="MS Mincho" w:hAnsi="MS Mincho" w:cs="MS Mincho"/>
                <w:sz w:val="10"/>
              </w:rPr>
              <w:t>ミ」</w:t>
            </w:r>
            <w:r>
              <w:rPr>
                <w:rFonts w:ascii="MS Mincho" w:eastAsia="MS Mincho" w:hAnsi="MS Mincho" w:cs="MS Mincho"/>
                <w:sz w:val="10"/>
              </w:rPr>
              <w:t>00bNê</w:t>
            </w:r>
            <w:r>
              <w:rPr>
                <w:rFonts w:ascii="MS Mincho" w:eastAsia="MS Mincho" w:hAnsi="MS Mincho" w:cs="MS Mincho"/>
                <w:sz w:val="10"/>
              </w:rPr>
              <w:t>ミ</w:t>
            </w:r>
            <w:r>
              <w:rPr>
                <w:rFonts w:ascii="MS Mincho" w:eastAsia="MS Mincho" w:hAnsi="MS Mincho" w:cs="MS Mincho"/>
                <w:sz w:val="10"/>
              </w:rPr>
              <w:t>u</w:t>
            </w:r>
            <w:r>
              <w:rPr>
                <w:rFonts w:ascii="MS Mincho" w:eastAsia="MS Mincho" w:hAnsi="MS Mincho" w:cs="MS Mincho"/>
                <w:sz w:val="10"/>
              </w:rPr>
              <w:t>の</w:t>
            </w:r>
          </w:p>
          <w:p w:rsidR="00721CF3" w:rsidRDefault="00063BD2">
            <w:pPr>
              <w:spacing w:after="0" w:line="259" w:lineRule="auto"/>
              <w:ind w:right="20" w:firstLine="0"/>
              <w:jc w:val="center"/>
            </w:pPr>
            <w:r>
              <w:rPr>
                <w:rFonts w:ascii="MS Mincho" w:eastAsia="MS Mincho" w:hAnsi="MS Mincho" w:cs="MS Mincho"/>
                <w:sz w:val="10"/>
              </w:rPr>
              <w:t>・</w:t>
            </w:r>
            <w:r>
              <w:rPr>
                <w:rFonts w:ascii="MS Mincho" w:eastAsia="MS Mincho" w:hAnsi="MS Mincho" w:cs="MS Mincho"/>
                <w:sz w:val="10"/>
              </w:rPr>
              <w:t xml:space="preserve">OHd </w:t>
            </w:r>
            <w:r>
              <w:rPr>
                <w:rFonts w:ascii="MS Mincho" w:eastAsia="MS Mincho" w:hAnsi="MS Mincho" w:cs="MS Mincho"/>
                <w:sz w:val="10"/>
              </w:rPr>
              <w:t>ミ</w:t>
            </w:r>
            <w:r>
              <w:rPr>
                <w:rFonts w:ascii="MS Mincho" w:eastAsia="MS Mincho" w:hAnsi="MS Mincho" w:cs="MS Mincho"/>
                <w:sz w:val="10"/>
              </w:rPr>
              <w:t>H 00</w:t>
            </w:r>
            <w:r>
              <w:rPr>
                <w:rFonts w:ascii="MS Mincho" w:eastAsia="MS Mincho" w:hAnsi="MS Mincho" w:cs="MS Mincho"/>
                <w:sz w:val="10"/>
              </w:rPr>
              <w:t>の</w:t>
            </w:r>
            <w:r>
              <w:rPr>
                <w:rFonts w:ascii="MS Mincho" w:eastAsia="MS Mincho" w:hAnsi="MS Mincho" w:cs="MS Mincho"/>
                <w:sz w:val="10"/>
              </w:rPr>
              <w:t xml:space="preserve"> 8</w:t>
            </w:r>
            <w:r>
              <w:rPr>
                <w:rFonts w:ascii="MS Mincho" w:eastAsia="MS Mincho" w:hAnsi="MS Mincho" w:cs="MS Mincho"/>
                <w:sz w:val="10"/>
              </w:rPr>
              <w:t>ト</w:t>
            </w:r>
            <w:r>
              <w:rPr>
                <w:rFonts w:ascii="MS Mincho" w:eastAsia="MS Mincho" w:hAnsi="MS Mincho" w:cs="MS Mincho"/>
                <w:sz w:val="10"/>
              </w:rPr>
              <w:t xml:space="preserve">31 </w:t>
            </w:r>
            <w:r>
              <w:rPr>
                <w:rFonts w:ascii="MS Mincho" w:eastAsia="MS Mincho" w:hAnsi="MS Mincho" w:cs="MS Mincho"/>
                <w:sz w:val="10"/>
              </w:rPr>
              <w:t>ト</w:t>
            </w:r>
            <w:r>
              <w:rPr>
                <w:rFonts w:ascii="MS Mincho" w:eastAsia="MS Mincho" w:hAnsi="MS Mincho" w:cs="MS Mincho"/>
                <w:sz w:val="10"/>
              </w:rPr>
              <w:t>000</w:t>
            </w:r>
          </w:p>
        </w:tc>
        <w:tc>
          <w:tcPr>
            <w:tcW w:w="414" w:type="dxa"/>
            <w:tcBorders>
              <w:top w:val="single" w:sz="2" w:space="0" w:color="000000"/>
              <w:left w:val="single" w:sz="2" w:space="0" w:color="000000"/>
              <w:bottom w:val="single" w:sz="2" w:space="0" w:color="000000"/>
              <w:right w:val="single" w:sz="2" w:space="0" w:color="000000"/>
            </w:tcBorders>
            <w:textDirection w:val="tbRlV"/>
            <w:vAlign w:val="bottom"/>
          </w:tcPr>
          <w:p w:rsidR="00721CF3" w:rsidRDefault="00063BD2">
            <w:pPr>
              <w:spacing w:after="0" w:line="259" w:lineRule="auto"/>
              <w:ind w:left="384" w:right="0" w:firstLine="0"/>
              <w:jc w:val="left"/>
            </w:pPr>
            <w:r>
              <w:rPr>
                <w:rFonts w:ascii="MS Mincho" w:eastAsia="MS Mincho" w:hAnsi="MS Mincho" w:cs="MS Mincho"/>
                <w:sz w:val="40"/>
              </w:rPr>
              <w:t>.LÃH</w:t>
            </w:r>
          </w:p>
        </w:tc>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r>
      <w:tr w:rsidR="00721CF3">
        <w:trPr>
          <w:trHeight w:val="1990"/>
        </w:trPr>
        <w:tc>
          <w:tcPr>
            <w:tcW w:w="0" w:type="auto"/>
            <w:vMerge/>
            <w:tcBorders>
              <w:top w:val="nil"/>
              <w:left w:val="single" w:sz="2" w:space="0" w:color="000000"/>
              <w:bottom w:val="single" w:sz="2" w:space="0" w:color="000000"/>
              <w:right w:val="single" w:sz="2" w:space="0" w:color="000000"/>
            </w:tcBorders>
            <w:textDirection w:val="tbRlV"/>
          </w:tcPr>
          <w:p w:rsidR="00721CF3" w:rsidRDefault="00721CF3">
            <w:pPr>
              <w:spacing w:after="160" w:line="259" w:lineRule="auto"/>
              <w:ind w:right="0" w:firstLine="0"/>
              <w:jc w:val="left"/>
            </w:pPr>
          </w:p>
        </w:tc>
        <w:tc>
          <w:tcPr>
            <w:tcW w:w="414" w:type="dxa"/>
            <w:tcBorders>
              <w:top w:val="single" w:sz="2" w:space="0" w:color="000000"/>
              <w:left w:val="single" w:sz="2" w:space="0" w:color="000000"/>
              <w:bottom w:val="single" w:sz="2" w:space="0" w:color="000000"/>
              <w:right w:val="single" w:sz="2" w:space="0" w:color="000000"/>
            </w:tcBorders>
            <w:textDirection w:val="tbRlV"/>
          </w:tcPr>
          <w:p w:rsidR="00721CF3" w:rsidRDefault="00721CF3">
            <w:pPr>
              <w:spacing w:after="160" w:line="259" w:lineRule="auto"/>
              <w:ind w:right="0" w:firstLine="0"/>
              <w:jc w:val="left"/>
            </w:pPr>
          </w:p>
        </w:tc>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r>
      <w:tr w:rsidR="00721CF3">
        <w:trPr>
          <w:trHeight w:val="1279"/>
        </w:trPr>
        <w:tc>
          <w:tcPr>
            <w:tcW w:w="692" w:type="dxa"/>
            <w:vMerge w:val="restart"/>
            <w:tcBorders>
              <w:top w:val="single" w:sz="2" w:space="0" w:color="000000"/>
              <w:left w:val="single" w:sz="2" w:space="0" w:color="000000"/>
              <w:bottom w:val="single" w:sz="2" w:space="0" w:color="000000"/>
              <w:right w:val="single" w:sz="2" w:space="0" w:color="000000"/>
            </w:tcBorders>
            <w:textDirection w:val="tbRlV"/>
            <w:vAlign w:val="bottom"/>
          </w:tcPr>
          <w:p w:rsidR="00721CF3" w:rsidRDefault="00063BD2">
            <w:pPr>
              <w:spacing w:after="35" w:line="259" w:lineRule="auto"/>
              <w:ind w:left="1481" w:right="0" w:firstLine="0"/>
              <w:jc w:val="left"/>
            </w:pPr>
            <w:r>
              <w:rPr>
                <w:noProof/>
              </w:rPr>
              <w:drawing>
                <wp:inline distT="0" distB="0" distL="0" distR="0">
                  <wp:extent cx="118720" cy="580710"/>
                  <wp:effectExtent l="0" t="0" r="0" b="0"/>
                  <wp:docPr id="31173" name="Picture 31173"/>
                  <wp:cNvGraphicFramePr/>
                  <a:graphic xmlns:a="http://schemas.openxmlformats.org/drawingml/2006/main">
                    <a:graphicData uri="http://schemas.openxmlformats.org/drawingml/2006/picture">
                      <pic:pic xmlns:pic="http://schemas.openxmlformats.org/drawingml/2006/picture">
                        <pic:nvPicPr>
                          <pic:cNvPr id="31173" name="Picture 31173"/>
                          <pic:cNvPicPr/>
                        </pic:nvPicPr>
                        <pic:blipFill>
                          <a:blip r:embed="rId112"/>
                          <a:stretch>
                            <a:fillRect/>
                          </a:stretch>
                        </pic:blipFill>
                        <pic:spPr>
                          <a:xfrm>
                            <a:off x="0" y="0"/>
                            <a:ext cx="118720" cy="580710"/>
                          </a:xfrm>
                          <a:prstGeom prst="rect">
                            <a:avLst/>
                          </a:prstGeom>
                        </pic:spPr>
                      </pic:pic>
                    </a:graphicData>
                  </a:graphic>
                </wp:inline>
              </w:drawing>
            </w:r>
          </w:p>
          <w:p w:rsidR="00721CF3" w:rsidRDefault="00063BD2">
            <w:pPr>
              <w:spacing w:after="0" w:line="259" w:lineRule="auto"/>
              <w:ind w:right="23" w:firstLine="0"/>
              <w:jc w:val="center"/>
            </w:pPr>
            <w:r>
              <w:rPr>
                <w:rFonts w:ascii="MS Mincho" w:eastAsia="MS Mincho" w:hAnsi="MS Mincho" w:cs="MS Mincho"/>
                <w:sz w:val="10"/>
              </w:rPr>
              <w:t>2W0</w:t>
            </w:r>
            <w:r>
              <w:rPr>
                <w:rFonts w:ascii="MS Mincho" w:eastAsia="MS Mincho" w:hAnsi="MS Mincho" w:cs="MS Mincho"/>
                <w:sz w:val="10"/>
              </w:rPr>
              <w:t>く</w:t>
            </w:r>
            <w:r>
              <w:rPr>
                <w:rFonts w:ascii="MS Mincho" w:eastAsia="MS Mincho" w:hAnsi="MS Mincho" w:cs="MS Mincho"/>
                <w:sz w:val="10"/>
              </w:rPr>
              <w:t xml:space="preserve">50 </w:t>
            </w:r>
            <w:r>
              <w:rPr>
                <w:rFonts w:ascii="MS Mincho" w:eastAsia="MS Mincho" w:hAnsi="MS Mincho" w:cs="MS Mincho"/>
                <w:sz w:val="10"/>
              </w:rPr>
              <w:t>ョ</w:t>
            </w:r>
            <w:r>
              <w:rPr>
                <w:rFonts w:ascii="MS Mincho" w:eastAsia="MS Mincho" w:hAnsi="MS Mincho" w:cs="MS Mincho"/>
                <w:sz w:val="10"/>
              </w:rPr>
              <w:t>9</w:t>
            </w:r>
            <w:r>
              <w:rPr>
                <w:rFonts w:ascii="MS Mincho" w:eastAsia="MS Mincho" w:hAnsi="MS Mincho" w:cs="MS Mincho"/>
                <w:sz w:val="10"/>
              </w:rPr>
              <w:t>孚</w:t>
            </w:r>
            <w:r>
              <w:rPr>
                <w:rFonts w:ascii="MS Mincho" w:eastAsia="MS Mincho" w:hAnsi="MS Mincho" w:cs="MS Mincho"/>
                <w:sz w:val="10"/>
              </w:rPr>
              <w:t>K90K00</w:t>
            </w:r>
            <w:r>
              <w:rPr>
                <w:rFonts w:ascii="MS Mincho" w:eastAsia="MS Mincho" w:hAnsi="MS Mincho" w:cs="MS Mincho"/>
                <w:sz w:val="10"/>
              </w:rPr>
              <w:t>ののミ</w:t>
            </w:r>
            <w:r>
              <w:rPr>
                <w:rFonts w:ascii="MS Mincho" w:eastAsia="MS Mincho" w:hAnsi="MS Mincho" w:cs="MS Mincho"/>
                <w:sz w:val="10"/>
              </w:rPr>
              <w:t>h</w:t>
            </w:r>
            <w:r>
              <w:rPr>
                <w:rFonts w:ascii="MS Mincho" w:eastAsia="MS Mincho" w:hAnsi="MS Mincho" w:cs="MS Mincho"/>
                <w:sz w:val="10"/>
              </w:rPr>
              <w:t>ミ目</w:t>
            </w:r>
            <w:r>
              <w:rPr>
                <w:rFonts w:ascii="MS Mincho" w:eastAsia="MS Mincho" w:hAnsi="MS Mincho" w:cs="MS Mincho"/>
                <w:sz w:val="10"/>
              </w:rPr>
              <w:t>H</w:t>
            </w:r>
          </w:p>
        </w:tc>
        <w:tc>
          <w:tcPr>
            <w:tcW w:w="414" w:type="dxa"/>
            <w:tcBorders>
              <w:top w:val="single" w:sz="2" w:space="0" w:color="000000"/>
              <w:left w:val="single" w:sz="2" w:space="0" w:color="000000"/>
              <w:bottom w:val="single" w:sz="2" w:space="0" w:color="000000"/>
              <w:right w:val="single" w:sz="2" w:space="0" w:color="000000"/>
            </w:tcBorders>
            <w:textDirection w:val="tbRlV"/>
            <w:vAlign w:val="bottom"/>
          </w:tcPr>
          <w:p w:rsidR="00721CF3" w:rsidRDefault="00063BD2">
            <w:pPr>
              <w:spacing w:after="0" w:line="259" w:lineRule="auto"/>
              <w:ind w:left="6" w:right="0" w:firstLine="0"/>
            </w:pPr>
            <w:r>
              <w:rPr>
                <w:rFonts w:ascii="MS Mincho" w:eastAsia="MS Mincho" w:hAnsi="MS Mincho" w:cs="MS Mincho"/>
                <w:sz w:val="10"/>
              </w:rPr>
              <w:t>ト</w:t>
            </w:r>
            <w:r>
              <w:rPr>
                <w:rFonts w:ascii="MS Mincho" w:eastAsia="MS Mincho" w:hAnsi="MS Mincho" w:cs="MS Mincho"/>
                <w:sz w:val="10"/>
              </w:rPr>
              <w:t>2X8</w:t>
            </w:r>
            <w:r>
              <w:rPr>
                <w:rFonts w:ascii="MS Mincho" w:eastAsia="MS Mincho" w:hAnsi="MS Mincho" w:cs="MS Mincho"/>
                <w:sz w:val="10"/>
              </w:rPr>
              <w:t>ト</w:t>
            </w:r>
            <w:r>
              <w:rPr>
                <w:rFonts w:ascii="MS Mincho" w:eastAsia="MS Mincho" w:hAnsi="MS Mincho" w:cs="MS Mincho"/>
                <w:sz w:val="10"/>
              </w:rPr>
              <w:t>0</w:t>
            </w:r>
            <w:r>
              <w:rPr>
                <w:rFonts w:ascii="MS Mincho" w:eastAsia="MS Mincho" w:hAnsi="MS Mincho" w:cs="MS Mincho"/>
                <w:sz w:val="10"/>
              </w:rPr>
              <w:t>ト</w:t>
            </w:r>
            <w:r>
              <w:rPr>
                <w:rFonts w:ascii="MS Mincho" w:eastAsia="MS Mincho" w:hAnsi="MS Mincho" w:cs="MS Mincho"/>
                <w:sz w:val="10"/>
              </w:rPr>
              <w:t>(0</w:t>
            </w:r>
            <w:r>
              <w:rPr>
                <w:rFonts w:ascii="MS Mincho" w:eastAsia="MS Mincho" w:hAnsi="MS Mincho" w:cs="MS Mincho"/>
                <w:sz w:val="10"/>
              </w:rPr>
              <w:t>ト</w:t>
            </w:r>
            <w:r>
              <w:rPr>
                <w:rFonts w:ascii="MS Mincho" w:eastAsia="MS Mincho" w:hAnsi="MS Mincho" w:cs="MS Mincho"/>
                <w:sz w:val="10"/>
              </w:rPr>
              <w:t>0</w:t>
            </w:r>
          </w:p>
        </w:tc>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r>
      <w:tr w:rsidR="00721CF3">
        <w:trPr>
          <w:trHeight w:val="998"/>
        </w:trPr>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c>
          <w:tcPr>
            <w:tcW w:w="414" w:type="dxa"/>
            <w:tcBorders>
              <w:top w:val="single" w:sz="2" w:space="0" w:color="000000"/>
              <w:left w:val="single" w:sz="2" w:space="0" w:color="000000"/>
              <w:bottom w:val="single" w:sz="2" w:space="0" w:color="000000"/>
              <w:right w:val="single" w:sz="2" w:space="0" w:color="000000"/>
            </w:tcBorders>
            <w:textDirection w:val="tbRlV"/>
            <w:vAlign w:val="bottom"/>
          </w:tcPr>
          <w:p w:rsidR="00721CF3" w:rsidRDefault="00063BD2">
            <w:pPr>
              <w:spacing w:after="0" w:line="259" w:lineRule="auto"/>
              <w:ind w:right="0" w:firstLine="0"/>
            </w:pPr>
            <w:r>
              <w:rPr>
                <w:rFonts w:ascii="MS Mincho" w:eastAsia="MS Mincho" w:hAnsi="MS Mincho" w:cs="MS Mincho"/>
                <w:sz w:val="44"/>
              </w:rPr>
              <w:t>ト</w:t>
            </w:r>
            <w:r>
              <w:rPr>
                <w:rFonts w:ascii="MS Mincho" w:eastAsia="MS Mincho" w:hAnsi="MS Mincho" w:cs="MS Mincho"/>
                <w:sz w:val="44"/>
              </w:rPr>
              <w:t>êITIHE</w:t>
            </w:r>
            <w:r>
              <w:rPr>
                <w:rFonts w:ascii="MS Mincho" w:eastAsia="MS Mincho" w:hAnsi="MS Mincho" w:cs="MS Mincho"/>
                <w:sz w:val="44"/>
              </w:rPr>
              <w:t>目</w:t>
            </w:r>
          </w:p>
        </w:tc>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r>
      <w:tr w:rsidR="00721CF3">
        <w:trPr>
          <w:trHeight w:val="861"/>
        </w:trPr>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c>
          <w:tcPr>
            <w:tcW w:w="414" w:type="dxa"/>
            <w:tcBorders>
              <w:top w:val="single" w:sz="2" w:space="0" w:color="000000"/>
              <w:left w:val="single" w:sz="2" w:space="0" w:color="000000"/>
              <w:bottom w:val="single" w:sz="2" w:space="0" w:color="000000"/>
              <w:right w:val="single" w:sz="2" w:space="0" w:color="000000"/>
            </w:tcBorders>
            <w:textDirection w:val="tbRlV"/>
            <w:vAlign w:val="bottom"/>
          </w:tcPr>
          <w:p w:rsidR="00721CF3" w:rsidRDefault="00063BD2">
            <w:pPr>
              <w:spacing w:after="0" w:line="259" w:lineRule="auto"/>
              <w:ind w:left="134" w:right="0" w:firstLine="0"/>
              <w:jc w:val="left"/>
            </w:pPr>
            <w:r>
              <w:rPr>
                <w:rFonts w:ascii="MS Mincho" w:eastAsia="MS Mincho" w:hAnsi="MS Mincho" w:cs="MS Mincho"/>
                <w:sz w:val="8"/>
              </w:rPr>
              <w:t>朞</w:t>
            </w:r>
          </w:p>
        </w:tc>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r>
      <w:tr w:rsidR="00721CF3">
        <w:trPr>
          <w:trHeight w:val="999"/>
        </w:trPr>
        <w:tc>
          <w:tcPr>
            <w:tcW w:w="0" w:type="auto"/>
            <w:vMerge/>
            <w:tcBorders>
              <w:top w:val="nil"/>
              <w:left w:val="single" w:sz="2" w:space="0" w:color="000000"/>
              <w:bottom w:val="single" w:sz="2" w:space="0" w:color="000000"/>
              <w:right w:val="single" w:sz="2" w:space="0" w:color="000000"/>
            </w:tcBorders>
            <w:textDirection w:val="tbRlV"/>
          </w:tcPr>
          <w:p w:rsidR="00721CF3" w:rsidRDefault="00721CF3">
            <w:pPr>
              <w:spacing w:after="160" w:line="259" w:lineRule="auto"/>
              <w:ind w:right="0" w:firstLine="0"/>
              <w:jc w:val="left"/>
            </w:pPr>
          </w:p>
        </w:tc>
        <w:tc>
          <w:tcPr>
            <w:tcW w:w="414" w:type="dxa"/>
            <w:tcBorders>
              <w:top w:val="single" w:sz="2" w:space="0" w:color="000000"/>
              <w:left w:val="single" w:sz="2" w:space="0" w:color="000000"/>
              <w:bottom w:val="single" w:sz="2" w:space="0" w:color="000000"/>
              <w:right w:val="single" w:sz="2" w:space="0" w:color="000000"/>
            </w:tcBorders>
            <w:textDirection w:val="tbRlV"/>
            <w:vAlign w:val="bottom"/>
          </w:tcPr>
          <w:p w:rsidR="00721CF3" w:rsidRDefault="00063BD2">
            <w:pPr>
              <w:spacing w:after="0" w:line="259" w:lineRule="auto"/>
              <w:ind w:left="237" w:right="0" w:firstLine="0"/>
              <w:jc w:val="left"/>
            </w:pPr>
            <w:r>
              <w:rPr>
                <w:rFonts w:ascii="MS Mincho" w:eastAsia="MS Mincho" w:hAnsi="MS Mincho" w:cs="MS Mincho"/>
              </w:rPr>
              <w:t>YLI</w:t>
            </w:r>
          </w:p>
        </w:tc>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r>
      <w:tr w:rsidR="00721CF3">
        <w:trPr>
          <w:trHeight w:val="2054"/>
        </w:trPr>
        <w:tc>
          <w:tcPr>
            <w:tcW w:w="692" w:type="dxa"/>
            <w:tcBorders>
              <w:top w:val="single" w:sz="2" w:space="0" w:color="000000"/>
              <w:left w:val="single" w:sz="2" w:space="0" w:color="000000"/>
              <w:bottom w:val="single" w:sz="2" w:space="0" w:color="000000"/>
              <w:right w:val="single" w:sz="2" w:space="0" w:color="000000"/>
            </w:tcBorders>
            <w:textDirection w:val="tbRlV"/>
            <w:vAlign w:val="bottom"/>
          </w:tcPr>
          <w:p w:rsidR="00721CF3" w:rsidRDefault="00063BD2">
            <w:pPr>
              <w:spacing w:after="0" w:line="259" w:lineRule="auto"/>
              <w:ind w:right="26" w:firstLine="0"/>
              <w:jc w:val="center"/>
            </w:pPr>
            <w:r>
              <w:rPr>
                <w:rFonts w:ascii="MS Mincho" w:eastAsia="MS Mincho" w:hAnsi="MS Mincho" w:cs="MS Mincho"/>
                <w:sz w:val="14"/>
              </w:rPr>
              <w:t>o</w:t>
            </w:r>
            <w:r>
              <w:rPr>
                <w:rFonts w:ascii="MS Mincho" w:eastAsia="MS Mincho" w:hAnsi="MS Mincho" w:cs="MS Mincho"/>
                <w:sz w:val="14"/>
              </w:rPr>
              <w:t>ミ</w:t>
            </w:r>
            <w:r>
              <w:rPr>
                <w:rFonts w:ascii="MS Mincho" w:eastAsia="MS Mincho" w:hAnsi="MS Mincho" w:cs="MS Mincho"/>
                <w:sz w:val="14"/>
              </w:rPr>
              <w:t>6</w:t>
            </w:r>
          </w:p>
        </w:tc>
        <w:tc>
          <w:tcPr>
            <w:tcW w:w="414" w:type="dxa"/>
            <w:tcBorders>
              <w:top w:val="single" w:sz="2" w:space="0" w:color="000000"/>
              <w:left w:val="single" w:sz="2" w:space="0" w:color="000000"/>
              <w:bottom w:val="single" w:sz="2" w:space="0" w:color="000000"/>
              <w:right w:val="single" w:sz="2" w:space="0" w:color="000000"/>
            </w:tcBorders>
            <w:textDirection w:val="tbRlV"/>
          </w:tcPr>
          <w:p w:rsidR="00721CF3" w:rsidRDefault="00721CF3">
            <w:pPr>
              <w:spacing w:after="160" w:line="259" w:lineRule="auto"/>
              <w:ind w:right="0" w:firstLine="0"/>
              <w:jc w:val="left"/>
            </w:pPr>
          </w:p>
        </w:tc>
        <w:tc>
          <w:tcPr>
            <w:tcW w:w="0" w:type="auto"/>
            <w:vMerge/>
            <w:tcBorders>
              <w:top w:val="nil"/>
              <w:left w:val="single" w:sz="2" w:space="0" w:color="000000"/>
              <w:bottom w:val="nil"/>
              <w:right w:val="single" w:sz="2" w:space="0" w:color="000000"/>
            </w:tcBorders>
            <w:textDirection w:val="tbRlV"/>
          </w:tcPr>
          <w:p w:rsidR="00721CF3" w:rsidRDefault="00721CF3">
            <w:pPr>
              <w:spacing w:after="160" w:line="259" w:lineRule="auto"/>
              <w:ind w:right="0" w:firstLine="0"/>
              <w:jc w:val="left"/>
            </w:pPr>
          </w:p>
        </w:tc>
      </w:tr>
      <w:tr w:rsidR="00721CF3">
        <w:trPr>
          <w:trHeight w:val="812"/>
        </w:trPr>
        <w:tc>
          <w:tcPr>
            <w:tcW w:w="692" w:type="dxa"/>
            <w:tcBorders>
              <w:top w:val="single" w:sz="2" w:space="0" w:color="000000"/>
              <w:left w:val="single" w:sz="2" w:space="0" w:color="000000"/>
              <w:bottom w:val="single" w:sz="2" w:space="0" w:color="000000"/>
              <w:right w:val="single" w:sz="2" w:space="0" w:color="000000"/>
            </w:tcBorders>
            <w:textDirection w:val="tbRlV"/>
            <w:vAlign w:val="bottom"/>
          </w:tcPr>
          <w:p w:rsidR="00721CF3" w:rsidRDefault="00063BD2">
            <w:pPr>
              <w:spacing w:after="0" w:line="259" w:lineRule="auto"/>
              <w:ind w:left="23" w:right="0" w:firstLine="0"/>
              <w:jc w:val="left"/>
            </w:pPr>
            <w:r>
              <w:rPr>
                <w:rFonts w:ascii="MS Mincho" w:eastAsia="MS Mincho" w:hAnsi="MS Mincho" w:cs="MS Mincho"/>
                <w:sz w:val="26"/>
              </w:rPr>
              <w:t>LIP-15</w:t>
            </w:r>
          </w:p>
        </w:tc>
        <w:tc>
          <w:tcPr>
            <w:tcW w:w="414" w:type="dxa"/>
            <w:tcBorders>
              <w:top w:val="single" w:sz="2" w:space="0" w:color="000000"/>
              <w:left w:val="single" w:sz="2" w:space="0" w:color="000000"/>
              <w:bottom w:val="single" w:sz="2" w:space="0" w:color="000000"/>
              <w:right w:val="single" w:sz="2" w:space="0" w:color="000000"/>
            </w:tcBorders>
            <w:textDirection w:val="tbRlV"/>
          </w:tcPr>
          <w:p w:rsidR="00721CF3" w:rsidRDefault="00721CF3">
            <w:pPr>
              <w:spacing w:after="160" w:line="259" w:lineRule="auto"/>
              <w:ind w:right="0" w:firstLine="0"/>
              <w:jc w:val="left"/>
            </w:pPr>
          </w:p>
        </w:tc>
        <w:tc>
          <w:tcPr>
            <w:tcW w:w="0" w:type="auto"/>
            <w:vMerge/>
            <w:tcBorders>
              <w:top w:val="nil"/>
              <w:left w:val="single" w:sz="2" w:space="0" w:color="000000"/>
              <w:bottom w:val="single" w:sz="2" w:space="0" w:color="000000"/>
              <w:right w:val="single" w:sz="2" w:space="0" w:color="000000"/>
            </w:tcBorders>
            <w:textDirection w:val="tbRlV"/>
          </w:tcPr>
          <w:p w:rsidR="00721CF3" w:rsidRDefault="00721CF3">
            <w:pPr>
              <w:spacing w:after="160" w:line="259" w:lineRule="auto"/>
              <w:ind w:right="0" w:firstLine="0"/>
              <w:jc w:val="left"/>
            </w:pPr>
          </w:p>
        </w:tc>
      </w:tr>
    </w:tbl>
    <w:p w:rsidR="00721CF3" w:rsidRDefault="00063BD2">
      <w:pPr>
        <w:spacing w:after="528" w:line="259" w:lineRule="auto"/>
        <w:ind w:right="222" w:firstLine="0"/>
        <w:jc w:val="right"/>
      </w:pPr>
      <w:r>
        <w:rPr>
          <w:noProof/>
        </w:rPr>
        <w:drawing>
          <wp:anchor distT="0" distB="0" distL="114300" distR="114300" simplePos="0" relativeHeight="251660288" behindDoc="0" locked="0" layoutInCell="1" allowOverlap="0">
            <wp:simplePos x="0" y="0"/>
            <wp:positionH relativeFrom="margin">
              <wp:posOffset>5777264</wp:posOffset>
            </wp:positionH>
            <wp:positionV relativeFrom="page">
              <wp:posOffset>4887879</wp:posOffset>
            </wp:positionV>
            <wp:extent cx="112302" cy="558251"/>
            <wp:effectExtent l="0" t="0" r="0" b="0"/>
            <wp:wrapSquare wrapText="bothSides"/>
            <wp:docPr id="31712" name="Picture 31712"/>
            <wp:cNvGraphicFramePr/>
            <a:graphic xmlns:a="http://schemas.openxmlformats.org/drawingml/2006/main">
              <a:graphicData uri="http://schemas.openxmlformats.org/drawingml/2006/picture">
                <pic:pic xmlns:pic="http://schemas.openxmlformats.org/drawingml/2006/picture">
                  <pic:nvPicPr>
                    <pic:cNvPr id="31712" name="Picture 31712"/>
                    <pic:cNvPicPr/>
                  </pic:nvPicPr>
                  <pic:blipFill>
                    <a:blip r:embed="rId113"/>
                    <a:stretch>
                      <a:fillRect/>
                    </a:stretch>
                  </pic:blipFill>
                  <pic:spPr>
                    <a:xfrm>
                      <a:off x="0" y="0"/>
                      <a:ext cx="112302" cy="558251"/>
                    </a:xfrm>
                    <a:prstGeom prst="rect">
                      <a:avLst/>
                    </a:prstGeom>
                  </pic:spPr>
                </pic:pic>
              </a:graphicData>
            </a:graphic>
          </wp:anchor>
        </w:drawing>
      </w:r>
      <w:r>
        <w:rPr>
          <w:rFonts w:ascii="MS Mincho" w:eastAsia="MS Mincho" w:hAnsi="MS Mincho" w:cs="MS Mincho"/>
          <w:sz w:val="12"/>
        </w:rPr>
        <w:t>・ニ</w:t>
      </w:r>
      <w:r>
        <w:rPr>
          <w:rFonts w:ascii="MS Mincho" w:eastAsia="MS Mincho" w:hAnsi="MS Mincho" w:cs="MS Mincho"/>
          <w:sz w:val="12"/>
        </w:rPr>
        <w:t>0</w:t>
      </w:r>
      <w:r>
        <w:rPr>
          <w:rFonts w:ascii="MS Mincho" w:eastAsia="MS Mincho" w:hAnsi="MS Mincho" w:cs="MS Mincho"/>
          <w:sz w:val="12"/>
        </w:rPr>
        <w:t>、</w:t>
      </w:r>
      <w:r>
        <w:rPr>
          <w:rFonts w:ascii="MS Mincho" w:eastAsia="MS Mincho" w:hAnsi="MS Mincho" w:cs="MS Mincho"/>
          <w:sz w:val="12"/>
        </w:rPr>
        <w:t>0</w:t>
      </w:r>
      <w:r>
        <w:rPr>
          <w:rFonts w:ascii="MS Mincho" w:eastAsia="MS Mincho" w:hAnsi="MS Mincho" w:cs="MS Mincho"/>
          <w:sz w:val="12"/>
        </w:rPr>
        <w:t>国</w:t>
      </w:r>
      <w:r>
        <w:rPr>
          <w:rFonts w:ascii="MS Mincho" w:eastAsia="MS Mincho" w:hAnsi="MS Mincho" w:cs="MS Mincho"/>
          <w:sz w:val="12"/>
        </w:rPr>
        <w:t>0OJdl=</w:t>
      </w:r>
      <w:r>
        <w:rPr>
          <w:rFonts w:ascii="MS Mincho" w:eastAsia="MS Mincho" w:hAnsi="MS Mincho" w:cs="MS Mincho"/>
          <w:sz w:val="12"/>
        </w:rPr>
        <w:t>一</w:t>
      </w:r>
      <w:r>
        <w:rPr>
          <w:rFonts w:ascii="MS Mincho" w:eastAsia="MS Mincho" w:hAnsi="MS Mincho" w:cs="MS Mincho"/>
          <w:sz w:val="12"/>
        </w:rPr>
        <w:t xml:space="preserve">0 </w:t>
      </w:r>
      <w:r>
        <w:rPr>
          <w:rFonts w:ascii="MS Mincho" w:eastAsia="MS Mincho" w:hAnsi="MS Mincho" w:cs="MS Mincho"/>
          <w:sz w:val="12"/>
        </w:rPr>
        <w:t>寸</w:t>
      </w:r>
      <w:r>
        <w:rPr>
          <w:rFonts w:ascii="MS Mincho" w:eastAsia="MS Mincho" w:hAnsi="MS Mincho" w:cs="MS Mincho"/>
          <w:sz w:val="12"/>
        </w:rPr>
        <w:t>0001db</w:t>
      </w:r>
    </w:p>
    <w:p w:rsidR="00721CF3" w:rsidRDefault="00063BD2">
      <w:pPr>
        <w:spacing w:before="440" w:after="0" w:line="1389" w:lineRule="auto"/>
        <w:ind w:left="6346" w:right="3360" w:firstLine="106"/>
        <w:jc w:val="left"/>
      </w:pPr>
      <w:r>
        <w:rPr>
          <w:noProof/>
          <w:sz w:val="22"/>
        </w:rPr>
        <mc:AlternateContent>
          <mc:Choice Requires="wpg">
            <w:drawing>
              <wp:anchor distT="0" distB="0" distL="114300" distR="114300" simplePos="0" relativeHeight="251661312" behindDoc="0" locked="0" layoutInCell="1" allowOverlap="1">
                <wp:simplePos x="0" y="0"/>
                <wp:positionH relativeFrom="margin">
                  <wp:posOffset>-109026</wp:posOffset>
                </wp:positionH>
                <wp:positionV relativeFrom="paragraph">
                  <wp:posOffset>-4344093</wp:posOffset>
                </wp:positionV>
                <wp:extent cx="4347719" cy="9377980"/>
                <wp:effectExtent l="0" t="0" r="0" b="0"/>
                <wp:wrapSquare wrapText="bothSides"/>
                <wp:docPr id="93413" name="Group 93413"/>
                <wp:cNvGraphicFramePr/>
                <a:graphic xmlns:a="http://schemas.openxmlformats.org/drawingml/2006/main">
                  <a:graphicData uri="http://schemas.microsoft.com/office/word/2010/wordprocessingGroup">
                    <wpg:wgp>
                      <wpg:cNvGrpSpPr/>
                      <wpg:grpSpPr>
                        <a:xfrm>
                          <a:off x="0" y="0"/>
                          <a:ext cx="4347719" cy="9377980"/>
                          <a:chOff x="0" y="0"/>
                          <a:chExt cx="4347719" cy="9377980"/>
                        </a:xfrm>
                      </wpg:grpSpPr>
                      <pic:pic xmlns:pic="http://schemas.openxmlformats.org/drawingml/2006/picture">
                        <pic:nvPicPr>
                          <pic:cNvPr id="94107" name="Picture 94107"/>
                          <pic:cNvPicPr/>
                        </pic:nvPicPr>
                        <pic:blipFill>
                          <a:blip r:embed="rId114"/>
                          <a:stretch>
                            <a:fillRect/>
                          </a:stretch>
                        </pic:blipFill>
                        <pic:spPr>
                          <a:xfrm rot="5399999">
                            <a:off x="-2515130" y="2553634"/>
                            <a:ext cx="9377980" cy="4270712"/>
                          </a:xfrm>
                          <a:prstGeom prst="rect">
                            <a:avLst/>
                          </a:prstGeom>
                        </pic:spPr>
                      </pic:pic>
                      <wps:wsp>
                        <wps:cNvPr id="23181" name="Rectangle 23181"/>
                        <wps:cNvSpPr/>
                        <wps:spPr>
                          <a:xfrm>
                            <a:off x="1" y="924002"/>
                            <a:ext cx="217642" cy="64006"/>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8"/>
                                </w:rPr>
                                <w:t>一</w:t>
                              </w:r>
                            </w:p>
                          </w:txbxContent>
                        </wps:txbx>
                        <wps:bodyPr horzOverflow="overflow" vert="horz" lIns="0" tIns="0" rIns="0" bIns="0" rtlCol="0">
                          <a:noAutofit/>
                        </wps:bodyPr>
                      </wps:wsp>
                      <wps:wsp>
                        <wps:cNvPr id="23182" name="Rectangle 23182"/>
                        <wps:cNvSpPr/>
                        <wps:spPr>
                          <a:xfrm>
                            <a:off x="1" y="1039503"/>
                            <a:ext cx="217642" cy="98143"/>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2"/>
                                </w:rPr>
                                <w:t>の</w:t>
                              </w:r>
                            </w:p>
                          </w:txbxContent>
                        </wps:txbx>
                        <wps:bodyPr horzOverflow="overflow" vert="horz" lIns="0" tIns="0" rIns="0" bIns="0" rtlCol="0">
                          <a:noAutofit/>
                        </wps:bodyPr>
                      </wps:wsp>
                      <wps:wsp>
                        <wps:cNvPr id="23183" name="Rectangle 23183"/>
                        <wps:cNvSpPr/>
                        <wps:spPr>
                          <a:xfrm>
                            <a:off x="1" y="1116503"/>
                            <a:ext cx="217642" cy="119478"/>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ミ</w:t>
                              </w:r>
                            </w:p>
                          </w:txbxContent>
                        </wps:txbx>
                        <wps:bodyPr horzOverflow="overflow" vert="horz" lIns="0" tIns="0" rIns="0" bIns="0" rtlCol="0">
                          <a:noAutofit/>
                        </wps:bodyPr>
                      </wps:wsp>
                      <wps:wsp>
                        <wps:cNvPr id="23184" name="Rectangle 23184"/>
                        <wps:cNvSpPr/>
                        <wps:spPr>
                          <a:xfrm>
                            <a:off x="1" y="1215962"/>
                            <a:ext cx="217642" cy="115211"/>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H</w:t>
                              </w:r>
                            </w:p>
                          </w:txbxContent>
                        </wps:txbx>
                        <wps:bodyPr horzOverflow="overflow" vert="horz" lIns="0" tIns="0" rIns="0" bIns="0" rtlCol="0">
                          <a:noAutofit/>
                        </wps:bodyPr>
                      </wps:wsp>
                      <wps:wsp>
                        <wps:cNvPr id="23185" name="Rectangle 23185"/>
                        <wps:cNvSpPr/>
                        <wps:spPr>
                          <a:xfrm>
                            <a:off x="1" y="1309003"/>
                            <a:ext cx="217642" cy="93876"/>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2"/>
                                </w:rPr>
                                <w:t>の</w:t>
                              </w:r>
                            </w:p>
                          </w:txbxContent>
                        </wps:txbx>
                        <wps:bodyPr horzOverflow="overflow" vert="horz" lIns="0" tIns="0" rIns="0" bIns="0" rtlCol="0">
                          <a:noAutofit/>
                        </wps:bodyPr>
                      </wps:wsp>
                      <wps:wsp>
                        <wps:cNvPr id="23186" name="Rectangle 23186"/>
                        <wps:cNvSpPr/>
                        <wps:spPr>
                          <a:xfrm>
                            <a:off x="1" y="1511129"/>
                            <a:ext cx="217642" cy="110944"/>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0</w:t>
                              </w:r>
                            </w:p>
                          </w:txbxContent>
                        </wps:txbx>
                        <wps:bodyPr horzOverflow="overflow" vert="horz" lIns="0" tIns="0" rIns="0" bIns="0" rtlCol="0">
                          <a:noAutofit/>
                        </wps:bodyPr>
                      </wps:wsp>
                      <wps:wsp>
                        <wps:cNvPr id="23187" name="Rectangle 23187"/>
                        <wps:cNvSpPr/>
                        <wps:spPr>
                          <a:xfrm>
                            <a:off x="1" y="1687588"/>
                            <a:ext cx="217642" cy="115211"/>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ミ</w:t>
                              </w:r>
                            </w:p>
                          </w:txbxContent>
                        </wps:txbx>
                        <wps:bodyPr horzOverflow="overflow" vert="horz" lIns="0" tIns="0" rIns="0" bIns="0" rtlCol="0">
                          <a:noAutofit/>
                        </wps:bodyPr>
                      </wps:wsp>
                      <wps:wsp>
                        <wps:cNvPr id="23188" name="Rectangle 23188"/>
                        <wps:cNvSpPr/>
                        <wps:spPr>
                          <a:xfrm>
                            <a:off x="1" y="1783838"/>
                            <a:ext cx="217642" cy="285895"/>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34"/>
                                </w:rPr>
                                <w:t>dl_l</w:t>
                              </w:r>
                            </w:p>
                          </w:txbxContent>
                        </wps:txbx>
                        <wps:bodyPr horzOverflow="overflow" vert="horz" lIns="0" tIns="0" rIns="0" bIns="0" rtlCol="0">
                          <a:noAutofit/>
                        </wps:bodyPr>
                      </wps:wsp>
                      <wps:wsp>
                        <wps:cNvPr id="23280" name="Rectangle 23280"/>
                        <wps:cNvSpPr/>
                        <wps:spPr>
                          <a:xfrm>
                            <a:off x="4184077" y="2364547"/>
                            <a:ext cx="217642" cy="102410"/>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2"/>
                                </w:rPr>
                                <w:t>長</w:t>
                              </w:r>
                            </w:p>
                          </w:txbxContent>
                        </wps:txbx>
                        <wps:bodyPr horzOverflow="overflow" vert="horz" lIns="0" tIns="0" rIns="0" bIns="0" rtlCol="0">
                          <a:noAutofit/>
                        </wps:bodyPr>
                      </wps:wsp>
                      <wps:wsp>
                        <wps:cNvPr id="23281" name="Rectangle 23281"/>
                        <wps:cNvSpPr/>
                        <wps:spPr>
                          <a:xfrm>
                            <a:off x="4184077" y="2451172"/>
                            <a:ext cx="217642" cy="110944"/>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0</w:t>
                              </w:r>
                            </w:p>
                          </w:txbxContent>
                        </wps:txbx>
                        <wps:bodyPr horzOverflow="overflow" vert="horz" lIns="0" tIns="0" rIns="0" bIns="0" rtlCol="0">
                          <a:noAutofit/>
                        </wps:bodyPr>
                      </wps:wsp>
                      <wps:wsp>
                        <wps:cNvPr id="23282" name="Rectangle 23282"/>
                        <wps:cNvSpPr/>
                        <wps:spPr>
                          <a:xfrm>
                            <a:off x="4184077" y="2544214"/>
                            <a:ext cx="217642" cy="132280"/>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6"/>
                                </w:rPr>
                                <w:t>弓</w:t>
                              </w:r>
                            </w:p>
                          </w:txbxContent>
                        </wps:txbx>
                        <wps:bodyPr horzOverflow="overflow" vert="horz" lIns="0" tIns="0" rIns="0" bIns="0" rtlCol="0">
                          <a:noAutofit/>
                        </wps:bodyPr>
                      </wps:wsp>
                      <wps:wsp>
                        <wps:cNvPr id="23283" name="Rectangle 23283"/>
                        <wps:cNvSpPr/>
                        <wps:spPr>
                          <a:xfrm>
                            <a:off x="4184077" y="2640465"/>
                            <a:ext cx="217642" cy="110944"/>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0</w:t>
                              </w:r>
                            </w:p>
                          </w:txbxContent>
                        </wps:txbx>
                        <wps:bodyPr horzOverflow="overflow" vert="horz" lIns="0" tIns="0" rIns="0" bIns="0" rtlCol="0">
                          <a:noAutofit/>
                        </wps:bodyPr>
                      </wps:wsp>
                      <wps:wsp>
                        <wps:cNvPr id="23284" name="Rectangle 23284"/>
                        <wps:cNvSpPr/>
                        <wps:spPr>
                          <a:xfrm>
                            <a:off x="4184077" y="2736715"/>
                            <a:ext cx="217642" cy="119478"/>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宝</w:t>
                              </w:r>
                            </w:p>
                          </w:txbxContent>
                        </wps:txbx>
                        <wps:bodyPr horzOverflow="overflow" vert="horz" lIns="0" tIns="0" rIns="0" bIns="0" rtlCol="0">
                          <a:noAutofit/>
                        </wps:bodyPr>
                      </wps:wsp>
                      <wps:wsp>
                        <wps:cNvPr id="23285" name="Rectangle 23285"/>
                        <wps:cNvSpPr/>
                        <wps:spPr>
                          <a:xfrm>
                            <a:off x="4184077" y="2836173"/>
                            <a:ext cx="217642" cy="115212"/>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X</w:t>
                              </w:r>
                            </w:p>
                          </w:txbxContent>
                        </wps:txbx>
                        <wps:bodyPr horzOverflow="overflow" vert="horz" lIns="0" tIns="0" rIns="0" bIns="0" rtlCol="0">
                          <a:noAutofit/>
                        </wps:bodyPr>
                      </wps:wsp>
                      <wps:wsp>
                        <wps:cNvPr id="23286" name="Rectangle 23286"/>
                        <wps:cNvSpPr/>
                        <wps:spPr>
                          <a:xfrm>
                            <a:off x="4184077" y="2926007"/>
                            <a:ext cx="217642" cy="98143"/>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2"/>
                                </w:rPr>
                                <w:t>・</w:t>
                              </w:r>
                            </w:p>
                          </w:txbxContent>
                        </wps:txbx>
                        <wps:bodyPr horzOverflow="overflow" vert="horz" lIns="0" tIns="0" rIns="0" bIns="0" rtlCol="0">
                          <a:noAutofit/>
                        </wps:bodyPr>
                      </wps:wsp>
                      <wps:wsp>
                        <wps:cNvPr id="23287" name="Rectangle 23287"/>
                        <wps:cNvSpPr/>
                        <wps:spPr>
                          <a:xfrm>
                            <a:off x="4184077" y="3003007"/>
                            <a:ext cx="217642" cy="119478"/>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ト</w:t>
                              </w:r>
                            </w:p>
                          </w:txbxContent>
                        </wps:txbx>
                        <wps:bodyPr horzOverflow="overflow" vert="horz" lIns="0" tIns="0" rIns="0" bIns="0" rtlCol="0">
                          <a:noAutofit/>
                        </wps:bodyPr>
                      </wps:wsp>
                      <wps:wsp>
                        <wps:cNvPr id="23288" name="Rectangle 23288"/>
                        <wps:cNvSpPr/>
                        <wps:spPr>
                          <a:xfrm>
                            <a:off x="4184077" y="3137757"/>
                            <a:ext cx="217642" cy="106677"/>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2"/>
                                </w:rPr>
                                <w:t>X</w:t>
                              </w:r>
                            </w:p>
                          </w:txbxContent>
                        </wps:txbx>
                        <wps:bodyPr horzOverflow="overflow" vert="horz" lIns="0" tIns="0" rIns="0" bIns="0" rtlCol="0">
                          <a:noAutofit/>
                        </wps:bodyPr>
                      </wps:wsp>
                      <wps:wsp>
                        <wps:cNvPr id="23289" name="Rectangle 23289"/>
                        <wps:cNvSpPr/>
                        <wps:spPr>
                          <a:xfrm>
                            <a:off x="4184077" y="3230799"/>
                            <a:ext cx="217642" cy="51205"/>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6"/>
                                </w:rPr>
                                <w:t>一</w:t>
                              </w:r>
                            </w:p>
                          </w:txbxContent>
                        </wps:txbx>
                        <wps:bodyPr horzOverflow="overflow" vert="horz" lIns="0" tIns="0" rIns="0" bIns="0" rtlCol="0">
                          <a:noAutofit/>
                        </wps:bodyPr>
                      </wps:wsp>
                      <wps:wsp>
                        <wps:cNvPr id="23290" name="Rectangle 23290"/>
                        <wps:cNvSpPr/>
                        <wps:spPr>
                          <a:xfrm>
                            <a:off x="4184077" y="3564467"/>
                            <a:ext cx="217642" cy="128013"/>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6"/>
                                </w:rPr>
                                <w:t>弓</w:t>
                              </w:r>
                            </w:p>
                          </w:txbxContent>
                        </wps:txbx>
                        <wps:bodyPr horzOverflow="overflow" vert="horz" lIns="0" tIns="0" rIns="0" bIns="0" rtlCol="0">
                          <a:noAutofit/>
                        </wps:bodyPr>
                      </wps:wsp>
                      <wps:wsp>
                        <wps:cNvPr id="23291" name="Rectangle 23291"/>
                        <wps:cNvSpPr/>
                        <wps:spPr>
                          <a:xfrm>
                            <a:off x="4184077" y="3660717"/>
                            <a:ext cx="217642" cy="98143"/>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2"/>
                                </w:rPr>
                                <w:t>・</w:t>
                              </w:r>
                            </w:p>
                          </w:txbxContent>
                        </wps:txbx>
                        <wps:bodyPr horzOverflow="overflow" vert="horz" lIns="0" tIns="0" rIns="0" bIns="0" rtlCol="0">
                          <a:noAutofit/>
                        </wps:bodyPr>
                      </wps:wsp>
                      <wps:wsp>
                        <wps:cNvPr id="23292" name="Rectangle 23292"/>
                        <wps:cNvSpPr/>
                        <wps:spPr>
                          <a:xfrm>
                            <a:off x="4184077" y="3737717"/>
                            <a:ext cx="217642" cy="119479"/>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ト</w:t>
                              </w:r>
                            </w:p>
                          </w:txbxContent>
                        </wps:txbx>
                        <wps:bodyPr horzOverflow="overflow" vert="horz" lIns="0" tIns="0" rIns="0" bIns="0" rtlCol="0">
                          <a:noAutofit/>
                        </wps:bodyPr>
                      </wps:wsp>
                      <wps:wsp>
                        <wps:cNvPr id="23293" name="Rectangle 23293"/>
                        <wps:cNvSpPr/>
                        <wps:spPr>
                          <a:xfrm>
                            <a:off x="4184077" y="4013634"/>
                            <a:ext cx="217643" cy="110945"/>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0</w:t>
                              </w:r>
                            </w:p>
                          </w:txbxContent>
                        </wps:txbx>
                        <wps:bodyPr horzOverflow="overflow" vert="horz" lIns="0" tIns="0" rIns="0" bIns="0" rtlCol="0">
                          <a:noAutofit/>
                        </wps:bodyPr>
                      </wps:wsp>
                      <wps:wsp>
                        <wps:cNvPr id="23294" name="Rectangle 23294"/>
                        <wps:cNvSpPr/>
                        <wps:spPr>
                          <a:xfrm>
                            <a:off x="4184077" y="4103468"/>
                            <a:ext cx="217643" cy="89609"/>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0"/>
                                </w:rPr>
                                <w:t>門</w:t>
                              </w:r>
                            </w:p>
                          </w:txbxContent>
                        </wps:txbx>
                        <wps:bodyPr horzOverflow="overflow" vert="horz" lIns="0" tIns="0" rIns="0" bIns="0" rtlCol="0">
                          <a:noAutofit/>
                        </wps:bodyPr>
                      </wps:wsp>
                      <wps:wsp>
                        <wps:cNvPr id="23295" name="Rectangle 23295"/>
                        <wps:cNvSpPr/>
                        <wps:spPr>
                          <a:xfrm>
                            <a:off x="4184077" y="4177260"/>
                            <a:ext cx="217643" cy="477914"/>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56"/>
                                </w:rPr>
                                <w:t>ed90</w:t>
                              </w:r>
                            </w:p>
                          </w:txbxContent>
                        </wps:txbx>
                        <wps:bodyPr horzOverflow="overflow" vert="horz" lIns="0" tIns="0" rIns="0" bIns="0" rtlCol="0">
                          <a:noAutofit/>
                        </wps:bodyPr>
                      </wps:wsp>
                      <wps:wsp>
                        <wps:cNvPr id="23296" name="Rectangle 23296"/>
                        <wps:cNvSpPr/>
                        <wps:spPr>
                          <a:xfrm>
                            <a:off x="4184077" y="4587928"/>
                            <a:ext cx="217643" cy="106677"/>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2"/>
                                </w:rPr>
                                <w:t>X</w:t>
                              </w:r>
                            </w:p>
                          </w:txbxContent>
                        </wps:txbx>
                        <wps:bodyPr horzOverflow="overflow" vert="horz" lIns="0" tIns="0" rIns="0" bIns="0" rtlCol="0">
                          <a:noAutofit/>
                        </wps:bodyPr>
                      </wps:wsp>
                      <wps:wsp>
                        <wps:cNvPr id="23297" name="Rectangle 23297"/>
                        <wps:cNvSpPr/>
                        <wps:spPr>
                          <a:xfrm>
                            <a:off x="4184077" y="4680969"/>
                            <a:ext cx="217643" cy="51205"/>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6"/>
                                </w:rPr>
                                <w:t>一</w:t>
                              </w:r>
                            </w:p>
                          </w:txbxContent>
                        </wps:txbx>
                        <wps:bodyPr horzOverflow="overflow" vert="horz" lIns="0" tIns="0" rIns="0" bIns="0" rtlCol="0">
                          <a:noAutofit/>
                        </wps:bodyPr>
                      </wps:wsp>
                      <wps:wsp>
                        <wps:cNvPr id="23298" name="Rectangle 23298"/>
                        <wps:cNvSpPr/>
                        <wps:spPr>
                          <a:xfrm>
                            <a:off x="4184077" y="4818928"/>
                            <a:ext cx="217643" cy="115211"/>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羡</w:t>
                              </w:r>
                            </w:p>
                          </w:txbxContent>
                        </wps:txbx>
                        <wps:bodyPr horzOverflow="overflow" vert="horz" lIns="0" tIns="0" rIns="0" bIns="0" rtlCol="0">
                          <a:noAutofit/>
                        </wps:bodyPr>
                      </wps:wsp>
                      <wps:wsp>
                        <wps:cNvPr id="23299" name="Rectangle 23299"/>
                        <wps:cNvSpPr/>
                        <wps:spPr>
                          <a:xfrm>
                            <a:off x="4184077" y="5024262"/>
                            <a:ext cx="217643" cy="110945"/>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0</w:t>
                              </w:r>
                            </w:p>
                          </w:txbxContent>
                        </wps:txbx>
                        <wps:bodyPr horzOverflow="overflow" vert="horz" lIns="0" tIns="0" rIns="0" bIns="0" rtlCol="0">
                          <a:noAutofit/>
                        </wps:bodyPr>
                      </wps:wsp>
                      <wps:wsp>
                        <wps:cNvPr id="23300" name="Rectangle 23300"/>
                        <wps:cNvSpPr/>
                        <wps:spPr>
                          <a:xfrm>
                            <a:off x="4184077" y="5117304"/>
                            <a:ext cx="217643" cy="115212"/>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ミ</w:t>
                              </w:r>
                            </w:p>
                          </w:txbxContent>
                        </wps:txbx>
                        <wps:bodyPr horzOverflow="overflow" vert="horz" lIns="0" tIns="0" rIns="0" bIns="0" rtlCol="0">
                          <a:noAutofit/>
                        </wps:bodyPr>
                      </wps:wsp>
                      <wps:wsp>
                        <wps:cNvPr id="23301" name="Rectangle 23301"/>
                        <wps:cNvSpPr/>
                        <wps:spPr>
                          <a:xfrm>
                            <a:off x="4184077" y="5216762"/>
                            <a:ext cx="217643" cy="123745"/>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ゴ</w:t>
                              </w:r>
                            </w:p>
                          </w:txbxContent>
                        </wps:txbx>
                        <wps:bodyPr horzOverflow="overflow" vert="horz" lIns="0" tIns="0" rIns="0" bIns="0" rtlCol="0">
                          <a:noAutofit/>
                        </wps:bodyPr>
                      </wps:wsp>
                      <wps:wsp>
                        <wps:cNvPr id="23302" name="Rectangle 23302"/>
                        <wps:cNvSpPr/>
                        <wps:spPr>
                          <a:xfrm>
                            <a:off x="4184077" y="5508721"/>
                            <a:ext cx="217643" cy="119479"/>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ト</w:t>
                              </w:r>
                            </w:p>
                          </w:txbxContent>
                        </wps:txbx>
                        <wps:bodyPr horzOverflow="overflow" vert="horz" lIns="0" tIns="0" rIns="0" bIns="0" rtlCol="0">
                          <a:noAutofit/>
                        </wps:bodyPr>
                      </wps:wsp>
                      <wps:wsp>
                        <wps:cNvPr id="23303" name="Rectangle 23303"/>
                        <wps:cNvSpPr/>
                        <wps:spPr>
                          <a:xfrm>
                            <a:off x="4184077" y="5601763"/>
                            <a:ext cx="217643" cy="89609"/>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0"/>
                                </w:rPr>
                                <w:t>3</w:t>
                              </w:r>
                            </w:p>
                          </w:txbxContent>
                        </wps:txbx>
                        <wps:bodyPr horzOverflow="overflow" vert="horz" lIns="0" tIns="0" rIns="0" bIns="0" rtlCol="0">
                          <a:noAutofit/>
                        </wps:bodyPr>
                      </wps:wsp>
                      <wps:wsp>
                        <wps:cNvPr id="23304" name="Rectangle 23304"/>
                        <wps:cNvSpPr/>
                        <wps:spPr>
                          <a:xfrm>
                            <a:off x="4184077" y="5681972"/>
                            <a:ext cx="217643" cy="119479"/>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ま</w:t>
                              </w:r>
                            </w:p>
                          </w:txbxContent>
                        </wps:txbx>
                        <wps:bodyPr horzOverflow="overflow" vert="horz" lIns="0" tIns="0" rIns="0" bIns="0" rtlCol="0">
                          <a:noAutofit/>
                        </wps:bodyPr>
                      </wps:wsp>
                      <wps:wsp>
                        <wps:cNvPr id="23305" name="Rectangle 23305"/>
                        <wps:cNvSpPr/>
                        <wps:spPr>
                          <a:xfrm>
                            <a:off x="4184077" y="5784639"/>
                            <a:ext cx="217643" cy="119479"/>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く</w:t>
                              </w:r>
                            </w:p>
                          </w:txbxContent>
                        </wps:txbx>
                        <wps:bodyPr horzOverflow="overflow" vert="horz" lIns="0" tIns="0" rIns="0" bIns="0" rtlCol="0">
                          <a:noAutofit/>
                        </wps:bodyPr>
                      </wps:wsp>
                      <wps:wsp>
                        <wps:cNvPr id="23306" name="Rectangle 23306"/>
                        <wps:cNvSpPr/>
                        <wps:spPr>
                          <a:xfrm>
                            <a:off x="4184077" y="6022056"/>
                            <a:ext cx="217643" cy="115212"/>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ミ</w:t>
                              </w:r>
                            </w:p>
                          </w:txbxContent>
                        </wps:txbx>
                        <wps:bodyPr horzOverflow="overflow" vert="horz" lIns="0" tIns="0" rIns="0" bIns="0" rtlCol="0">
                          <a:noAutofit/>
                        </wps:bodyPr>
                      </wps:wsp>
                      <wps:wsp>
                        <wps:cNvPr id="23307" name="Rectangle 23307"/>
                        <wps:cNvSpPr/>
                        <wps:spPr>
                          <a:xfrm>
                            <a:off x="4184077" y="6121515"/>
                            <a:ext cx="217642" cy="119478"/>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ゴ</w:t>
                              </w:r>
                            </w:p>
                          </w:txbxContent>
                        </wps:txbx>
                        <wps:bodyPr horzOverflow="overflow" vert="horz" lIns="0" tIns="0" rIns="0" bIns="0" rtlCol="0">
                          <a:noAutofit/>
                        </wps:bodyPr>
                      </wps:wsp>
                      <wps:wsp>
                        <wps:cNvPr id="23308" name="Rectangle 23308"/>
                        <wps:cNvSpPr/>
                        <wps:spPr>
                          <a:xfrm>
                            <a:off x="4184077" y="6224181"/>
                            <a:ext cx="217642" cy="110944"/>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電</w:t>
                              </w:r>
                            </w:p>
                          </w:txbxContent>
                        </wps:txbx>
                        <wps:bodyPr horzOverflow="overflow" vert="horz" lIns="0" tIns="0" rIns="0" bIns="0" rtlCol="0">
                          <a:noAutofit/>
                        </wps:bodyPr>
                      </wps:wsp>
                      <wps:wsp>
                        <wps:cNvPr id="23309" name="Rectangle 23309"/>
                        <wps:cNvSpPr/>
                        <wps:spPr>
                          <a:xfrm>
                            <a:off x="4184077" y="6589933"/>
                            <a:ext cx="217642" cy="110944"/>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電</w:t>
                              </w:r>
                            </w:p>
                          </w:txbxContent>
                        </wps:txbx>
                        <wps:bodyPr horzOverflow="overflow" vert="horz" lIns="0" tIns="0" rIns="0" bIns="0" rtlCol="0">
                          <a:noAutofit/>
                        </wps:bodyPr>
                      </wps:wsp>
                      <wps:wsp>
                        <wps:cNvPr id="23310" name="Rectangle 23310"/>
                        <wps:cNvSpPr/>
                        <wps:spPr>
                          <a:xfrm>
                            <a:off x="4184077" y="6679766"/>
                            <a:ext cx="217642" cy="98143"/>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2"/>
                                </w:rPr>
                                <w:t>・</w:t>
                              </w:r>
                            </w:p>
                          </w:txbxContent>
                        </wps:txbx>
                        <wps:bodyPr horzOverflow="overflow" vert="horz" lIns="0" tIns="0" rIns="0" bIns="0" rtlCol="0">
                          <a:noAutofit/>
                        </wps:bodyPr>
                      </wps:wsp>
                      <wps:wsp>
                        <wps:cNvPr id="23311" name="Rectangle 23311"/>
                        <wps:cNvSpPr/>
                        <wps:spPr>
                          <a:xfrm>
                            <a:off x="4184077" y="6759974"/>
                            <a:ext cx="217642" cy="119479"/>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d</w:t>
                              </w:r>
                            </w:p>
                          </w:txbxContent>
                        </wps:txbx>
                        <wps:bodyPr horzOverflow="overflow" vert="horz" lIns="0" tIns="0" rIns="0" bIns="0" rtlCol="0">
                          <a:noAutofit/>
                        </wps:bodyPr>
                      </wps:wsp>
                      <wps:wsp>
                        <wps:cNvPr id="23312" name="Rectangle 23312"/>
                        <wps:cNvSpPr/>
                        <wps:spPr>
                          <a:xfrm>
                            <a:off x="4184077" y="6910767"/>
                            <a:ext cx="217642" cy="115211"/>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ミ</w:t>
                              </w:r>
                            </w:p>
                          </w:txbxContent>
                        </wps:txbx>
                        <wps:bodyPr horzOverflow="overflow" vert="horz" lIns="0" tIns="0" rIns="0" bIns="0" rtlCol="0">
                          <a:noAutofit/>
                        </wps:bodyPr>
                      </wps:wsp>
                      <wps:wsp>
                        <wps:cNvPr id="23313" name="Rectangle 23313"/>
                        <wps:cNvSpPr/>
                        <wps:spPr>
                          <a:xfrm>
                            <a:off x="4184077" y="7010225"/>
                            <a:ext cx="217642" cy="115212"/>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d</w:t>
                              </w:r>
                            </w:p>
                          </w:txbxContent>
                        </wps:txbx>
                        <wps:bodyPr horzOverflow="overflow" vert="horz" lIns="0" tIns="0" rIns="0" bIns="0" rtlCol="0">
                          <a:noAutofit/>
                        </wps:bodyPr>
                      </wps:wsp>
                      <wps:wsp>
                        <wps:cNvPr id="23314" name="Rectangle 23314"/>
                        <wps:cNvSpPr/>
                        <wps:spPr>
                          <a:xfrm>
                            <a:off x="4184077" y="7116101"/>
                            <a:ext cx="217642" cy="110944"/>
                          </a:xfrm>
                          <a:prstGeom prst="rect">
                            <a:avLst/>
                          </a:prstGeom>
                          <a:ln>
                            <a:noFill/>
                          </a:ln>
                        </wps:spPr>
                        <wps:txbx>
                          <w:txbxContent>
                            <w:p w:rsidR="00721CF3" w:rsidRDefault="00063BD2">
                              <w:pPr>
                                <w:spacing w:after="160" w:line="259" w:lineRule="auto"/>
                                <w:ind w:right="0" w:firstLine="0"/>
                                <w:jc w:val="left"/>
                              </w:pPr>
                              <w:r>
                                <w:rPr>
                                  <w:rFonts w:ascii="MS Mincho" w:eastAsia="MS Mincho" w:hAnsi="MS Mincho" w:cs="MS Mincho"/>
                                  <w:sz w:val="14"/>
                                </w:rPr>
                                <w:t>巖</w:t>
                              </w:r>
                            </w:p>
                          </w:txbxContent>
                        </wps:txbx>
                        <wps:bodyPr horzOverflow="overflow" vert="horz" lIns="0" tIns="0" rIns="0" bIns="0" rtlCol="0">
                          <a:noAutofit/>
                        </wps:bodyPr>
                      </wps:wsp>
                    </wpg:wgp>
                  </a:graphicData>
                </a:graphic>
              </wp:anchor>
            </w:drawing>
          </mc:Choice>
          <mc:Fallback xmlns:a="http://schemas.openxmlformats.org/drawingml/2006/main">
            <w:pict>
              <v:group id="Group 93413" style="width:342.34pt;height:738.424pt;position:absolute;mso-position-horizontal-relative:margin;mso-position-horizontal:absolute;margin-left:-8.58484pt;mso-position-vertical-relative:text;margin-top:-342.055pt;" coordsize="43477,93779">
                <v:shape id="Picture 94107" style="position:absolute;width:93779;height:42707;left:-25151;top:25536;rotation:90;" filled="f">
                  <v:imagedata r:id="rId115"/>
                </v:shape>
                <v:rect id="Rectangle 23181" style="position:absolute;width:2176;height:640;left:0;top:9240;" filled="f" stroked="f">
                  <v:textbox inset="0,0,0,0">
                    <w:txbxContent>
                      <w:p>
                        <w:pPr>
                          <w:spacing w:before="0" w:after="160" w:line="259" w:lineRule="auto"/>
                          <w:ind w:right="0" w:firstLine="0"/>
                          <w:jc w:val="left"/>
                        </w:pPr>
                        <w:r>
                          <w:rPr>
                            <w:rFonts w:cs="MS Mincho" w:hAnsi="MS Mincho" w:eastAsia="MS Mincho" w:ascii="MS Mincho"/>
                            <w:sz w:val="8"/>
                          </w:rPr>
                          <w:t xml:space="preserve">一</w:t>
                        </w:r>
                      </w:p>
                    </w:txbxContent>
                  </v:textbox>
                </v:rect>
                <v:rect id="Rectangle 23182" style="position:absolute;width:2176;height:981;left:0;top:10395;" filled="f" stroked="f">
                  <v:textbox inset="0,0,0,0">
                    <w:txbxContent>
                      <w:p>
                        <w:pPr>
                          <w:spacing w:before="0" w:after="160" w:line="259" w:lineRule="auto"/>
                          <w:ind w:right="0" w:firstLine="0"/>
                          <w:jc w:val="left"/>
                        </w:pPr>
                        <w:r>
                          <w:rPr>
                            <w:rFonts w:cs="MS Mincho" w:hAnsi="MS Mincho" w:eastAsia="MS Mincho" w:ascii="MS Mincho"/>
                            <w:sz w:val="12"/>
                          </w:rPr>
                          <w:t xml:space="preserve">の</w:t>
                        </w:r>
                      </w:p>
                    </w:txbxContent>
                  </v:textbox>
                </v:rect>
                <v:rect id="Rectangle 23183" style="position:absolute;width:2176;height:1194;left:0;top:11165;" filled="f" stroked="f">
                  <v:textbox inset="0,0,0,0">
                    <w:txbxContent>
                      <w:p>
                        <w:pPr>
                          <w:spacing w:before="0" w:after="160" w:line="259" w:lineRule="auto"/>
                          <w:ind w:right="0" w:firstLine="0"/>
                          <w:jc w:val="left"/>
                        </w:pPr>
                        <w:r>
                          <w:rPr>
                            <w:rFonts w:cs="MS Mincho" w:hAnsi="MS Mincho" w:eastAsia="MS Mincho" w:ascii="MS Mincho"/>
                            <w:sz w:val="14"/>
                          </w:rPr>
                          <w:t xml:space="preserve">ミ</w:t>
                        </w:r>
                      </w:p>
                    </w:txbxContent>
                  </v:textbox>
                </v:rect>
                <v:rect id="Rectangle 23184" style="position:absolute;width:2176;height:1152;left:0;top:12159;" filled="f" stroked="f">
                  <v:textbox inset="0,0,0,0">
                    <w:txbxContent>
                      <w:p>
                        <w:pPr>
                          <w:spacing w:before="0" w:after="160" w:line="259" w:lineRule="auto"/>
                          <w:ind w:right="0" w:firstLine="0"/>
                          <w:jc w:val="left"/>
                        </w:pPr>
                        <w:r>
                          <w:rPr>
                            <w:rFonts w:cs="MS Mincho" w:hAnsi="MS Mincho" w:eastAsia="MS Mincho" w:ascii="MS Mincho"/>
                            <w:sz w:val="14"/>
                          </w:rPr>
                          <w:t xml:space="preserve">H</w:t>
                        </w:r>
                      </w:p>
                    </w:txbxContent>
                  </v:textbox>
                </v:rect>
                <v:rect id="Rectangle 23185" style="position:absolute;width:2176;height:938;left:0;top:13090;" filled="f" stroked="f">
                  <v:textbox inset="0,0,0,0">
                    <w:txbxContent>
                      <w:p>
                        <w:pPr>
                          <w:spacing w:before="0" w:after="160" w:line="259" w:lineRule="auto"/>
                          <w:ind w:right="0" w:firstLine="0"/>
                          <w:jc w:val="left"/>
                        </w:pPr>
                        <w:r>
                          <w:rPr>
                            <w:rFonts w:cs="MS Mincho" w:hAnsi="MS Mincho" w:eastAsia="MS Mincho" w:ascii="MS Mincho"/>
                            <w:sz w:val="12"/>
                          </w:rPr>
                          <w:t xml:space="preserve">の</w:t>
                        </w:r>
                      </w:p>
                    </w:txbxContent>
                  </v:textbox>
                </v:rect>
                <v:rect id="Rectangle 23186" style="position:absolute;width:2176;height:1109;left:0;top:15111;" filled="f" stroked="f">
                  <v:textbox inset="0,0,0,0">
                    <w:txbxContent>
                      <w:p>
                        <w:pPr>
                          <w:spacing w:before="0" w:after="160" w:line="259" w:lineRule="auto"/>
                          <w:ind w:right="0" w:firstLine="0"/>
                          <w:jc w:val="left"/>
                        </w:pPr>
                        <w:r>
                          <w:rPr>
                            <w:rFonts w:cs="MS Mincho" w:hAnsi="MS Mincho" w:eastAsia="MS Mincho" w:ascii="MS Mincho"/>
                            <w:sz w:val="14"/>
                          </w:rPr>
                          <w:t xml:space="preserve">0</w:t>
                        </w:r>
                      </w:p>
                    </w:txbxContent>
                  </v:textbox>
                </v:rect>
                <v:rect id="Rectangle 23187" style="position:absolute;width:2176;height:1152;left:0;top:16875;" filled="f" stroked="f">
                  <v:textbox inset="0,0,0,0">
                    <w:txbxContent>
                      <w:p>
                        <w:pPr>
                          <w:spacing w:before="0" w:after="160" w:line="259" w:lineRule="auto"/>
                          <w:ind w:right="0" w:firstLine="0"/>
                          <w:jc w:val="left"/>
                        </w:pPr>
                        <w:r>
                          <w:rPr>
                            <w:rFonts w:cs="MS Mincho" w:hAnsi="MS Mincho" w:eastAsia="MS Mincho" w:ascii="MS Mincho"/>
                            <w:sz w:val="14"/>
                          </w:rPr>
                          <w:t xml:space="preserve">ミ</w:t>
                        </w:r>
                      </w:p>
                    </w:txbxContent>
                  </v:textbox>
                </v:rect>
                <v:rect id="Rectangle 23188" style="position:absolute;width:2176;height:2858;left:0;top:17838;" filled="f" stroked="f">
                  <v:textbox inset="0,0,0,0">
                    <w:txbxContent>
                      <w:p>
                        <w:pPr>
                          <w:spacing w:before="0" w:after="160" w:line="259" w:lineRule="auto"/>
                          <w:ind w:right="0" w:firstLine="0"/>
                          <w:jc w:val="left"/>
                        </w:pPr>
                        <w:r>
                          <w:rPr>
                            <w:rFonts w:cs="MS Mincho" w:hAnsi="MS Mincho" w:eastAsia="MS Mincho" w:ascii="MS Mincho"/>
                            <w:sz w:val="34"/>
                          </w:rPr>
                          <w:t xml:space="preserve">dl_l</w:t>
                        </w:r>
                      </w:p>
                    </w:txbxContent>
                  </v:textbox>
                </v:rect>
                <v:rect id="Rectangle 23280" style="position:absolute;width:2176;height:1024;left:41840;top:23645;" filled="f" stroked="f">
                  <v:textbox inset="0,0,0,0">
                    <w:txbxContent>
                      <w:p>
                        <w:pPr>
                          <w:spacing w:before="0" w:after="160" w:line="259" w:lineRule="auto"/>
                          <w:ind w:right="0" w:firstLine="0"/>
                          <w:jc w:val="left"/>
                        </w:pPr>
                        <w:r>
                          <w:rPr>
                            <w:rFonts w:cs="MS Mincho" w:hAnsi="MS Mincho" w:eastAsia="MS Mincho" w:ascii="MS Mincho"/>
                            <w:sz w:val="12"/>
                          </w:rPr>
                          <w:t xml:space="preserve">長</w:t>
                        </w:r>
                      </w:p>
                    </w:txbxContent>
                  </v:textbox>
                </v:rect>
                <v:rect id="Rectangle 23281" style="position:absolute;width:2176;height:1109;left:41840;top:24511;" filled="f" stroked="f">
                  <v:textbox inset="0,0,0,0">
                    <w:txbxContent>
                      <w:p>
                        <w:pPr>
                          <w:spacing w:before="0" w:after="160" w:line="259" w:lineRule="auto"/>
                          <w:ind w:right="0" w:firstLine="0"/>
                          <w:jc w:val="left"/>
                        </w:pPr>
                        <w:r>
                          <w:rPr>
                            <w:rFonts w:cs="MS Mincho" w:hAnsi="MS Mincho" w:eastAsia="MS Mincho" w:ascii="MS Mincho"/>
                            <w:sz w:val="14"/>
                          </w:rPr>
                          <w:t xml:space="preserve">0</w:t>
                        </w:r>
                      </w:p>
                    </w:txbxContent>
                  </v:textbox>
                </v:rect>
                <v:rect id="Rectangle 23282" style="position:absolute;width:2176;height:1322;left:41840;top:25442;" filled="f" stroked="f">
                  <v:textbox inset="0,0,0,0">
                    <w:txbxContent>
                      <w:p>
                        <w:pPr>
                          <w:spacing w:before="0" w:after="160" w:line="259" w:lineRule="auto"/>
                          <w:ind w:right="0" w:firstLine="0"/>
                          <w:jc w:val="left"/>
                        </w:pPr>
                        <w:r>
                          <w:rPr>
                            <w:rFonts w:cs="MS Mincho" w:hAnsi="MS Mincho" w:eastAsia="MS Mincho" w:ascii="MS Mincho"/>
                            <w:sz w:val="16"/>
                          </w:rPr>
                          <w:t xml:space="preserve">弓</w:t>
                        </w:r>
                      </w:p>
                    </w:txbxContent>
                  </v:textbox>
                </v:rect>
                <v:rect id="Rectangle 23283" style="position:absolute;width:2176;height:1109;left:41840;top:26404;" filled="f" stroked="f">
                  <v:textbox inset="0,0,0,0">
                    <w:txbxContent>
                      <w:p>
                        <w:pPr>
                          <w:spacing w:before="0" w:after="160" w:line="259" w:lineRule="auto"/>
                          <w:ind w:right="0" w:firstLine="0"/>
                          <w:jc w:val="left"/>
                        </w:pPr>
                        <w:r>
                          <w:rPr>
                            <w:rFonts w:cs="MS Mincho" w:hAnsi="MS Mincho" w:eastAsia="MS Mincho" w:ascii="MS Mincho"/>
                            <w:sz w:val="14"/>
                          </w:rPr>
                          <w:t xml:space="preserve">0</w:t>
                        </w:r>
                      </w:p>
                    </w:txbxContent>
                  </v:textbox>
                </v:rect>
                <v:rect id="Rectangle 23284" style="position:absolute;width:2176;height:1194;left:41840;top:27367;" filled="f" stroked="f">
                  <v:textbox inset="0,0,0,0">
                    <w:txbxContent>
                      <w:p>
                        <w:pPr>
                          <w:spacing w:before="0" w:after="160" w:line="259" w:lineRule="auto"/>
                          <w:ind w:right="0" w:firstLine="0"/>
                          <w:jc w:val="left"/>
                        </w:pPr>
                        <w:r>
                          <w:rPr>
                            <w:rFonts w:cs="MS Mincho" w:hAnsi="MS Mincho" w:eastAsia="MS Mincho" w:ascii="MS Mincho"/>
                            <w:sz w:val="14"/>
                          </w:rPr>
                          <w:t xml:space="preserve">宝</w:t>
                        </w:r>
                      </w:p>
                    </w:txbxContent>
                  </v:textbox>
                </v:rect>
                <v:rect id="Rectangle 23285" style="position:absolute;width:2176;height:1152;left:41840;top:28361;" filled="f" stroked="f">
                  <v:textbox inset="0,0,0,0">
                    <w:txbxContent>
                      <w:p>
                        <w:pPr>
                          <w:spacing w:before="0" w:after="160" w:line="259" w:lineRule="auto"/>
                          <w:ind w:right="0" w:firstLine="0"/>
                          <w:jc w:val="left"/>
                        </w:pPr>
                        <w:r>
                          <w:rPr>
                            <w:rFonts w:cs="MS Mincho" w:hAnsi="MS Mincho" w:eastAsia="MS Mincho" w:ascii="MS Mincho"/>
                            <w:sz w:val="14"/>
                          </w:rPr>
                          <w:t xml:space="preserve">X</w:t>
                        </w:r>
                      </w:p>
                    </w:txbxContent>
                  </v:textbox>
                </v:rect>
                <v:rect id="Rectangle 23286" style="position:absolute;width:2176;height:981;left:41840;top:29260;" filled="f" stroked="f">
                  <v:textbox inset="0,0,0,0">
                    <w:txbxContent>
                      <w:p>
                        <w:pPr>
                          <w:spacing w:before="0" w:after="160" w:line="259" w:lineRule="auto"/>
                          <w:ind w:right="0" w:firstLine="0"/>
                          <w:jc w:val="left"/>
                        </w:pPr>
                        <w:r>
                          <w:rPr>
                            <w:rFonts w:cs="MS Mincho" w:hAnsi="MS Mincho" w:eastAsia="MS Mincho" w:ascii="MS Mincho"/>
                            <w:sz w:val="12"/>
                          </w:rPr>
                          <w:t xml:space="preserve">・</w:t>
                        </w:r>
                      </w:p>
                    </w:txbxContent>
                  </v:textbox>
                </v:rect>
                <v:rect id="Rectangle 23287" style="position:absolute;width:2176;height:1194;left:41840;top:30030;" filled="f" stroked="f">
                  <v:textbox inset="0,0,0,0">
                    <w:txbxContent>
                      <w:p>
                        <w:pPr>
                          <w:spacing w:before="0" w:after="160" w:line="259" w:lineRule="auto"/>
                          <w:ind w:right="0" w:firstLine="0"/>
                          <w:jc w:val="left"/>
                        </w:pPr>
                        <w:r>
                          <w:rPr>
                            <w:rFonts w:cs="MS Mincho" w:hAnsi="MS Mincho" w:eastAsia="MS Mincho" w:ascii="MS Mincho"/>
                            <w:sz w:val="14"/>
                          </w:rPr>
                          <w:t xml:space="preserve">ト</w:t>
                        </w:r>
                      </w:p>
                    </w:txbxContent>
                  </v:textbox>
                </v:rect>
                <v:rect id="Rectangle 23288" style="position:absolute;width:2176;height:1066;left:41840;top:31377;" filled="f" stroked="f">
                  <v:textbox inset="0,0,0,0">
                    <w:txbxContent>
                      <w:p>
                        <w:pPr>
                          <w:spacing w:before="0" w:after="160" w:line="259" w:lineRule="auto"/>
                          <w:ind w:right="0" w:firstLine="0"/>
                          <w:jc w:val="left"/>
                        </w:pPr>
                        <w:r>
                          <w:rPr>
                            <w:rFonts w:cs="MS Mincho" w:hAnsi="MS Mincho" w:eastAsia="MS Mincho" w:ascii="MS Mincho"/>
                            <w:sz w:val="12"/>
                          </w:rPr>
                          <w:t xml:space="preserve">X</w:t>
                        </w:r>
                      </w:p>
                    </w:txbxContent>
                  </v:textbox>
                </v:rect>
                <v:rect id="Rectangle 23289" style="position:absolute;width:2176;height:512;left:41840;top:32307;" filled="f" stroked="f">
                  <v:textbox inset="0,0,0,0">
                    <w:txbxContent>
                      <w:p>
                        <w:pPr>
                          <w:spacing w:before="0" w:after="160" w:line="259" w:lineRule="auto"/>
                          <w:ind w:right="0" w:firstLine="0"/>
                          <w:jc w:val="left"/>
                        </w:pPr>
                        <w:r>
                          <w:rPr>
                            <w:rFonts w:cs="MS Mincho" w:hAnsi="MS Mincho" w:eastAsia="MS Mincho" w:ascii="MS Mincho"/>
                            <w:sz w:val="6"/>
                          </w:rPr>
                          <w:t xml:space="preserve">一</w:t>
                        </w:r>
                      </w:p>
                    </w:txbxContent>
                  </v:textbox>
                </v:rect>
                <v:rect id="Rectangle 23290" style="position:absolute;width:2176;height:1280;left:41840;top:35644;" filled="f" stroked="f">
                  <v:textbox inset="0,0,0,0">
                    <w:txbxContent>
                      <w:p>
                        <w:pPr>
                          <w:spacing w:before="0" w:after="160" w:line="259" w:lineRule="auto"/>
                          <w:ind w:right="0" w:firstLine="0"/>
                          <w:jc w:val="left"/>
                        </w:pPr>
                        <w:r>
                          <w:rPr>
                            <w:rFonts w:cs="MS Mincho" w:hAnsi="MS Mincho" w:eastAsia="MS Mincho" w:ascii="MS Mincho"/>
                            <w:sz w:val="16"/>
                          </w:rPr>
                          <w:t xml:space="preserve">弓</w:t>
                        </w:r>
                      </w:p>
                    </w:txbxContent>
                  </v:textbox>
                </v:rect>
                <v:rect id="Rectangle 23291" style="position:absolute;width:2176;height:981;left:41840;top:36607;" filled="f" stroked="f">
                  <v:textbox inset="0,0,0,0">
                    <w:txbxContent>
                      <w:p>
                        <w:pPr>
                          <w:spacing w:before="0" w:after="160" w:line="259" w:lineRule="auto"/>
                          <w:ind w:right="0" w:firstLine="0"/>
                          <w:jc w:val="left"/>
                        </w:pPr>
                        <w:r>
                          <w:rPr>
                            <w:rFonts w:cs="MS Mincho" w:hAnsi="MS Mincho" w:eastAsia="MS Mincho" w:ascii="MS Mincho"/>
                            <w:sz w:val="12"/>
                          </w:rPr>
                          <w:t xml:space="preserve">・</w:t>
                        </w:r>
                      </w:p>
                    </w:txbxContent>
                  </v:textbox>
                </v:rect>
                <v:rect id="Rectangle 23292" style="position:absolute;width:2176;height:1194;left:41840;top:37377;" filled="f" stroked="f">
                  <v:textbox inset="0,0,0,0">
                    <w:txbxContent>
                      <w:p>
                        <w:pPr>
                          <w:spacing w:before="0" w:after="160" w:line="259" w:lineRule="auto"/>
                          <w:ind w:right="0" w:firstLine="0"/>
                          <w:jc w:val="left"/>
                        </w:pPr>
                        <w:r>
                          <w:rPr>
                            <w:rFonts w:cs="MS Mincho" w:hAnsi="MS Mincho" w:eastAsia="MS Mincho" w:ascii="MS Mincho"/>
                            <w:sz w:val="14"/>
                          </w:rPr>
                          <w:t xml:space="preserve">ト</w:t>
                        </w:r>
                      </w:p>
                    </w:txbxContent>
                  </v:textbox>
                </v:rect>
                <v:rect id="Rectangle 23293" style="position:absolute;width:2176;height:1109;left:41840;top:40136;" filled="f" stroked="f">
                  <v:textbox inset="0,0,0,0">
                    <w:txbxContent>
                      <w:p>
                        <w:pPr>
                          <w:spacing w:before="0" w:after="160" w:line="259" w:lineRule="auto"/>
                          <w:ind w:right="0" w:firstLine="0"/>
                          <w:jc w:val="left"/>
                        </w:pPr>
                        <w:r>
                          <w:rPr>
                            <w:rFonts w:cs="MS Mincho" w:hAnsi="MS Mincho" w:eastAsia="MS Mincho" w:ascii="MS Mincho"/>
                            <w:sz w:val="14"/>
                          </w:rPr>
                          <w:t xml:space="preserve">0</w:t>
                        </w:r>
                      </w:p>
                    </w:txbxContent>
                  </v:textbox>
                </v:rect>
                <v:rect id="Rectangle 23294" style="position:absolute;width:2176;height:896;left:41840;top:41034;" filled="f" stroked="f">
                  <v:textbox inset="0,0,0,0">
                    <w:txbxContent>
                      <w:p>
                        <w:pPr>
                          <w:spacing w:before="0" w:after="160" w:line="259" w:lineRule="auto"/>
                          <w:ind w:right="0" w:firstLine="0"/>
                          <w:jc w:val="left"/>
                        </w:pPr>
                        <w:r>
                          <w:rPr>
                            <w:rFonts w:cs="MS Mincho" w:hAnsi="MS Mincho" w:eastAsia="MS Mincho" w:ascii="MS Mincho"/>
                            <w:sz w:val="10"/>
                          </w:rPr>
                          <w:t xml:space="preserve">門</w:t>
                        </w:r>
                      </w:p>
                    </w:txbxContent>
                  </v:textbox>
                </v:rect>
                <v:rect id="Rectangle 23295" style="position:absolute;width:2176;height:4779;left:41840;top:41772;" filled="f" stroked="f">
                  <v:textbox inset="0,0,0,0">
                    <w:txbxContent>
                      <w:p>
                        <w:pPr>
                          <w:spacing w:before="0" w:after="160" w:line="259" w:lineRule="auto"/>
                          <w:ind w:right="0" w:firstLine="0"/>
                          <w:jc w:val="left"/>
                        </w:pPr>
                        <w:r>
                          <w:rPr>
                            <w:rFonts w:cs="MS Mincho" w:hAnsi="MS Mincho" w:eastAsia="MS Mincho" w:ascii="MS Mincho"/>
                            <w:sz w:val="56"/>
                          </w:rPr>
                          <w:t xml:space="preserve">ed90</w:t>
                        </w:r>
                      </w:p>
                    </w:txbxContent>
                  </v:textbox>
                </v:rect>
                <v:rect id="Rectangle 23296" style="position:absolute;width:2176;height:1066;left:41840;top:45879;" filled="f" stroked="f">
                  <v:textbox inset="0,0,0,0">
                    <w:txbxContent>
                      <w:p>
                        <w:pPr>
                          <w:spacing w:before="0" w:after="160" w:line="259" w:lineRule="auto"/>
                          <w:ind w:right="0" w:firstLine="0"/>
                          <w:jc w:val="left"/>
                        </w:pPr>
                        <w:r>
                          <w:rPr>
                            <w:rFonts w:cs="MS Mincho" w:hAnsi="MS Mincho" w:eastAsia="MS Mincho" w:ascii="MS Mincho"/>
                            <w:sz w:val="12"/>
                          </w:rPr>
                          <w:t xml:space="preserve">X</w:t>
                        </w:r>
                      </w:p>
                    </w:txbxContent>
                  </v:textbox>
                </v:rect>
                <v:rect id="Rectangle 23297" style="position:absolute;width:2176;height:512;left:41840;top:46809;" filled="f" stroked="f">
                  <v:textbox inset="0,0,0,0">
                    <w:txbxContent>
                      <w:p>
                        <w:pPr>
                          <w:spacing w:before="0" w:after="160" w:line="259" w:lineRule="auto"/>
                          <w:ind w:right="0" w:firstLine="0"/>
                          <w:jc w:val="left"/>
                        </w:pPr>
                        <w:r>
                          <w:rPr>
                            <w:rFonts w:cs="MS Mincho" w:hAnsi="MS Mincho" w:eastAsia="MS Mincho" w:ascii="MS Mincho"/>
                            <w:sz w:val="6"/>
                          </w:rPr>
                          <w:t xml:space="preserve">一</w:t>
                        </w:r>
                      </w:p>
                    </w:txbxContent>
                  </v:textbox>
                </v:rect>
                <v:rect id="Rectangle 23298" style="position:absolute;width:2176;height:1152;left:41840;top:48189;" filled="f" stroked="f">
                  <v:textbox inset="0,0,0,0">
                    <w:txbxContent>
                      <w:p>
                        <w:pPr>
                          <w:spacing w:before="0" w:after="160" w:line="259" w:lineRule="auto"/>
                          <w:ind w:right="0" w:firstLine="0"/>
                          <w:jc w:val="left"/>
                        </w:pPr>
                        <w:r>
                          <w:rPr>
                            <w:rFonts w:cs="MS Mincho" w:hAnsi="MS Mincho" w:eastAsia="MS Mincho" w:ascii="MS Mincho"/>
                            <w:sz w:val="14"/>
                          </w:rPr>
                          <w:t xml:space="preserve">羡</w:t>
                        </w:r>
                      </w:p>
                    </w:txbxContent>
                  </v:textbox>
                </v:rect>
                <v:rect id="Rectangle 23299" style="position:absolute;width:2176;height:1109;left:41840;top:50242;" filled="f" stroked="f">
                  <v:textbox inset="0,0,0,0">
                    <w:txbxContent>
                      <w:p>
                        <w:pPr>
                          <w:spacing w:before="0" w:after="160" w:line="259" w:lineRule="auto"/>
                          <w:ind w:right="0" w:firstLine="0"/>
                          <w:jc w:val="left"/>
                        </w:pPr>
                        <w:r>
                          <w:rPr>
                            <w:rFonts w:cs="MS Mincho" w:hAnsi="MS Mincho" w:eastAsia="MS Mincho" w:ascii="MS Mincho"/>
                            <w:sz w:val="14"/>
                          </w:rPr>
                          <w:t xml:space="preserve">0</w:t>
                        </w:r>
                      </w:p>
                    </w:txbxContent>
                  </v:textbox>
                </v:rect>
                <v:rect id="Rectangle 23300" style="position:absolute;width:2176;height:1152;left:41840;top:51173;" filled="f" stroked="f">
                  <v:textbox inset="0,0,0,0">
                    <w:txbxContent>
                      <w:p>
                        <w:pPr>
                          <w:spacing w:before="0" w:after="160" w:line="259" w:lineRule="auto"/>
                          <w:ind w:right="0" w:firstLine="0"/>
                          <w:jc w:val="left"/>
                        </w:pPr>
                        <w:r>
                          <w:rPr>
                            <w:rFonts w:cs="MS Mincho" w:hAnsi="MS Mincho" w:eastAsia="MS Mincho" w:ascii="MS Mincho"/>
                            <w:sz w:val="14"/>
                          </w:rPr>
                          <w:t xml:space="preserve">ミ</w:t>
                        </w:r>
                      </w:p>
                    </w:txbxContent>
                  </v:textbox>
                </v:rect>
                <v:rect id="Rectangle 23301" style="position:absolute;width:2176;height:1237;left:41840;top:52167;" filled="f" stroked="f">
                  <v:textbox inset="0,0,0,0">
                    <w:txbxContent>
                      <w:p>
                        <w:pPr>
                          <w:spacing w:before="0" w:after="160" w:line="259" w:lineRule="auto"/>
                          <w:ind w:right="0" w:firstLine="0"/>
                          <w:jc w:val="left"/>
                        </w:pPr>
                        <w:r>
                          <w:rPr>
                            <w:rFonts w:cs="MS Mincho" w:hAnsi="MS Mincho" w:eastAsia="MS Mincho" w:ascii="MS Mincho"/>
                            <w:sz w:val="14"/>
                          </w:rPr>
                          <w:t xml:space="preserve">ゴ</w:t>
                        </w:r>
                      </w:p>
                    </w:txbxContent>
                  </v:textbox>
                </v:rect>
                <v:rect id="Rectangle 23302" style="position:absolute;width:2176;height:1194;left:41840;top:55087;" filled="f" stroked="f">
                  <v:textbox inset="0,0,0,0">
                    <w:txbxContent>
                      <w:p>
                        <w:pPr>
                          <w:spacing w:before="0" w:after="160" w:line="259" w:lineRule="auto"/>
                          <w:ind w:right="0" w:firstLine="0"/>
                          <w:jc w:val="left"/>
                        </w:pPr>
                        <w:r>
                          <w:rPr>
                            <w:rFonts w:cs="MS Mincho" w:hAnsi="MS Mincho" w:eastAsia="MS Mincho" w:ascii="MS Mincho"/>
                            <w:sz w:val="14"/>
                          </w:rPr>
                          <w:t xml:space="preserve">ト</w:t>
                        </w:r>
                      </w:p>
                    </w:txbxContent>
                  </v:textbox>
                </v:rect>
                <v:rect id="Rectangle 23303" style="position:absolute;width:2176;height:896;left:41840;top:56017;" filled="f" stroked="f">
                  <v:textbox inset="0,0,0,0">
                    <w:txbxContent>
                      <w:p>
                        <w:pPr>
                          <w:spacing w:before="0" w:after="160" w:line="259" w:lineRule="auto"/>
                          <w:ind w:right="0" w:firstLine="0"/>
                          <w:jc w:val="left"/>
                        </w:pPr>
                        <w:r>
                          <w:rPr>
                            <w:rFonts w:cs="MS Mincho" w:hAnsi="MS Mincho" w:eastAsia="MS Mincho" w:ascii="MS Mincho"/>
                            <w:sz w:val="10"/>
                          </w:rPr>
                          <w:t xml:space="preserve">3</w:t>
                        </w:r>
                      </w:p>
                    </w:txbxContent>
                  </v:textbox>
                </v:rect>
                <v:rect id="Rectangle 23304" style="position:absolute;width:2176;height:1194;left:41840;top:56819;" filled="f" stroked="f">
                  <v:textbox inset="0,0,0,0">
                    <w:txbxContent>
                      <w:p>
                        <w:pPr>
                          <w:spacing w:before="0" w:after="160" w:line="259" w:lineRule="auto"/>
                          <w:ind w:right="0" w:firstLine="0"/>
                          <w:jc w:val="left"/>
                        </w:pPr>
                        <w:r>
                          <w:rPr>
                            <w:rFonts w:cs="MS Mincho" w:hAnsi="MS Mincho" w:eastAsia="MS Mincho" w:ascii="MS Mincho"/>
                            <w:sz w:val="14"/>
                          </w:rPr>
                          <w:t xml:space="preserve">ま</w:t>
                        </w:r>
                      </w:p>
                    </w:txbxContent>
                  </v:textbox>
                </v:rect>
                <v:rect id="Rectangle 23305" style="position:absolute;width:2176;height:1194;left:41840;top:57846;" filled="f" stroked="f">
                  <v:textbox inset="0,0,0,0">
                    <w:txbxContent>
                      <w:p>
                        <w:pPr>
                          <w:spacing w:before="0" w:after="160" w:line="259" w:lineRule="auto"/>
                          <w:ind w:right="0" w:firstLine="0"/>
                          <w:jc w:val="left"/>
                        </w:pPr>
                        <w:r>
                          <w:rPr>
                            <w:rFonts w:cs="MS Mincho" w:hAnsi="MS Mincho" w:eastAsia="MS Mincho" w:ascii="MS Mincho"/>
                            <w:sz w:val="14"/>
                          </w:rPr>
                          <w:t xml:space="preserve">く</w:t>
                        </w:r>
                      </w:p>
                    </w:txbxContent>
                  </v:textbox>
                </v:rect>
                <v:rect id="Rectangle 23306" style="position:absolute;width:2176;height:1152;left:41840;top:60220;" filled="f" stroked="f">
                  <v:textbox inset="0,0,0,0">
                    <w:txbxContent>
                      <w:p>
                        <w:pPr>
                          <w:spacing w:before="0" w:after="160" w:line="259" w:lineRule="auto"/>
                          <w:ind w:right="0" w:firstLine="0"/>
                          <w:jc w:val="left"/>
                        </w:pPr>
                        <w:r>
                          <w:rPr>
                            <w:rFonts w:cs="MS Mincho" w:hAnsi="MS Mincho" w:eastAsia="MS Mincho" w:ascii="MS Mincho"/>
                            <w:sz w:val="14"/>
                          </w:rPr>
                          <w:t xml:space="preserve">ミ</w:t>
                        </w:r>
                      </w:p>
                    </w:txbxContent>
                  </v:textbox>
                </v:rect>
                <v:rect id="Rectangle 23307" style="position:absolute;width:2176;height:1194;left:41840;top:61215;" filled="f" stroked="f">
                  <v:textbox inset="0,0,0,0">
                    <w:txbxContent>
                      <w:p>
                        <w:pPr>
                          <w:spacing w:before="0" w:after="160" w:line="259" w:lineRule="auto"/>
                          <w:ind w:right="0" w:firstLine="0"/>
                          <w:jc w:val="left"/>
                        </w:pPr>
                        <w:r>
                          <w:rPr>
                            <w:rFonts w:cs="MS Mincho" w:hAnsi="MS Mincho" w:eastAsia="MS Mincho" w:ascii="MS Mincho"/>
                            <w:sz w:val="14"/>
                          </w:rPr>
                          <w:t xml:space="preserve">ゴ</w:t>
                        </w:r>
                      </w:p>
                    </w:txbxContent>
                  </v:textbox>
                </v:rect>
                <v:rect id="Rectangle 23308" style="position:absolute;width:2176;height:1109;left:41840;top:62241;" filled="f" stroked="f">
                  <v:textbox inset="0,0,0,0">
                    <w:txbxContent>
                      <w:p>
                        <w:pPr>
                          <w:spacing w:before="0" w:after="160" w:line="259" w:lineRule="auto"/>
                          <w:ind w:right="0" w:firstLine="0"/>
                          <w:jc w:val="left"/>
                        </w:pPr>
                        <w:r>
                          <w:rPr>
                            <w:rFonts w:cs="MS Mincho" w:hAnsi="MS Mincho" w:eastAsia="MS Mincho" w:ascii="MS Mincho"/>
                            <w:sz w:val="14"/>
                          </w:rPr>
                          <w:t xml:space="preserve">電</w:t>
                        </w:r>
                      </w:p>
                    </w:txbxContent>
                  </v:textbox>
                </v:rect>
                <v:rect id="Rectangle 23309" style="position:absolute;width:2176;height:1109;left:41840;top:65899;" filled="f" stroked="f">
                  <v:textbox inset="0,0,0,0">
                    <w:txbxContent>
                      <w:p>
                        <w:pPr>
                          <w:spacing w:before="0" w:after="160" w:line="259" w:lineRule="auto"/>
                          <w:ind w:right="0" w:firstLine="0"/>
                          <w:jc w:val="left"/>
                        </w:pPr>
                        <w:r>
                          <w:rPr>
                            <w:rFonts w:cs="MS Mincho" w:hAnsi="MS Mincho" w:eastAsia="MS Mincho" w:ascii="MS Mincho"/>
                            <w:sz w:val="14"/>
                          </w:rPr>
                          <w:t xml:space="preserve">電</w:t>
                        </w:r>
                      </w:p>
                    </w:txbxContent>
                  </v:textbox>
                </v:rect>
                <v:rect id="Rectangle 23310" style="position:absolute;width:2176;height:981;left:41840;top:66797;" filled="f" stroked="f">
                  <v:textbox inset="0,0,0,0">
                    <w:txbxContent>
                      <w:p>
                        <w:pPr>
                          <w:spacing w:before="0" w:after="160" w:line="259" w:lineRule="auto"/>
                          <w:ind w:right="0" w:firstLine="0"/>
                          <w:jc w:val="left"/>
                        </w:pPr>
                        <w:r>
                          <w:rPr>
                            <w:rFonts w:cs="MS Mincho" w:hAnsi="MS Mincho" w:eastAsia="MS Mincho" w:ascii="MS Mincho"/>
                            <w:sz w:val="12"/>
                          </w:rPr>
                          <w:t xml:space="preserve">・</w:t>
                        </w:r>
                      </w:p>
                    </w:txbxContent>
                  </v:textbox>
                </v:rect>
                <v:rect id="Rectangle 23311" style="position:absolute;width:2176;height:1194;left:41840;top:67599;" filled="f" stroked="f">
                  <v:textbox inset="0,0,0,0">
                    <w:txbxContent>
                      <w:p>
                        <w:pPr>
                          <w:spacing w:before="0" w:after="160" w:line="259" w:lineRule="auto"/>
                          <w:ind w:right="0" w:firstLine="0"/>
                          <w:jc w:val="left"/>
                        </w:pPr>
                        <w:r>
                          <w:rPr>
                            <w:rFonts w:cs="MS Mincho" w:hAnsi="MS Mincho" w:eastAsia="MS Mincho" w:ascii="MS Mincho"/>
                            <w:sz w:val="14"/>
                          </w:rPr>
                          <w:t xml:space="preserve">d</w:t>
                        </w:r>
                      </w:p>
                    </w:txbxContent>
                  </v:textbox>
                </v:rect>
                <v:rect id="Rectangle 23312" style="position:absolute;width:2176;height:1152;left:41840;top:69107;" filled="f" stroked="f">
                  <v:textbox inset="0,0,0,0">
                    <w:txbxContent>
                      <w:p>
                        <w:pPr>
                          <w:spacing w:before="0" w:after="160" w:line="259" w:lineRule="auto"/>
                          <w:ind w:right="0" w:firstLine="0"/>
                          <w:jc w:val="left"/>
                        </w:pPr>
                        <w:r>
                          <w:rPr>
                            <w:rFonts w:cs="MS Mincho" w:hAnsi="MS Mincho" w:eastAsia="MS Mincho" w:ascii="MS Mincho"/>
                            <w:sz w:val="14"/>
                          </w:rPr>
                          <w:t xml:space="preserve">ミ</w:t>
                        </w:r>
                      </w:p>
                    </w:txbxContent>
                  </v:textbox>
                </v:rect>
                <v:rect id="Rectangle 23313" style="position:absolute;width:2176;height:1152;left:41840;top:70102;" filled="f" stroked="f">
                  <v:textbox inset="0,0,0,0">
                    <w:txbxContent>
                      <w:p>
                        <w:pPr>
                          <w:spacing w:before="0" w:after="160" w:line="259" w:lineRule="auto"/>
                          <w:ind w:right="0" w:firstLine="0"/>
                          <w:jc w:val="left"/>
                        </w:pPr>
                        <w:r>
                          <w:rPr>
                            <w:rFonts w:cs="MS Mincho" w:hAnsi="MS Mincho" w:eastAsia="MS Mincho" w:ascii="MS Mincho"/>
                            <w:sz w:val="14"/>
                          </w:rPr>
                          <w:t xml:space="preserve">d</w:t>
                        </w:r>
                      </w:p>
                    </w:txbxContent>
                  </v:textbox>
                </v:rect>
                <v:rect id="Rectangle 23314" style="position:absolute;width:2176;height:1109;left:41840;top:71161;" filled="f" stroked="f">
                  <v:textbox inset="0,0,0,0">
                    <w:txbxContent>
                      <w:p>
                        <w:pPr>
                          <w:spacing w:before="0" w:after="160" w:line="259" w:lineRule="auto"/>
                          <w:ind w:right="0" w:firstLine="0"/>
                          <w:jc w:val="left"/>
                        </w:pPr>
                        <w:r>
                          <w:rPr>
                            <w:rFonts w:cs="MS Mincho" w:hAnsi="MS Mincho" w:eastAsia="MS Mincho" w:ascii="MS Mincho"/>
                            <w:sz w:val="14"/>
                          </w:rPr>
                          <w:t xml:space="preserve">巖</w:t>
                        </w:r>
                      </w:p>
                    </w:txbxContent>
                  </v:textbox>
                </v:rect>
                <w10:wrap type="square"/>
              </v:group>
            </w:pict>
          </mc:Fallback>
        </mc:AlternateContent>
      </w:r>
      <w:r>
        <w:rPr>
          <w:noProof/>
        </w:rPr>
        <w:drawing>
          <wp:anchor distT="0" distB="0" distL="114300" distR="114300" simplePos="0" relativeHeight="251662336" behindDoc="0" locked="0" layoutInCell="1" allowOverlap="0">
            <wp:simplePos x="0" y="0"/>
            <wp:positionH relativeFrom="margin">
              <wp:posOffset>4111953</wp:posOffset>
            </wp:positionH>
            <wp:positionV relativeFrom="paragraph">
              <wp:posOffset>2151188</wp:posOffset>
            </wp:positionV>
            <wp:extent cx="83425" cy="86626"/>
            <wp:effectExtent l="0" t="0" r="0" b="0"/>
            <wp:wrapSquare wrapText="bothSides"/>
            <wp:docPr id="31466" name="Picture 31466"/>
            <wp:cNvGraphicFramePr/>
            <a:graphic xmlns:a="http://schemas.openxmlformats.org/drawingml/2006/main">
              <a:graphicData uri="http://schemas.openxmlformats.org/drawingml/2006/picture">
                <pic:pic xmlns:pic="http://schemas.openxmlformats.org/drawingml/2006/picture">
                  <pic:nvPicPr>
                    <pic:cNvPr id="31466" name="Picture 31466"/>
                    <pic:cNvPicPr/>
                  </pic:nvPicPr>
                  <pic:blipFill>
                    <a:blip r:embed="rId116"/>
                    <a:stretch>
                      <a:fillRect/>
                    </a:stretch>
                  </pic:blipFill>
                  <pic:spPr>
                    <a:xfrm>
                      <a:off x="0" y="0"/>
                      <a:ext cx="83425" cy="86626"/>
                    </a:xfrm>
                    <a:prstGeom prst="rect">
                      <a:avLst/>
                    </a:prstGeom>
                  </pic:spPr>
                </pic:pic>
              </a:graphicData>
            </a:graphic>
          </wp:anchor>
        </w:drawing>
      </w:r>
      <w:r>
        <w:rPr>
          <w:rFonts w:ascii="MS Mincho" w:eastAsia="MS Mincho" w:hAnsi="MS Mincho" w:cs="MS Mincho"/>
          <w:sz w:val="10"/>
        </w:rPr>
        <w:t>あ</w:t>
      </w:r>
      <w:r>
        <w:rPr>
          <w:rFonts w:ascii="MS Mincho" w:eastAsia="MS Mincho" w:hAnsi="MS Mincho" w:cs="MS Mincho"/>
          <w:sz w:val="10"/>
        </w:rPr>
        <w:t>90</w:t>
      </w:r>
      <w:r>
        <w:rPr>
          <w:rFonts w:ascii="MS Mincho" w:eastAsia="MS Mincho" w:hAnsi="MS Mincho" w:cs="MS Mincho"/>
          <w:sz w:val="10"/>
        </w:rPr>
        <w:t>あ</w:t>
      </w:r>
      <w:r>
        <w:rPr>
          <w:rFonts w:ascii="MS Mincho" w:eastAsia="MS Mincho" w:hAnsi="MS Mincho" w:cs="MS Mincho"/>
          <w:sz w:val="10"/>
        </w:rPr>
        <w:t xml:space="preserve">00① </w:t>
      </w:r>
      <w:r>
        <w:rPr>
          <w:rFonts w:ascii="MS Mincho" w:eastAsia="MS Mincho" w:hAnsi="MS Mincho" w:cs="MS Mincho"/>
          <w:sz w:val="10"/>
        </w:rPr>
        <w:t>ト・</w:t>
      </w:r>
      <w:r>
        <w:rPr>
          <w:rFonts w:ascii="MS Mincho" w:eastAsia="MS Mincho" w:hAnsi="MS Mincho" w:cs="MS Mincho"/>
          <w:sz w:val="10"/>
        </w:rPr>
        <w:t>h</w:t>
      </w:r>
      <w:r>
        <w:rPr>
          <w:rFonts w:ascii="MS Mincho" w:eastAsia="MS Mincho" w:hAnsi="MS Mincho" w:cs="MS Mincho"/>
          <w:sz w:val="10"/>
        </w:rPr>
        <w:t>あ</w:t>
      </w:r>
      <w:r>
        <w:rPr>
          <w:noProof/>
        </w:rPr>
        <w:drawing>
          <wp:inline distT="0" distB="0" distL="0" distR="0">
            <wp:extent cx="83425" cy="80209"/>
            <wp:effectExtent l="0" t="0" r="0" b="0"/>
            <wp:docPr id="31465" name="Picture 31465"/>
            <wp:cNvGraphicFramePr/>
            <a:graphic xmlns:a="http://schemas.openxmlformats.org/drawingml/2006/main">
              <a:graphicData uri="http://schemas.openxmlformats.org/drawingml/2006/picture">
                <pic:pic xmlns:pic="http://schemas.openxmlformats.org/drawingml/2006/picture">
                  <pic:nvPicPr>
                    <pic:cNvPr id="31465" name="Picture 31465"/>
                    <pic:cNvPicPr/>
                  </pic:nvPicPr>
                  <pic:blipFill>
                    <a:blip r:embed="rId117"/>
                    <a:stretch>
                      <a:fillRect/>
                    </a:stretch>
                  </pic:blipFill>
                  <pic:spPr>
                    <a:xfrm>
                      <a:off x="0" y="0"/>
                      <a:ext cx="83425" cy="80209"/>
                    </a:xfrm>
                    <a:prstGeom prst="rect">
                      <a:avLst/>
                    </a:prstGeom>
                  </pic:spPr>
                </pic:pic>
              </a:graphicData>
            </a:graphic>
          </wp:inline>
        </w:drawing>
      </w:r>
      <w:r>
        <w:rPr>
          <w:rFonts w:ascii="MS Mincho" w:eastAsia="MS Mincho" w:hAnsi="MS Mincho" w:cs="MS Mincho"/>
          <w:sz w:val="10"/>
        </w:rPr>
        <w:t xml:space="preserve"> d</w:t>
      </w:r>
      <w:r>
        <w:rPr>
          <w:rFonts w:ascii="MS Mincho" w:eastAsia="MS Mincho" w:hAnsi="MS Mincho" w:cs="MS Mincho"/>
          <w:sz w:val="10"/>
        </w:rPr>
        <w:t>あ</w:t>
      </w:r>
      <w:r>
        <w:rPr>
          <w:rFonts w:ascii="MS Mincho" w:eastAsia="MS Mincho" w:hAnsi="MS Mincho" w:cs="MS Mincho"/>
          <w:sz w:val="10"/>
        </w:rPr>
        <w:t xml:space="preserve"> dawndl_l d</w:t>
      </w:r>
      <w:r>
        <w:rPr>
          <w:rFonts w:ascii="MS Mincho" w:eastAsia="MS Mincho" w:hAnsi="MS Mincho" w:cs="MS Mincho"/>
          <w:sz w:val="10"/>
        </w:rPr>
        <w:t>・</w:t>
      </w:r>
      <w:r>
        <w:rPr>
          <w:rFonts w:ascii="MS Mincho" w:eastAsia="MS Mincho" w:hAnsi="MS Mincho" w:cs="MS Mincho"/>
          <w:sz w:val="10"/>
        </w:rPr>
        <w:t>8</w:t>
      </w:r>
      <w:r>
        <w:rPr>
          <w:rFonts w:ascii="MS Mincho" w:eastAsia="MS Mincho" w:hAnsi="MS Mincho" w:cs="MS Mincho"/>
          <w:sz w:val="10"/>
        </w:rPr>
        <w:t>ト</w:t>
      </w:r>
      <w:r>
        <w:rPr>
          <w:rFonts w:ascii="MS Mincho" w:eastAsia="MS Mincho" w:hAnsi="MS Mincho" w:cs="MS Mincho"/>
          <w:sz w:val="10"/>
        </w:rPr>
        <w:t xml:space="preserve">0 </w:t>
      </w:r>
      <w:r>
        <w:rPr>
          <w:rFonts w:ascii="MS Mincho" w:eastAsia="MS Mincho" w:hAnsi="MS Mincho" w:cs="MS Mincho"/>
          <w:sz w:val="10"/>
        </w:rPr>
        <w:t>・</w:t>
      </w:r>
      <w:r>
        <w:rPr>
          <w:rFonts w:ascii="MS Mincho" w:eastAsia="MS Mincho" w:hAnsi="MS Mincho" w:cs="MS Mincho"/>
          <w:sz w:val="10"/>
        </w:rPr>
        <w:t>e</w:t>
      </w:r>
      <w:r>
        <w:rPr>
          <w:rFonts w:ascii="MS Mincho" w:eastAsia="MS Mincho" w:hAnsi="MS Mincho" w:cs="MS Mincho"/>
          <w:sz w:val="10"/>
        </w:rPr>
        <w:t>ト・</w:t>
      </w:r>
      <w:r>
        <w:rPr>
          <w:rFonts w:ascii="MS Mincho" w:eastAsia="MS Mincho" w:hAnsi="MS Mincho" w:cs="MS Mincho"/>
          <w:sz w:val="10"/>
        </w:rPr>
        <w:t>W</w:t>
      </w:r>
      <w:r>
        <w:rPr>
          <w:rFonts w:ascii="MS Mincho" w:eastAsia="MS Mincho" w:hAnsi="MS Mincho" w:cs="MS Mincho"/>
          <w:sz w:val="10"/>
        </w:rPr>
        <w:t>あ望</w:t>
      </w:r>
      <w:r>
        <w:rPr>
          <w:rFonts w:ascii="MS Mincho" w:eastAsia="MS Mincho" w:hAnsi="MS Mincho" w:cs="MS Mincho"/>
          <w:sz w:val="10"/>
        </w:rPr>
        <w:t>0</w:t>
      </w:r>
      <w:r>
        <w:rPr>
          <w:rFonts w:ascii="MS Mincho" w:eastAsia="MS Mincho" w:hAnsi="MS Mincho" w:cs="MS Mincho"/>
          <w:sz w:val="10"/>
        </w:rPr>
        <w:t>点《《</w:t>
      </w:r>
    </w:p>
    <w:p w:rsidR="00721CF3" w:rsidRDefault="00721CF3">
      <w:pPr>
        <w:sectPr w:rsidR="00721CF3">
          <w:headerReference w:type="even" r:id="rId118"/>
          <w:headerReference w:type="default" r:id="rId119"/>
          <w:footerReference w:type="even" r:id="rId120"/>
          <w:footerReference w:type="default" r:id="rId121"/>
          <w:headerReference w:type="first" r:id="rId122"/>
          <w:footerReference w:type="first" r:id="rId123"/>
          <w:pgSz w:w="11920" w:h="16840"/>
          <w:pgMar w:top="1440" w:right="1440" w:bottom="1041" w:left="1440" w:header="720" w:footer="720" w:gutter="0"/>
          <w:cols w:space="720"/>
          <w:textDirection w:val="tbRl"/>
        </w:sectPr>
      </w:pPr>
    </w:p>
    <w:p w:rsidR="00721CF3" w:rsidRDefault="00063BD2">
      <w:pPr>
        <w:spacing w:line="216" w:lineRule="auto"/>
        <w:ind w:left="6813" w:right="1176" w:hanging="10"/>
      </w:pPr>
      <w:r>
        <w:t>Приложение 2 к 2.4. ОЗмЗ</w:t>
      </w:r>
    </w:p>
    <w:p w:rsidR="00721CF3" w:rsidRDefault="00063BD2">
      <w:pPr>
        <w:spacing w:after="292" w:line="264" w:lineRule="auto"/>
        <w:ind w:left="10" w:right="19" w:hanging="10"/>
        <w:jc w:val="right"/>
      </w:pPr>
      <w:r>
        <w:t>(рекомендуемый образец)</w:t>
      </w:r>
    </w:p>
    <w:p w:rsidR="00721CF3" w:rsidRDefault="00063BD2">
      <w:pPr>
        <w:spacing w:after="195" w:line="265" w:lineRule="auto"/>
        <w:ind w:left="1609" w:right="1594" w:hanging="10"/>
        <w:jc w:val="center"/>
      </w:pPr>
      <w:r>
        <w:rPr>
          <w:sz w:val="30"/>
        </w:rPr>
        <w:t>Примеры расположения рабочих мест обучающихся, использующих персональные компьютеры, по отношению к световым проемам</w:t>
      </w:r>
    </w:p>
    <w:p w:rsidR="00721CF3" w:rsidRDefault="00063BD2">
      <w:pPr>
        <w:ind w:left="14" w:right="14"/>
      </w:pPr>
      <w:r>
        <w:t>1. Расположение рабочего места по отношению к световым проемам влияет на восприятие изображения на экране мониторов и комфортность данного процесса для обучающегося. В случае нерационального размещения рабочего места возрастает отраженная блескость поверхн</w:t>
      </w:r>
      <w:r>
        <w:t>ости монитора и оборудования на рабочем месте, что приводит к ухудшению восприятия изображения на экране и напряжению органа зрения, из-за наличия предметов с высокой яркостью или значительно отличающихся по яркости от иных предметов на рабочем месте.</w:t>
      </w:r>
    </w:p>
    <w:p w:rsidR="00721CF3" w:rsidRDefault="00063BD2">
      <w:pPr>
        <w:spacing w:after="414"/>
        <w:ind w:left="14" w:right="14"/>
      </w:pPr>
      <w:r>
        <w:t>Рабо</w:t>
      </w:r>
      <w:r>
        <w:t>чие места располагают по отношению к световым проемам таким образом, чтобы внешний свет падал сбоку. Рекомендуемое размещение рабочих мест представлено на рис. 2.</w:t>
      </w:r>
    </w:p>
    <w:p w:rsidR="00721CF3" w:rsidRDefault="00063BD2">
      <w:pPr>
        <w:spacing w:after="444" w:line="259" w:lineRule="auto"/>
        <w:ind w:right="120" w:firstLine="0"/>
        <w:jc w:val="center"/>
      </w:pPr>
      <w:r>
        <w:rPr>
          <w:sz w:val="32"/>
        </w:rPr>
        <w:t>Естественный свет</w:t>
      </w:r>
    </w:p>
    <w:p w:rsidR="00721CF3" w:rsidRDefault="00063BD2">
      <w:pPr>
        <w:spacing w:after="0" w:line="259" w:lineRule="auto"/>
        <w:ind w:left="187" w:right="0" w:firstLine="0"/>
        <w:jc w:val="center"/>
      </w:pPr>
      <w:r>
        <w:rPr>
          <w:sz w:val="62"/>
        </w:rPr>
        <w:t>v v v v</w:t>
      </w:r>
    </w:p>
    <w:p w:rsidR="00721CF3" w:rsidRDefault="00063BD2">
      <w:pPr>
        <w:spacing w:after="596" w:line="259" w:lineRule="auto"/>
        <w:ind w:left="518" w:right="0" w:firstLine="0"/>
        <w:jc w:val="left"/>
      </w:pPr>
      <w:r>
        <w:rPr>
          <w:noProof/>
        </w:rPr>
        <w:drawing>
          <wp:inline distT="0" distB="0" distL="0" distR="0">
            <wp:extent cx="5578589" cy="3374457"/>
            <wp:effectExtent l="0" t="0" r="0" b="0"/>
            <wp:docPr id="35826" name="Picture 35826"/>
            <wp:cNvGraphicFramePr/>
            <a:graphic xmlns:a="http://schemas.openxmlformats.org/drawingml/2006/main">
              <a:graphicData uri="http://schemas.openxmlformats.org/drawingml/2006/picture">
                <pic:pic xmlns:pic="http://schemas.openxmlformats.org/drawingml/2006/picture">
                  <pic:nvPicPr>
                    <pic:cNvPr id="35826" name="Picture 35826"/>
                    <pic:cNvPicPr/>
                  </pic:nvPicPr>
                  <pic:blipFill>
                    <a:blip r:embed="rId124"/>
                    <a:stretch>
                      <a:fillRect/>
                    </a:stretch>
                  </pic:blipFill>
                  <pic:spPr>
                    <a:xfrm>
                      <a:off x="0" y="0"/>
                      <a:ext cx="5578589" cy="3374457"/>
                    </a:xfrm>
                    <a:prstGeom prst="rect">
                      <a:avLst/>
                    </a:prstGeom>
                  </pic:spPr>
                </pic:pic>
              </a:graphicData>
            </a:graphic>
          </wp:inline>
        </w:drawing>
      </w:r>
    </w:p>
    <w:p w:rsidR="00721CF3" w:rsidRDefault="00063BD2">
      <w:pPr>
        <w:spacing w:after="4" w:line="262" w:lineRule="auto"/>
        <w:ind w:left="113" w:right="103" w:hanging="10"/>
        <w:jc w:val="center"/>
      </w:pPr>
      <w:r>
        <w:t>Рис. 2. Пример рекомендуемого расположения рабочих мест в помещен</w:t>
      </w:r>
      <w:r>
        <w:t>иях относительно световых проемов</w:t>
      </w:r>
    </w:p>
    <w:p w:rsidR="00721CF3" w:rsidRDefault="00063BD2">
      <w:pPr>
        <w:ind w:left="14" w:right="14"/>
      </w:pPr>
      <w:r>
        <w:t>2, Расположение рабочего места относительно электропроводки в помещении.</w:t>
      </w:r>
    </w:p>
    <w:p w:rsidR="00721CF3" w:rsidRDefault="00063BD2">
      <w:pPr>
        <w:spacing w:after="142"/>
        <w:ind w:left="14" w:right="14"/>
      </w:pPr>
      <w:r>
        <w:t>2.1. Наиболее рациональные варианты взаимного расположения рабочих мест представлены на рис. 3—7.</w:t>
      </w:r>
    </w:p>
    <w:p w:rsidR="00721CF3" w:rsidRDefault="00063BD2">
      <w:pPr>
        <w:spacing w:after="603" w:line="259" w:lineRule="auto"/>
        <w:ind w:left="1239" w:right="0" w:firstLine="0"/>
        <w:jc w:val="left"/>
      </w:pPr>
      <w:r>
        <w:rPr>
          <w:noProof/>
        </w:rPr>
        <w:drawing>
          <wp:inline distT="0" distB="0" distL="0" distR="0">
            <wp:extent cx="5429217" cy="2246590"/>
            <wp:effectExtent l="0" t="0" r="0" b="0"/>
            <wp:docPr id="94108" name="Picture 94108"/>
            <wp:cNvGraphicFramePr/>
            <a:graphic xmlns:a="http://schemas.openxmlformats.org/drawingml/2006/main">
              <a:graphicData uri="http://schemas.openxmlformats.org/drawingml/2006/picture">
                <pic:pic xmlns:pic="http://schemas.openxmlformats.org/drawingml/2006/picture">
                  <pic:nvPicPr>
                    <pic:cNvPr id="94108" name="Picture 94108"/>
                    <pic:cNvPicPr/>
                  </pic:nvPicPr>
                  <pic:blipFill>
                    <a:blip r:embed="rId125"/>
                    <a:stretch>
                      <a:fillRect/>
                    </a:stretch>
                  </pic:blipFill>
                  <pic:spPr>
                    <a:xfrm>
                      <a:off x="0" y="0"/>
                      <a:ext cx="5429217" cy="2246590"/>
                    </a:xfrm>
                    <a:prstGeom prst="rect">
                      <a:avLst/>
                    </a:prstGeom>
                  </pic:spPr>
                </pic:pic>
              </a:graphicData>
            </a:graphic>
          </wp:inline>
        </w:drawing>
      </w:r>
    </w:p>
    <w:p w:rsidR="00721CF3" w:rsidRDefault="00063BD2">
      <w:pPr>
        <w:spacing w:after="162"/>
        <w:ind w:left="3270" w:right="154" w:hanging="1431"/>
      </w:pPr>
      <w:r>
        <w:t>Рис. З. Рекомендуемый возможный вариант рядного расположения рабочих мест</w:t>
      </w:r>
    </w:p>
    <w:p w:rsidR="00721CF3" w:rsidRDefault="00063BD2">
      <w:pPr>
        <w:spacing w:after="646" w:line="259" w:lineRule="auto"/>
        <w:ind w:left="1258" w:right="0" w:firstLine="0"/>
        <w:jc w:val="left"/>
      </w:pPr>
      <w:r>
        <w:rPr>
          <w:noProof/>
        </w:rPr>
        <w:drawing>
          <wp:inline distT="0" distB="0" distL="0" distR="0">
            <wp:extent cx="5173150" cy="2414245"/>
            <wp:effectExtent l="0" t="0" r="0" b="0"/>
            <wp:docPr id="94110" name="Picture 94110"/>
            <wp:cNvGraphicFramePr/>
            <a:graphic xmlns:a="http://schemas.openxmlformats.org/drawingml/2006/main">
              <a:graphicData uri="http://schemas.openxmlformats.org/drawingml/2006/picture">
                <pic:pic xmlns:pic="http://schemas.openxmlformats.org/drawingml/2006/picture">
                  <pic:nvPicPr>
                    <pic:cNvPr id="94110" name="Picture 94110"/>
                    <pic:cNvPicPr/>
                  </pic:nvPicPr>
                  <pic:blipFill>
                    <a:blip r:embed="rId126"/>
                    <a:stretch>
                      <a:fillRect/>
                    </a:stretch>
                  </pic:blipFill>
                  <pic:spPr>
                    <a:xfrm>
                      <a:off x="0" y="0"/>
                      <a:ext cx="5173150" cy="2414245"/>
                    </a:xfrm>
                    <a:prstGeom prst="rect">
                      <a:avLst/>
                    </a:prstGeom>
                  </pic:spPr>
                </pic:pic>
              </a:graphicData>
            </a:graphic>
          </wp:inline>
        </w:drawing>
      </w:r>
    </w:p>
    <w:p w:rsidR="00721CF3" w:rsidRDefault="00063BD2">
      <w:pPr>
        <w:spacing w:after="4" w:line="262" w:lineRule="auto"/>
        <w:ind w:left="965" w:right="979" w:hanging="10"/>
        <w:jc w:val="center"/>
      </w:pPr>
      <w:r>
        <w:t>Рис. 4, Рекомендуемый наилучший вариант рядного расположения рабочих мест с обеспечением максимального расстояния от пользователя до оборудования соседнего рабочего места</w:t>
      </w:r>
    </w:p>
    <w:p w:rsidR="00721CF3" w:rsidRDefault="00063BD2">
      <w:pPr>
        <w:spacing w:after="1653" w:line="259" w:lineRule="auto"/>
        <w:ind w:left="835" w:right="0" w:firstLine="0"/>
        <w:jc w:val="left"/>
      </w:pPr>
      <w:r>
        <w:rPr>
          <w:noProof/>
        </w:rPr>
        <w:drawing>
          <wp:inline distT="0" distB="0" distL="0" distR="0">
            <wp:extent cx="5267652" cy="1789346"/>
            <wp:effectExtent l="0" t="0" r="0" b="0"/>
            <wp:docPr id="94112" name="Picture 94112"/>
            <wp:cNvGraphicFramePr/>
            <a:graphic xmlns:a="http://schemas.openxmlformats.org/drawingml/2006/main">
              <a:graphicData uri="http://schemas.openxmlformats.org/drawingml/2006/picture">
                <pic:pic xmlns:pic="http://schemas.openxmlformats.org/drawingml/2006/picture">
                  <pic:nvPicPr>
                    <pic:cNvPr id="94112" name="Picture 94112"/>
                    <pic:cNvPicPr/>
                  </pic:nvPicPr>
                  <pic:blipFill>
                    <a:blip r:embed="rId127"/>
                    <a:stretch>
                      <a:fillRect/>
                    </a:stretch>
                  </pic:blipFill>
                  <pic:spPr>
                    <a:xfrm>
                      <a:off x="0" y="0"/>
                      <a:ext cx="5267652" cy="1789346"/>
                    </a:xfrm>
                    <a:prstGeom prst="rect">
                      <a:avLst/>
                    </a:prstGeom>
                  </pic:spPr>
                </pic:pic>
              </a:graphicData>
            </a:graphic>
          </wp:inline>
        </w:drawing>
      </w:r>
    </w:p>
    <w:p w:rsidR="00721CF3" w:rsidRDefault="00063BD2">
      <w:pPr>
        <w:spacing w:after="273"/>
        <w:ind w:left="682" w:right="14" w:firstLine="0"/>
      </w:pPr>
      <w:r>
        <w:t>Рис. 5.</w:t>
      </w:r>
      <w:r>
        <w:t xml:space="preserve"> Рекомендуемый вариант линейного расположения рабочих мест</w:t>
      </w:r>
    </w:p>
    <w:p w:rsidR="00721CF3" w:rsidRDefault="00063BD2">
      <w:pPr>
        <w:spacing w:after="343" w:line="259" w:lineRule="auto"/>
        <w:ind w:left="403" w:right="0" w:firstLine="0"/>
        <w:jc w:val="left"/>
      </w:pPr>
      <w:r>
        <w:rPr>
          <w:noProof/>
        </w:rPr>
        <w:drawing>
          <wp:inline distT="0" distB="0" distL="0" distR="0">
            <wp:extent cx="5749300" cy="1825925"/>
            <wp:effectExtent l="0" t="0" r="0" b="0"/>
            <wp:docPr id="94114" name="Picture 94114"/>
            <wp:cNvGraphicFramePr/>
            <a:graphic xmlns:a="http://schemas.openxmlformats.org/drawingml/2006/main">
              <a:graphicData uri="http://schemas.openxmlformats.org/drawingml/2006/picture">
                <pic:pic xmlns:pic="http://schemas.openxmlformats.org/drawingml/2006/picture">
                  <pic:nvPicPr>
                    <pic:cNvPr id="94114" name="Picture 94114"/>
                    <pic:cNvPicPr/>
                  </pic:nvPicPr>
                  <pic:blipFill>
                    <a:blip r:embed="rId128"/>
                    <a:stretch>
                      <a:fillRect/>
                    </a:stretch>
                  </pic:blipFill>
                  <pic:spPr>
                    <a:xfrm>
                      <a:off x="0" y="0"/>
                      <a:ext cx="5749300" cy="1825925"/>
                    </a:xfrm>
                    <a:prstGeom prst="rect">
                      <a:avLst/>
                    </a:prstGeom>
                  </pic:spPr>
                </pic:pic>
              </a:graphicData>
            </a:graphic>
          </wp:inline>
        </w:drawing>
      </w:r>
    </w:p>
    <w:p w:rsidR="00721CF3" w:rsidRDefault="00063BD2">
      <w:pPr>
        <w:spacing w:after="122" w:line="262" w:lineRule="auto"/>
        <w:ind w:left="970" w:right="979" w:hanging="10"/>
        <w:jc w:val="center"/>
      </w:pPr>
      <w:r>
        <w:t>Рис. 6. Рекомендуемый вариант линейного расположения большого количества рабочих мест</w:t>
      </w:r>
    </w:p>
    <w:p w:rsidR="00721CF3" w:rsidRDefault="00063BD2">
      <w:pPr>
        <w:spacing w:after="577" w:line="259" w:lineRule="auto"/>
        <w:ind w:left="518" w:right="0" w:firstLine="0"/>
        <w:jc w:val="left"/>
      </w:pPr>
      <w:r>
        <w:rPr>
          <w:noProof/>
        </w:rPr>
        <w:drawing>
          <wp:inline distT="0" distB="0" distL="0" distR="0">
            <wp:extent cx="5679187" cy="1874698"/>
            <wp:effectExtent l="0" t="0" r="0" b="0"/>
            <wp:docPr id="41662" name="Picture 41662"/>
            <wp:cNvGraphicFramePr/>
            <a:graphic xmlns:a="http://schemas.openxmlformats.org/drawingml/2006/main">
              <a:graphicData uri="http://schemas.openxmlformats.org/drawingml/2006/picture">
                <pic:pic xmlns:pic="http://schemas.openxmlformats.org/drawingml/2006/picture">
                  <pic:nvPicPr>
                    <pic:cNvPr id="41662" name="Picture 41662"/>
                    <pic:cNvPicPr/>
                  </pic:nvPicPr>
                  <pic:blipFill>
                    <a:blip r:embed="rId129"/>
                    <a:stretch>
                      <a:fillRect/>
                    </a:stretch>
                  </pic:blipFill>
                  <pic:spPr>
                    <a:xfrm>
                      <a:off x="0" y="0"/>
                      <a:ext cx="5679187" cy="1874698"/>
                    </a:xfrm>
                    <a:prstGeom prst="rect">
                      <a:avLst/>
                    </a:prstGeom>
                  </pic:spPr>
                </pic:pic>
              </a:graphicData>
            </a:graphic>
          </wp:inline>
        </w:drawing>
      </w:r>
    </w:p>
    <w:p w:rsidR="00721CF3" w:rsidRDefault="00063BD2">
      <w:pPr>
        <w:spacing w:after="4" w:line="262" w:lineRule="auto"/>
        <w:ind w:left="1066" w:right="1056" w:hanging="10"/>
        <w:jc w:val="center"/>
      </w:pPr>
      <w:r>
        <w:t>Рис. 7. Рекомендуемый вариант линейного расположения рабочих мест при использовании перегородок</w:t>
      </w:r>
    </w:p>
    <w:p w:rsidR="00721CF3" w:rsidRDefault="00721CF3">
      <w:pPr>
        <w:sectPr w:rsidR="00721CF3">
          <w:headerReference w:type="even" r:id="rId130"/>
          <w:headerReference w:type="default" r:id="rId131"/>
          <w:footerReference w:type="even" r:id="rId132"/>
          <w:footerReference w:type="default" r:id="rId133"/>
          <w:headerReference w:type="first" r:id="rId134"/>
          <w:footerReference w:type="first" r:id="rId135"/>
          <w:pgSz w:w="11920" w:h="16840"/>
          <w:pgMar w:top="1311" w:right="903" w:bottom="1272" w:left="1095" w:header="684" w:footer="720" w:gutter="0"/>
          <w:cols w:space="720"/>
        </w:sectPr>
      </w:pPr>
    </w:p>
    <w:p w:rsidR="00721CF3" w:rsidRDefault="00063BD2">
      <w:pPr>
        <w:pStyle w:val="Heading1"/>
      </w:pPr>
      <w:r>
        <w:t>З к мр 2.4. 030-23</w:t>
      </w:r>
    </w:p>
    <w:p w:rsidR="00721CF3" w:rsidRDefault="00063BD2">
      <w:pPr>
        <w:spacing w:after="399" w:line="266" w:lineRule="auto"/>
        <w:ind w:left="2233" w:right="9" w:hanging="1359"/>
      </w:pPr>
      <w:r>
        <w:rPr>
          <w:sz w:val="30"/>
        </w:rPr>
        <w:t>Пример определения суммарной продолжительности использования ЭСО и (или) средств, оснащенных экраном</w:t>
      </w:r>
    </w:p>
    <w:p w:rsidR="00721CF3" w:rsidRDefault="00063BD2">
      <w:pPr>
        <w:numPr>
          <w:ilvl w:val="0"/>
          <w:numId w:val="10"/>
        </w:numPr>
        <w:ind w:right="14"/>
      </w:pPr>
      <w:r>
        <w:t>Например, во 2-м классе в соответствии с санитарноэпидемиологическими требованиями36 суммарная продолжительность использования ЭСО в день не превышает 80 минут.</w:t>
      </w:r>
    </w:p>
    <w:p w:rsidR="00721CF3" w:rsidRDefault="00063BD2">
      <w:pPr>
        <w:numPr>
          <w:ilvl w:val="0"/>
          <w:numId w:val="10"/>
        </w:numPr>
        <w:ind w:right="14"/>
      </w:pPr>
      <w:r>
        <w:t>Варианты распределения времени использования ЭСО:</w:t>
      </w:r>
    </w:p>
    <w:p w:rsidR="00721CF3" w:rsidRDefault="00063BD2">
      <w:pPr>
        <w:numPr>
          <w:ilvl w:val="0"/>
          <w:numId w:val="11"/>
        </w:numPr>
        <w:ind w:right="16" w:hanging="360"/>
      </w:pPr>
      <w:r>
        <w:t>4 урока по 20 минут = 80 минут;</w:t>
      </w:r>
    </w:p>
    <w:p w:rsidR="00721CF3" w:rsidRDefault="00063BD2">
      <w:pPr>
        <w:numPr>
          <w:ilvl w:val="0"/>
          <w:numId w:val="11"/>
        </w:numPr>
        <w:spacing w:after="25" w:line="264" w:lineRule="auto"/>
        <w:ind w:right="16" w:hanging="360"/>
      </w:pPr>
      <w:r>
        <w:t>3 урока по 20 минут (60 минут) + выполнение домашнего задания</w:t>
      </w:r>
    </w:p>
    <w:p w:rsidR="00721CF3" w:rsidRDefault="00063BD2">
      <w:pPr>
        <w:ind w:left="14" w:right="14" w:firstLine="0"/>
      </w:pPr>
      <w:r>
        <w:t>(20 минут) = 80 минут;</w:t>
      </w:r>
    </w:p>
    <w:p w:rsidR="00721CF3" w:rsidRDefault="00063BD2">
      <w:pPr>
        <w:spacing w:after="25" w:line="264" w:lineRule="auto"/>
        <w:ind w:left="10" w:right="19" w:hanging="10"/>
        <w:jc w:val="right"/>
      </w:pPr>
      <w:r>
        <w:t>3) 2 урока по 20 мийут (40 минут) + выполнение домашнего задания</w:t>
      </w:r>
    </w:p>
    <w:p w:rsidR="00721CF3" w:rsidRDefault="00063BD2">
      <w:pPr>
        <w:ind w:left="14" w:right="14" w:firstLine="0"/>
      </w:pPr>
      <w:r>
        <w:t>(20 минут) + досуговая деятельность (20 минут) = 80 минут;</w:t>
      </w:r>
    </w:p>
    <w:p w:rsidR="00721CF3" w:rsidRDefault="00063BD2">
      <w:pPr>
        <w:spacing w:after="7655"/>
        <w:ind w:left="14" w:right="14"/>
      </w:pPr>
      <w:r>
        <w:t>4) выполнение домашнего задания (20 минут) + до</w:t>
      </w:r>
      <w:r>
        <w:t>полнительные занятия 20 минут) + досуговая деятельность (40 минут) = 80 минут.</w:t>
      </w:r>
    </w:p>
    <w:p w:rsidR="00721CF3" w:rsidRDefault="00063BD2">
      <w:pPr>
        <w:spacing w:after="122" w:line="259" w:lineRule="auto"/>
        <w:ind w:left="29" w:right="0" w:firstLine="0"/>
        <w:jc w:val="left"/>
      </w:pPr>
      <w:r>
        <w:rPr>
          <w:noProof/>
          <w:sz w:val="22"/>
        </w:rPr>
        <mc:AlternateContent>
          <mc:Choice Requires="wpg">
            <w:drawing>
              <wp:inline distT="0" distB="0" distL="0" distR="0">
                <wp:extent cx="1822949" cy="15242"/>
                <wp:effectExtent l="0" t="0" r="0" b="0"/>
                <wp:docPr id="94117" name="Group 94117"/>
                <wp:cNvGraphicFramePr/>
                <a:graphic xmlns:a="http://schemas.openxmlformats.org/drawingml/2006/main">
                  <a:graphicData uri="http://schemas.microsoft.com/office/word/2010/wordprocessingGroup">
                    <wpg:wgp>
                      <wpg:cNvGrpSpPr/>
                      <wpg:grpSpPr>
                        <a:xfrm>
                          <a:off x="0" y="0"/>
                          <a:ext cx="1822949" cy="15242"/>
                          <a:chOff x="0" y="0"/>
                          <a:chExt cx="1822949" cy="15242"/>
                        </a:xfrm>
                      </wpg:grpSpPr>
                      <wps:wsp>
                        <wps:cNvPr id="94116" name="Shape 94116"/>
                        <wps:cNvSpPr/>
                        <wps:spPr>
                          <a:xfrm>
                            <a:off x="0" y="0"/>
                            <a:ext cx="1822949" cy="15242"/>
                          </a:xfrm>
                          <a:custGeom>
                            <a:avLst/>
                            <a:gdLst/>
                            <a:ahLst/>
                            <a:cxnLst/>
                            <a:rect l="0" t="0" r="0" b="0"/>
                            <a:pathLst>
                              <a:path w="1822949" h="15242">
                                <a:moveTo>
                                  <a:pt x="0" y="7620"/>
                                </a:moveTo>
                                <a:lnTo>
                                  <a:pt x="1822949" y="7620"/>
                                </a:lnTo>
                              </a:path>
                            </a:pathLst>
                          </a:custGeom>
                          <a:ln w="15242"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94117" style="width:143.539pt;height:1.20013pt;mso-position-horizontal-relative:char;mso-position-vertical-relative:line" coordsize="18229,152">
                <v:shape id="Shape 94116" style="position:absolute;width:18229;height:152;left:0;top:0;" coordsize="1822949,15242" path="m0,7620l1822949,7620">
                  <v:stroke weight="1.20013pt" endcap="flat" joinstyle="miter" miterlimit="1" on="true" color="#000000"/>
                  <v:fill on="false" color="#000000"/>
                </v:shape>
              </v:group>
            </w:pict>
          </mc:Fallback>
        </mc:AlternateContent>
      </w:r>
    </w:p>
    <w:p w:rsidR="00721CF3" w:rsidRDefault="00063BD2">
      <w:pPr>
        <w:spacing w:after="11" w:line="251" w:lineRule="auto"/>
        <w:ind w:left="25" w:right="14" w:hanging="5"/>
      </w:pPr>
      <w:r>
        <w:rPr>
          <w:sz w:val="24"/>
          <w:vertAlign w:val="superscript"/>
        </w:rPr>
        <w:t xml:space="preserve">12 </w:t>
      </w:r>
      <w:r>
        <w:rPr>
          <w:sz w:val="24"/>
        </w:rPr>
        <w:t>Таблица 6.8 главы VI СанПиН 1.2.3685-21.</w:t>
      </w:r>
    </w:p>
    <w:p w:rsidR="00721CF3" w:rsidRDefault="00063BD2">
      <w:pPr>
        <w:spacing w:after="0" w:line="259" w:lineRule="auto"/>
        <w:ind w:left="10" w:right="416" w:hanging="10"/>
        <w:jc w:val="right"/>
      </w:pPr>
      <w:r>
        <w:rPr>
          <w:sz w:val="30"/>
        </w:rPr>
        <w:t>4</w:t>
      </w:r>
    </w:p>
    <w:p w:rsidR="00721CF3" w:rsidRDefault="00063BD2">
      <w:pPr>
        <w:spacing w:after="387" w:line="259" w:lineRule="auto"/>
        <w:ind w:left="10" w:right="38" w:hanging="10"/>
        <w:jc w:val="right"/>
      </w:pPr>
      <w:r>
        <w:rPr>
          <w:sz w:val="30"/>
        </w:rPr>
        <w:t>к МР 2.4.0330-23</w:t>
      </w:r>
    </w:p>
    <w:p w:rsidR="00721CF3" w:rsidRDefault="00063BD2">
      <w:pPr>
        <w:spacing w:after="312" w:line="266" w:lineRule="auto"/>
        <w:ind w:left="1148" w:right="9" w:hanging="10"/>
      </w:pPr>
      <w:r>
        <w:rPr>
          <w:sz w:val="30"/>
        </w:rPr>
        <w:t>Рекомендуемые формы двигательной активности в режиме дня</w:t>
      </w:r>
    </w:p>
    <w:p w:rsidR="00721CF3" w:rsidRDefault="00063BD2">
      <w:pPr>
        <w:ind w:left="14" w:right="14" w:firstLine="884"/>
      </w:pPr>
      <w:r>
        <w:t>1. Перед началом учебного дня организуется утренняя гимнастика продолжительностью 5—7 мин.</w:t>
      </w:r>
    </w:p>
    <w:p w:rsidR="00721CF3" w:rsidRDefault="00063BD2">
      <w:pPr>
        <w:ind w:left="14" w:right="14" w:firstLine="854"/>
      </w:pPr>
      <w:r>
        <w:t>2 Двигательная активность, необходимая для обучающихся на переменах, обеспечивается:</w:t>
      </w:r>
    </w:p>
    <w:p w:rsidR="00721CF3" w:rsidRDefault="00063BD2">
      <w:pPr>
        <w:spacing w:line="257" w:lineRule="auto"/>
        <w:ind w:left="-1" w:right="4" w:firstLine="854"/>
        <w:jc w:val="left"/>
      </w:pPr>
      <w:r>
        <w:rPr>
          <w:noProof/>
        </w:rPr>
        <w:drawing>
          <wp:inline distT="0" distB="0" distL="0" distR="0">
            <wp:extent cx="77993" cy="23399"/>
            <wp:effectExtent l="0" t="0" r="0" b="0"/>
            <wp:docPr id="43636" name="Picture 43636"/>
            <wp:cNvGraphicFramePr/>
            <a:graphic xmlns:a="http://schemas.openxmlformats.org/drawingml/2006/main">
              <a:graphicData uri="http://schemas.openxmlformats.org/drawingml/2006/picture">
                <pic:pic xmlns:pic="http://schemas.openxmlformats.org/drawingml/2006/picture">
                  <pic:nvPicPr>
                    <pic:cNvPr id="43636" name="Picture 43636"/>
                    <pic:cNvPicPr/>
                  </pic:nvPicPr>
                  <pic:blipFill>
                    <a:blip r:embed="rId136"/>
                    <a:stretch>
                      <a:fillRect/>
                    </a:stretch>
                  </pic:blipFill>
                  <pic:spPr>
                    <a:xfrm>
                      <a:off x="0" y="0"/>
                      <a:ext cx="77993" cy="23399"/>
                    </a:xfrm>
                    <a:prstGeom prst="rect">
                      <a:avLst/>
                    </a:prstGeom>
                  </pic:spPr>
                </pic:pic>
              </a:graphicData>
            </a:graphic>
          </wp:inline>
        </w:drawing>
      </w:r>
      <w:r>
        <w:t xml:space="preserve"> организацией активного отдыха с использованием комплекта многофункционального </w:t>
      </w:r>
      <w:r>
        <w:t>спортивно-игрового оборудования,</w:t>
      </w:r>
      <w:r>
        <w:tab/>
        <w:t xml:space="preserve">включающего, например, шведские стенки, мягкие игровые и спортивные модули; </w:t>
      </w:r>
      <w:r>
        <w:rPr>
          <w:noProof/>
        </w:rPr>
        <w:drawing>
          <wp:inline distT="0" distB="0" distL="0" distR="0">
            <wp:extent cx="77993" cy="27299"/>
            <wp:effectExtent l="0" t="0" r="0" b="0"/>
            <wp:docPr id="43637" name="Picture 43637"/>
            <wp:cNvGraphicFramePr/>
            <a:graphic xmlns:a="http://schemas.openxmlformats.org/drawingml/2006/main">
              <a:graphicData uri="http://schemas.openxmlformats.org/drawingml/2006/picture">
                <pic:pic xmlns:pic="http://schemas.openxmlformats.org/drawingml/2006/picture">
                  <pic:nvPicPr>
                    <pic:cNvPr id="43637" name="Picture 43637"/>
                    <pic:cNvPicPr/>
                  </pic:nvPicPr>
                  <pic:blipFill>
                    <a:blip r:embed="rId137"/>
                    <a:stretch>
                      <a:fillRect/>
                    </a:stretch>
                  </pic:blipFill>
                  <pic:spPr>
                    <a:xfrm>
                      <a:off x="0" y="0"/>
                      <a:ext cx="77993" cy="27299"/>
                    </a:xfrm>
                    <a:prstGeom prst="rect">
                      <a:avLst/>
                    </a:prstGeom>
                  </pic:spPr>
                </pic:pic>
              </a:graphicData>
            </a:graphic>
          </wp:inline>
        </w:drawing>
      </w:r>
      <w:r>
        <w:t xml:space="preserve"> проведением подвижных игр; </w:t>
      </w:r>
      <w:r>
        <w:rPr>
          <w:noProof/>
        </w:rPr>
        <w:drawing>
          <wp:inline distT="0" distB="0" distL="0" distR="0">
            <wp:extent cx="77993" cy="23399"/>
            <wp:effectExtent l="0" t="0" r="0" b="0"/>
            <wp:docPr id="43638" name="Picture 43638"/>
            <wp:cNvGraphicFramePr/>
            <a:graphic xmlns:a="http://schemas.openxmlformats.org/drawingml/2006/main">
              <a:graphicData uri="http://schemas.openxmlformats.org/drawingml/2006/picture">
                <pic:pic xmlns:pic="http://schemas.openxmlformats.org/drawingml/2006/picture">
                  <pic:nvPicPr>
                    <pic:cNvPr id="43638" name="Picture 43638"/>
                    <pic:cNvPicPr/>
                  </pic:nvPicPr>
                  <pic:blipFill>
                    <a:blip r:embed="rId138"/>
                    <a:stretch>
                      <a:fillRect/>
                    </a:stretch>
                  </pic:blipFill>
                  <pic:spPr>
                    <a:xfrm>
                      <a:off x="0" y="0"/>
                      <a:ext cx="77993" cy="23399"/>
                    </a:xfrm>
                    <a:prstGeom prst="rect">
                      <a:avLst/>
                    </a:prstGeom>
                  </pic:spPr>
                </pic:pic>
              </a:graphicData>
            </a:graphic>
          </wp:inline>
        </w:drawing>
      </w:r>
      <w:r>
        <w:t xml:space="preserve"> организацией отдельных зон (например, батутной зоны, скалодрома), размещением оборудования на открытом воздухе (напр</w:t>
      </w:r>
      <w:r>
        <w:t>имер, качели, карусели, качалки, батут, скалодром).</w:t>
      </w:r>
    </w:p>
    <w:p w:rsidR="00721CF3" w:rsidRDefault="00063BD2">
      <w:pPr>
        <w:ind w:left="14" w:right="14" w:firstLine="847"/>
      </w:pPr>
      <w:r>
        <w:t>З. Рекомендуется проведение утренней гимнастики, подвижных игр на открытом воздухе.</w:t>
      </w:r>
    </w:p>
    <w:p w:rsidR="00721CF3" w:rsidRDefault="00063BD2">
      <w:pPr>
        <w:numPr>
          <w:ilvl w:val="1"/>
          <w:numId w:val="17"/>
        </w:numPr>
        <w:ind w:right="14" w:firstLine="860"/>
      </w:pPr>
      <w:r>
        <w:t>Во время учебных занятий организуются ФМ, проведение которых включается в план урока.</w:t>
      </w:r>
    </w:p>
    <w:p w:rsidR="00721CF3" w:rsidRDefault="00063BD2">
      <w:pPr>
        <w:numPr>
          <w:ilvl w:val="1"/>
          <w:numId w:val="17"/>
        </w:numPr>
        <w:ind w:right="14" w:firstLine="860"/>
      </w:pPr>
      <w:r>
        <w:t>Выбор упражнений для ФМ определяет</w:t>
      </w:r>
      <w:r>
        <w:t>ся содержанием и продолжительностью учебной деятельности (например, письмо, чтение, просмотр видеоматериала, работа с ЭСО). Упражнения, рекомендуемые для включения в ФМ, представлены в приложении 5 к настоящим МР.</w:t>
      </w:r>
    </w:p>
    <w:p w:rsidR="00721CF3" w:rsidRDefault="00063BD2">
      <w:pPr>
        <w:numPr>
          <w:ilvl w:val="1"/>
          <w:numId w:val="17"/>
        </w:numPr>
        <w:ind w:right="14" w:firstLine="860"/>
      </w:pPr>
      <w:r>
        <w:t>Комплекс физических упражнений и форм двиг</w:t>
      </w:r>
      <w:r>
        <w:t>ательной активности составляется совместно с педагогом физической культуры и медицинским работником образовательной организации с учетом возраста, пола и состояния здоровья обучающихся.</w:t>
      </w:r>
    </w:p>
    <w:p w:rsidR="00721CF3" w:rsidRDefault="00063BD2">
      <w:pPr>
        <w:numPr>
          <w:ilvl w:val="1"/>
          <w:numId w:val="17"/>
        </w:numPr>
        <w:ind w:right="14" w:firstLine="860"/>
      </w:pPr>
      <w:r>
        <w:t>Для повышения мотивации обучающихся рекомендуется применение современн</w:t>
      </w:r>
      <w:r>
        <w:t>ых эмоционально-окрашенных форм двигательной активности с использованием музыкального сопровождения, которые меняются не реже 1 раза в 2 недели.</w:t>
      </w:r>
    </w:p>
    <w:p w:rsidR="00721CF3" w:rsidRDefault="00063BD2">
      <w:pPr>
        <w:numPr>
          <w:ilvl w:val="1"/>
          <w:numId w:val="17"/>
        </w:numPr>
        <w:ind w:right="14" w:firstLine="860"/>
      </w:pPr>
      <w:r>
        <w:t>К утренней гимнастике, активным переменам не рекомендуется допускать обучающихся, имеющих жалобы на плохое само</w:t>
      </w:r>
      <w:r>
        <w:t>чувствие.</w:t>
      </w:r>
    </w:p>
    <w:p w:rsidR="00721CF3" w:rsidRDefault="00063BD2">
      <w:pPr>
        <w:spacing w:after="202" w:line="266" w:lineRule="auto"/>
        <w:ind w:left="7815" w:right="9" w:firstLine="1589"/>
      </w:pPr>
      <w:r>
        <w:rPr>
          <w:sz w:val="30"/>
        </w:rPr>
        <w:t xml:space="preserve">5 </w:t>
      </w:r>
      <w:r>
        <w:rPr>
          <w:noProof/>
        </w:rPr>
        <w:drawing>
          <wp:inline distT="0" distB="0" distL="0" distR="0">
            <wp:extent cx="79257" cy="88400"/>
            <wp:effectExtent l="0" t="0" r="0" b="0"/>
            <wp:docPr id="45623" name="Picture 45623"/>
            <wp:cNvGraphicFramePr/>
            <a:graphic xmlns:a="http://schemas.openxmlformats.org/drawingml/2006/main">
              <a:graphicData uri="http://schemas.openxmlformats.org/drawingml/2006/picture">
                <pic:pic xmlns:pic="http://schemas.openxmlformats.org/drawingml/2006/picture">
                  <pic:nvPicPr>
                    <pic:cNvPr id="45623" name="Picture 45623"/>
                    <pic:cNvPicPr/>
                  </pic:nvPicPr>
                  <pic:blipFill>
                    <a:blip r:embed="rId139"/>
                    <a:stretch>
                      <a:fillRect/>
                    </a:stretch>
                  </pic:blipFill>
                  <pic:spPr>
                    <a:xfrm>
                      <a:off x="0" y="0"/>
                      <a:ext cx="79257" cy="88400"/>
                    </a:xfrm>
                    <a:prstGeom prst="rect">
                      <a:avLst/>
                    </a:prstGeom>
                  </pic:spPr>
                </pic:pic>
              </a:graphicData>
            </a:graphic>
          </wp:inline>
        </w:drawing>
      </w:r>
      <w:r>
        <w:rPr>
          <w:sz w:val="30"/>
        </w:rPr>
        <w:t>мр 2.4.0330 аз</w:t>
      </w:r>
    </w:p>
    <w:p w:rsidR="00721CF3" w:rsidRDefault="00063BD2">
      <w:pPr>
        <w:spacing w:after="308" w:line="265" w:lineRule="auto"/>
        <w:ind w:left="2029" w:right="1999" w:hanging="10"/>
        <w:jc w:val="center"/>
      </w:pPr>
      <w:r>
        <w:rPr>
          <w:sz w:val="30"/>
        </w:rPr>
        <w:t>Упражнения, рекомендуемые для включения в физкультурные минутки</w:t>
      </w:r>
      <w:r>
        <w:rPr>
          <w:sz w:val="30"/>
          <w:vertAlign w:val="superscript"/>
        </w:rPr>
        <w:footnoteReference w:id="12"/>
      </w:r>
    </w:p>
    <w:p w:rsidR="00721CF3" w:rsidRDefault="00063BD2">
      <w:pPr>
        <w:spacing w:after="72"/>
        <w:ind w:left="763" w:right="14" w:firstLine="0"/>
      </w:pPr>
      <w:r>
        <w:t>1, Упражнения для профилактики зрительного утомления.</w:t>
      </w:r>
    </w:p>
    <w:p w:rsidR="00721CF3" w:rsidRDefault="00063BD2">
      <w:pPr>
        <w:spacing w:after="51"/>
        <w:ind w:left="14" w:right="14"/>
      </w:pPr>
      <w:r>
        <w:t>1.1. Сильно зажмурить глаза на 3-5 с, затем открыть глаза на 3-5 с. Повторить 3-4 раза.</w:t>
      </w:r>
    </w:p>
    <w:p w:rsidR="00721CF3" w:rsidRDefault="00063BD2">
      <w:pPr>
        <w:ind w:left="763" w:right="14" w:firstLine="0"/>
      </w:pPr>
      <w:r>
        <w:t>1.2. Быстро моргать примерно 5-7 с, закрыть глаза на 5 с. Повторить 3-4 раза.</w:t>
      </w:r>
    </w:p>
    <w:p w:rsidR="00721CF3" w:rsidRDefault="00063BD2">
      <w:pPr>
        <w:spacing w:after="34"/>
        <w:ind w:left="763" w:right="14" w:firstLine="0"/>
      </w:pPr>
      <w:r>
        <w:t>1.3. Медленно поднять глаза вверх, затем опустить глаза вниз.</w:t>
      </w:r>
    </w:p>
    <w:p w:rsidR="00721CF3" w:rsidRDefault="00063BD2">
      <w:pPr>
        <w:spacing w:after="56"/>
        <w:ind w:left="14" w:right="14" w:firstLine="0"/>
      </w:pPr>
      <w:r>
        <w:t>Повторить 3-4 раза.</w:t>
      </w:r>
    </w:p>
    <w:p w:rsidR="00721CF3" w:rsidRDefault="00063BD2">
      <w:pPr>
        <w:ind w:left="763" w:right="14" w:firstLine="0"/>
      </w:pPr>
      <w:r>
        <w:t>1.4. Медленно перевести глаза вправо, затем — влево. Повторить 3-4 раза.</w:t>
      </w:r>
    </w:p>
    <w:p w:rsidR="00721CF3" w:rsidRDefault="00063BD2">
      <w:pPr>
        <w:spacing w:after="38"/>
        <w:ind w:left="14" w:right="14"/>
      </w:pPr>
      <w:r>
        <w:t>1.5. Медленно вращать глазами по часовой стрелке, затем наоборот. Повторить 3-4 раза,</w:t>
      </w:r>
    </w:p>
    <w:p w:rsidR="00721CF3" w:rsidRDefault="00063BD2">
      <w:pPr>
        <w:spacing w:after="37"/>
        <w:ind w:left="14" w:right="14"/>
      </w:pPr>
      <w:r>
        <w:t>1.6. После 20 минут работы с использованием ЭСО делается пауза 20 с, во время которой рекомендуется смотреть на предметы, расположенные на расстоянии 6 м 20 футов) и боле</w:t>
      </w:r>
      <w:r>
        <w:t>е (комплекс «20-20-20»).</w:t>
      </w:r>
    </w:p>
    <w:p w:rsidR="00721CF3" w:rsidRDefault="00063BD2">
      <w:pPr>
        <w:spacing w:after="29"/>
        <w:ind w:left="14" w:right="14"/>
      </w:pPr>
      <w:r>
        <w:t>1.7. Посмотреть на точку на стекле (любой близко расположенный предмет), затем перевести взгляд на далеко расположенный предмет (упражнение «с меткой на стекле»). Повторить 3-4 раза.</w:t>
      </w:r>
    </w:p>
    <w:p w:rsidR="00721CF3" w:rsidRDefault="00063BD2">
      <w:pPr>
        <w:spacing w:after="71"/>
        <w:ind w:left="14" w:right="14"/>
      </w:pPr>
      <w:r>
        <w:t>1.8. В максимально вытянутой руке держать неболь</w:t>
      </w:r>
      <w:r>
        <w:t>шой, лучше яркий, предмет и внимательно смотреть на него. Затем необходимо медленно поднести предмет к носу. Как только предмет превратится в одно яркое пятно, досчитать до пяти и медленно отвести руку обратно. Повторить 3-4 раза.</w:t>
      </w:r>
    </w:p>
    <w:p w:rsidR="00721CF3" w:rsidRDefault="00063BD2">
      <w:pPr>
        <w:spacing w:after="35"/>
        <w:ind w:left="14" w:right="14"/>
      </w:pPr>
      <w:r>
        <w:t xml:space="preserve">1.9. Следить взглядом по </w:t>
      </w:r>
      <w:r>
        <w:t>заданной траектории с использованием офтальмотренажеров, различных предметов за воображаемыми цифрами, буквами, линиями или движущимися объектами. С целью профилактики травм в шейном отделе позвоночника офтальмотренажеры, а также предметы, используемые для</w:t>
      </w:r>
      <w:r>
        <w:t xml:space="preserve"> проведения упражнений, размещаются во фронтальной плоскости.</w:t>
      </w:r>
    </w:p>
    <w:p w:rsidR="00721CF3" w:rsidRDefault="00063BD2">
      <w:pPr>
        <w:spacing w:after="28"/>
        <w:ind w:left="734" w:right="14" w:firstLine="0"/>
      </w:pPr>
      <w:r>
        <w:t>2. Упражнения для снятия напряжения с мышц предплечья и кистей рук.</w:t>
      </w:r>
    </w:p>
    <w:p w:rsidR="00721CF3" w:rsidRDefault="00063BD2">
      <w:pPr>
        <w:spacing w:after="30"/>
        <w:ind w:left="14" w:right="14"/>
      </w:pPr>
      <w:r>
        <w:t>2.1. Сжать максимально руки в кулак и подержать 3 с, затем разжать и подержать 6 с. Повторить 3-4 раза.</w:t>
      </w:r>
    </w:p>
    <w:p w:rsidR="00721CF3" w:rsidRDefault="00063BD2">
      <w:pPr>
        <w:spacing w:after="47"/>
        <w:ind w:left="14" w:right="14"/>
      </w:pPr>
      <w:r>
        <w:t>2.2, Выполнять круговые движения кистью правой руки против часовой стрелки, левой по часовой стрелке. Повторить 3-4 раза. Затем повторить движения в обратном направлении. Повторить 3-4 раза.</w:t>
      </w:r>
    </w:p>
    <w:p w:rsidR="00721CF3" w:rsidRDefault="00063BD2">
      <w:pPr>
        <w:spacing w:after="47"/>
        <w:ind w:left="14" w:right="14"/>
      </w:pPr>
      <w:r>
        <w:t>2.3. Совместить ладони рук, расположенных вертикально, и надавить</w:t>
      </w:r>
      <w:r>
        <w:t xml:space="preserve"> пальцами друг на друга в течение 3-5 с, затем расслабить. Повторить 3-4 раза.</w:t>
      </w:r>
    </w:p>
    <w:p w:rsidR="00721CF3" w:rsidRDefault="00721CF3">
      <w:pPr>
        <w:sectPr w:rsidR="00721CF3">
          <w:headerReference w:type="even" r:id="rId140"/>
          <w:headerReference w:type="default" r:id="rId141"/>
          <w:footerReference w:type="even" r:id="rId142"/>
          <w:footerReference w:type="default" r:id="rId143"/>
          <w:headerReference w:type="first" r:id="rId144"/>
          <w:footerReference w:type="first" r:id="rId145"/>
          <w:pgSz w:w="11920" w:h="16840"/>
          <w:pgMar w:top="1296" w:right="917" w:bottom="715" w:left="1085" w:header="701" w:footer="720" w:gutter="0"/>
          <w:cols w:space="720"/>
        </w:sectPr>
      </w:pPr>
    </w:p>
    <w:p w:rsidR="00721CF3" w:rsidRDefault="00063BD2">
      <w:pPr>
        <w:ind w:left="14" w:right="14"/>
      </w:pPr>
      <w:r>
        <w:t>2.4. Выполнять круговые движения бо</w:t>
      </w:r>
      <w:r>
        <w:t xml:space="preserve">льшими пальцами кистей рук </w:t>
      </w:r>
      <w:r>
        <w:rPr>
          <w:noProof/>
        </w:rPr>
        <w:drawing>
          <wp:inline distT="0" distB="0" distL="0" distR="0">
            <wp:extent cx="100599" cy="18290"/>
            <wp:effectExtent l="0" t="0" r="0" b="0"/>
            <wp:docPr id="47799" name="Picture 47799"/>
            <wp:cNvGraphicFramePr/>
            <a:graphic xmlns:a="http://schemas.openxmlformats.org/drawingml/2006/main">
              <a:graphicData uri="http://schemas.openxmlformats.org/drawingml/2006/picture">
                <pic:pic xmlns:pic="http://schemas.openxmlformats.org/drawingml/2006/picture">
                  <pic:nvPicPr>
                    <pic:cNvPr id="47799" name="Picture 47799"/>
                    <pic:cNvPicPr/>
                  </pic:nvPicPr>
                  <pic:blipFill>
                    <a:blip r:embed="rId146"/>
                    <a:stretch>
                      <a:fillRect/>
                    </a:stretch>
                  </pic:blipFill>
                  <pic:spPr>
                    <a:xfrm>
                      <a:off x="0" y="0"/>
                      <a:ext cx="100599" cy="18290"/>
                    </a:xfrm>
                    <a:prstGeom prst="rect">
                      <a:avLst/>
                    </a:prstGeom>
                  </pic:spPr>
                </pic:pic>
              </a:graphicData>
            </a:graphic>
          </wp:inline>
        </w:drawing>
      </w:r>
      <w:r>
        <w:t>правым против часовой стрелки, левый — по часовой стрелке, затем — наоборот. Повторить 3-4 раза.</w:t>
      </w:r>
    </w:p>
    <w:p w:rsidR="00721CF3" w:rsidRDefault="00063BD2">
      <w:pPr>
        <w:ind w:left="14" w:right="14"/>
      </w:pPr>
      <w:r>
        <w:t>2.5. Совместить поочередно большие пальцы с другими пальцами кистей рук, надавливая друг на друга. Повторить 3-4 раза.</w:t>
      </w:r>
    </w:p>
    <w:p w:rsidR="00721CF3" w:rsidRDefault="00063BD2">
      <w:pPr>
        <w:spacing w:after="30"/>
        <w:ind w:left="14" w:right="14"/>
      </w:pPr>
      <w:r>
        <w:t>2.6. Несколь</w:t>
      </w:r>
      <w:r>
        <w:t>ко раз энергично встряхнуть сначала кистями поднятых рук, затем кистями опущенных выпрямленных рук.</w:t>
      </w:r>
    </w:p>
    <w:p w:rsidR="00721CF3" w:rsidRDefault="00063BD2">
      <w:pPr>
        <w:spacing w:after="35"/>
        <w:ind w:left="734" w:right="14" w:firstLine="0"/>
      </w:pPr>
      <w:r>
        <w:t>З. Упражнения для повышения активности центральной нервной системы. 3.1. Выполнять прыжки на месте на двух ногах на носках 5-7 раз.</w:t>
      </w:r>
    </w:p>
    <w:p w:rsidR="00721CF3" w:rsidRDefault="00063BD2">
      <w:pPr>
        <w:spacing w:after="100"/>
        <w:ind w:left="14" w:right="14"/>
      </w:pPr>
      <w:r>
        <w:t>3.2. Повернуть туловище вправо, вернуться в исходное положение, затем влево, вернуться в исходное положение. При выполнении упражнения положение стоп (на ширине плеч) не меняется. Повторить 3-4 раза.</w:t>
      </w:r>
    </w:p>
    <w:p w:rsidR="00721CF3" w:rsidRDefault="00063BD2">
      <w:pPr>
        <w:spacing w:after="48"/>
        <w:ind w:left="734" w:right="14" w:firstLine="0"/>
      </w:pPr>
      <w:r>
        <w:t>3.3. Повернуться вправо на 360</w:t>
      </w:r>
      <w:r>
        <w:rPr>
          <w:vertAlign w:val="superscript"/>
        </w:rPr>
        <w:t>0</w:t>
      </w:r>
      <w:r>
        <w:t xml:space="preserve">, затем влево на 360 </w:t>
      </w:r>
      <w:r>
        <w:rPr>
          <w:vertAlign w:val="superscript"/>
        </w:rPr>
        <w:t xml:space="preserve">0 </w:t>
      </w:r>
      <w:r>
        <w:t>.</w:t>
      </w:r>
    </w:p>
    <w:p w:rsidR="00721CF3" w:rsidRDefault="00063BD2">
      <w:pPr>
        <w:ind w:left="730" w:right="14" w:firstLine="0"/>
      </w:pPr>
      <w:r>
        <w:t>4. Упражнения для снятия напряжения с мышц шеи и плечевого пояса.</w:t>
      </w:r>
    </w:p>
    <w:p w:rsidR="00721CF3" w:rsidRDefault="00063BD2">
      <w:pPr>
        <w:spacing w:after="32"/>
        <w:ind w:left="14" w:right="14"/>
      </w:pPr>
      <w:r>
        <w:t>Отвести плечи максимально назад, задержать положение на З с, вернуться в исходное положение. Повторить 3-4 раза.</w:t>
      </w:r>
    </w:p>
    <w:p w:rsidR="00721CF3" w:rsidRDefault="00063BD2">
      <w:pPr>
        <w:spacing w:after="54"/>
        <w:ind w:left="14" w:right="14"/>
      </w:pPr>
      <w:r>
        <w:t>4.1. Поднять плечи максимально вверх, задержать положение на 3 с, вернуться в</w:t>
      </w:r>
      <w:r>
        <w:t xml:space="preserve"> исходное положение». Повторить 3-4 раза.</w:t>
      </w:r>
    </w:p>
    <w:p w:rsidR="00721CF3" w:rsidRDefault="00063BD2">
      <w:pPr>
        <w:spacing w:after="29"/>
        <w:ind w:left="14" w:right="14"/>
      </w:pPr>
      <w:r>
        <w:t xml:space="preserve">4.2. Соединить пальцы рук за спиной, стараясь зацепить их «в замок» </w:t>
      </w:r>
      <w:r>
        <w:rPr>
          <w:noProof/>
        </w:rPr>
        <w:drawing>
          <wp:inline distT="0" distB="0" distL="0" distR="0">
            <wp:extent cx="100598" cy="18290"/>
            <wp:effectExtent l="0" t="0" r="0" b="0"/>
            <wp:docPr id="47800" name="Picture 47800"/>
            <wp:cNvGraphicFramePr/>
            <a:graphic xmlns:a="http://schemas.openxmlformats.org/drawingml/2006/main">
              <a:graphicData uri="http://schemas.openxmlformats.org/drawingml/2006/picture">
                <pic:pic xmlns:pic="http://schemas.openxmlformats.org/drawingml/2006/picture">
                  <pic:nvPicPr>
                    <pic:cNvPr id="47800" name="Picture 47800"/>
                    <pic:cNvPicPr/>
                  </pic:nvPicPr>
                  <pic:blipFill>
                    <a:blip r:embed="rId147"/>
                    <a:stretch>
                      <a:fillRect/>
                    </a:stretch>
                  </pic:blipFill>
                  <pic:spPr>
                    <a:xfrm>
                      <a:off x="0" y="0"/>
                      <a:ext cx="100598" cy="18290"/>
                    </a:xfrm>
                    <a:prstGeom prst="rect">
                      <a:avLst/>
                    </a:prstGeom>
                  </pic:spPr>
                </pic:pic>
              </a:graphicData>
            </a:graphic>
          </wp:inline>
        </w:drawing>
      </w:r>
      <w:r>
        <w:t>правая рука вверху, левая внизу, затем поменять положение рук.</w:t>
      </w:r>
    </w:p>
    <w:p w:rsidR="00721CF3" w:rsidRDefault="00063BD2">
      <w:pPr>
        <w:ind w:left="14" w:right="14" w:firstLine="0"/>
      </w:pPr>
      <w:r>
        <w:t>Повторить 3-4 раза,</w:t>
      </w:r>
    </w:p>
    <w:p w:rsidR="00721CF3" w:rsidRDefault="00063BD2">
      <w:pPr>
        <w:ind w:left="734" w:right="14" w:firstLine="0"/>
      </w:pPr>
      <w:r>
        <w:t>5. Упражнения для снятия напряжения с мышц туловища,</w:t>
      </w:r>
    </w:p>
    <w:p w:rsidR="00721CF3" w:rsidRDefault="00063BD2">
      <w:pPr>
        <w:spacing w:after="38"/>
        <w:ind w:left="14" w:right="14"/>
      </w:pPr>
      <w:r>
        <w:t>5.1. Подн</w:t>
      </w:r>
      <w:r>
        <w:t>ять руки вверх, потянуться, задержать положение на З с, опустить руки вниз. Повторить 3-4 раза.</w:t>
      </w:r>
    </w:p>
    <w:p w:rsidR="00721CF3" w:rsidRDefault="00063BD2">
      <w:pPr>
        <w:spacing w:after="70"/>
        <w:ind w:left="14" w:right="14"/>
      </w:pPr>
      <w:r>
        <w:t>5.2. Поставить руки на пояс, разместив большие пальцы спереди, а ладони сзади. Прогнуться назад, не запрокидывая головы, и вернуться в исходное положение. Повто</w:t>
      </w:r>
      <w:r>
        <w:t>рить 3-4 раза.</w:t>
      </w:r>
    </w:p>
    <w:p w:rsidR="00721CF3" w:rsidRDefault="00063BD2">
      <w:pPr>
        <w:ind w:left="14" w:right="14"/>
      </w:pPr>
      <w:r>
        <w:t>5.3, Поставить ноги на ширину плеч, руки вдоль туловища. Плавно наклониться вправо, скользя ладонью руки вдоль ноги, затем повторить наклон влево. Повторить 3-4 раза.</w:t>
      </w:r>
    </w:p>
    <w:p w:rsidR="00721CF3" w:rsidRDefault="00063BD2">
      <w:pPr>
        <w:spacing w:after="41"/>
        <w:ind w:left="734" w:right="14" w:firstLine="0"/>
      </w:pPr>
      <w:r>
        <w:t>6. Упражнения для укрепления мышц и связок нижних конечностей.</w:t>
      </w:r>
    </w:p>
    <w:p w:rsidR="00721CF3" w:rsidRDefault="00063BD2">
      <w:pPr>
        <w:spacing w:after="52"/>
        <w:ind w:left="14" w:right="14"/>
      </w:pPr>
      <w:r>
        <w:t>6.1. Максимально подняться на носки обеих ног, вернуться в исходное положение. Повторить 3-4 раза.</w:t>
      </w:r>
    </w:p>
    <w:p w:rsidR="00721CF3" w:rsidRDefault="00063BD2">
      <w:pPr>
        <w:spacing w:after="33"/>
        <w:ind w:left="14" w:right="14"/>
      </w:pPr>
      <w:r>
        <w:t>6.2. Поставить правую ногу вперед, не отрывая пятки от пола, затем максимально потянуть носок ноги на себя и вернуться в исходное положение. Повторить 3-4 ра</w:t>
      </w:r>
      <w:r>
        <w:t>за, То же упражнение выполнить для левой ноги.</w:t>
      </w:r>
    </w:p>
    <w:p w:rsidR="00721CF3" w:rsidRDefault="00063BD2">
      <w:pPr>
        <w:ind w:left="14" w:right="14"/>
      </w:pPr>
      <w:r>
        <w:t>6.3. Выполнять перекаты с пятки на носок на обеих стопах одновременно, затем с носка на пятку. Повторить 3-4 раза.</w:t>
      </w:r>
    </w:p>
    <w:p w:rsidR="00721CF3" w:rsidRDefault="00063BD2">
      <w:pPr>
        <w:spacing w:after="338" w:line="264" w:lineRule="auto"/>
        <w:ind w:left="7672" w:right="19" w:hanging="10"/>
        <w:jc w:val="right"/>
      </w:pPr>
      <w:r>
        <w:t xml:space="preserve">Приложение 6 к </w:t>
      </w:r>
      <w:r>
        <w:tab/>
        <w:t>2.4. 0330-23</w:t>
      </w:r>
    </w:p>
    <w:p w:rsidR="00721CF3" w:rsidRDefault="00063BD2">
      <w:pPr>
        <w:spacing w:after="0" w:line="265" w:lineRule="auto"/>
        <w:ind w:left="630" w:right="615" w:hanging="10"/>
        <w:jc w:val="center"/>
      </w:pPr>
      <w:r>
        <w:rPr>
          <w:sz w:val="30"/>
        </w:rPr>
        <w:t>Рекомендации для родителей (законных представителей)</w:t>
      </w:r>
    </w:p>
    <w:p w:rsidR="00721CF3" w:rsidRDefault="00063BD2">
      <w:pPr>
        <w:spacing w:after="7" w:line="259" w:lineRule="auto"/>
        <w:ind w:left="7460" w:right="0" w:firstLine="0"/>
        <w:jc w:val="left"/>
      </w:pPr>
      <w:r>
        <w:rPr>
          <w:noProof/>
        </w:rPr>
        <w:drawing>
          <wp:inline distT="0" distB="0" distL="0" distR="0">
            <wp:extent cx="67064" cy="27434"/>
            <wp:effectExtent l="0" t="0" r="0" b="0"/>
            <wp:docPr id="49644" name="Picture 49644"/>
            <wp:cNvGraphicFramePr/>
            <a:graphic xmlns:a="http://schemas.openxmlformats.org/drawingml/2006/main">
              <a:graphicData uri="http://schemas.openxmlformats.org/drawingml/2006/picture">
                <pic:pic xmlns:pic="http://schemas.openxmlformats.org/drawingml/2006/picture">
                  <pic:nvPicPr>
                    <pic:cNvPr id="49644" name="Picture 49644"/>
                    <pic:cNvPicPr/>
                  </pic:nvPicPr>
                  <pic:blipFill>
                    <a:blip r:embed="rId148"/>
                    <a:stretch>
                      <a:fillRect/>
                    </a:stretch>
                  </pic:blipFill>
                  <pic:spPr>
                    <a:xfrm>
                      <a:off x="0" y="0"/>
                      <a:ext cx="67064" cy="27434"/>
                    </a:xfrm>
                    <a:prstGeom prst="rect">
                      <a:avLst/>
                    </a:prstGeom>
                  </pic:spPr>
                </pic:pic>
              </a:graphicData>
            </a:graphic>
          </wp:inline>
        </w:drawing>
      </w:r>
    </w:p>
    <w:p w:rsidR="00721CF3" w:rsidRDefault="00063BD2">
      <w:pPr>
        <w:spacing w:after="331" w:line="265" w:lineRule="auto"/>
        <w:ind w:left="630" w:right="630" w:hanging="10"/>
        <w:jc w:val="center"/>
      </w:pPr>
      <w:r>
        <w:rPr>
          <w:sz w:val="30"/>
        </w:rPr>
        <w:t>по сокраще</w:t>
      </w:r>
      <w:r>
        <w:rPr>
          <w:sz w:val="30"/>
        </w:rPr>
        <w:t>нию экранного времени у детеи</w:t>
      </w:r>
      <w:r>
        <w:rPr>
          <w:sz w:val="30"/>
          <w:vertAlign w:val="superscript"/>
        </w:rPr>
        <w:footnoteReference w:id="13"/>
      </w:r>
    </w:p>
    <w:p w:rsidR="00721CF3" w:rsidRDefault="00063BD2">
      <w:pPr>
        <w:numPr>
          <w:ilvl w:val="1"/>
          <w:numId w:val="12"/>
        </w:numPr>
        <w:ind w:right="14"/>
      </w:pPr>
      <w:r>
        <w:t>Определите совместно с ребенком количество экранного времени. Рекомендуется установить режим родительского контроля на средствах, оснащенных экраном.</w:t>
      </w:r>
    </w:p>
    <w:p w:rsidR="00721CF3" w:rsidRDefault="00063BD2">
      <w:pPr>
        <w:numPr>
          <w:ilvl w:val="1"/>
          <w:numId w:val="12"/>
        </w:numPr>
        <w:ind w:right="14"/>
      </w:pPr>
      <w:r>
        <w:t>Установите совместно с ребенком цель по сокращению экранного времени.</w:t>
      </w:r>
    </w:p>
    <w:p w:rsidR="00721CF3" w:rsidRDefault="00063BD2">
      <w:pPr>
        <w:ind w:left="14" w:right="14"/>
      </w:pPr>
      <w:r>
        <w:t>З. Не</w:t>
      </w:r>
      <w:r>
        <w:t xml:space="preserve"> используйте средства, оснащенные экраном, за 60 минут и менее до сна ребенка.</w:t>
      </w:r>
    </w:p>
    <w:p w:rsidR="00721CF3" w:rsidRDefault="00063BD2">
      <w:pPr>
        <w:numPr>
          <w:ilvl w:val="1"/>
          <w:numId w:val="13"/>
        </w:numPr>
        <w:ind w:right="14"/>
      </w:pPr>
      <w:r>
        <w:t>Не располагайте средства, оснащенные экраном, рядом со спальным местом ребенка.</w:t>
      </w:r>
    </w:p>
    <w:p w:rsidR="00721CF3" w:rsidRDefault="00063BD2">
      <w:pPr>
        <w:numPr>
          <w:ilvl w:val="1"/>
          <w:numId w:val="13"/>
        </w:numPr>
        <w:ind w:right="14"/>
      </w:pPr>
      <w:r>
        <w:t>Введите правило не есть перед экраном (монитором). Привычка есть перед экраном может привести к увеличению массы тела. Сделайте место для семейного приема пищи зоной, свободной от средств, оснащенных экраном.</w:t>
      </w:r>
    </w:p>
    <w:p w:rsidR="00721CF3" w:rsidRDefault="00063BD2">
      <w:pPr>
        <w:numPr>
          <w:ilvl w:val="1"/>
          <w:numId w:val="13"/>
        </w:numPr>
        <w:ind w:right="14"/>
      </w:pPr>
      <w:r>
        <w:t>Устраните «фоновый» режим работы средств, оснащ</w:t>
      </w:r>
      <w:r>
        <w:t>енных экраном (например, компьютер, планшет, смартфон, телевизор).</w:t>
      </w:r>
    </w:p>
    <w:p w:rsidR="00721CF3" w:rsidRDefault="00063BD2">
      <w:pPr>
        <w:numPr>
          <w:ilvl w:val="1"/>
          <w:numId w:val="13"/>
        </w:numPr>
        <w:ind w:right="14"/>
      </w:pPr>
      <w:r>
        <w:t>Определите место для средств, оснащенных экраном, куда ребенок будет их класть, когда не использует, чтобы не отвлекать его внимание.</w:t>
      </w:r>
    </w:p>
    <w:p w:rsidR="00721CF3" w:rsidRDefault="00063BD2">
      <w:pPr>
        <w:numPr>
          <w:ilvl w:val="1"/>
          <w:numId w:val="13"/>
        </w:numPr>
        <w:ind w:right="14"/>
      </w:pPr>
      <w:r>
        <w:t>Поощряйте двигательную активность в экранное время (нап</w:t>
      </w:r>
      <w:r>
        <w:t>ример, во время просмотра видео можно выполнять физические упражнения, танцевать, выбирать видеоигры, поощряющие физическую активность),</w:t>
      </w:r>
    </w:p>
    <w:p w:rsidR="00721CF3" w:rsidRDefault="00063BD2">
      <w:pPr>
        <w:ind w:left="14" w:right="14"/>
      </w:pPr>
      <w:r>
        <w:t>9, Побуждайте ребенка совмещать деятельность за средствами, оснащенными экраном (например, просмотр видео), с физически</w:t>
      </w:r>
      <w:r>
        <w:t>ми занятиями (физическим упражнениями, танцами).</w:t>
      </w:r>
    </w:p>
    <w:p w:rsidR="00721CF3" w:rsidRDefault="00063BD2">
      <w:pPr>
        <w:numPr>
          <w:ilvl w:val="1"/>
          <w:numId w:val="15"/>
        </w:numPr>
        <w:ind w:right="14"/>
      </w:pPr>
      <w:r>
        <w:t>Поощряйте активные видеоигры (например, танцевальные стимуляторы), которые способствуют повышению физической активности во время игры.</w:t>
      </w:r>
    </w:p>
    <w:p w:rsidR="00721CF3" w:rsidRDefault="00063BD2">
      <w:pPr>
        <w:numPr>
          <w:ilvl w:val="1"/>
          <w:numId w:val="15"/>
        </w:numPr>
        <w:ind w:right="14"/>
      </w:pPr>
      <w:r>
        <w:t>Поддерживайте интерес к видам деятельности, которые не связаны со средст</w:t>
      </w:r>
      <w:r>
        <w:t>вами, оснащенными экраном, например, к спорту, музыке, творчеству.</w:t>
      </w:r>
    </w:p>
    <w:p w:rsidR="00721CF3" w:rsidRDefault="00063BD2">
      <w:pPr>
        <w:numPr>
          <w:ilvl w:val="1"/>
          <w:numId w:val="15"/>
        </w:numPr>
        <w:ind w:right="14"/>
      </w:pPr>
      <w:r>
        <w:t>Проводите больше времени в общении, за играми на свежем воздухе, увеличьте физическую активность.</w:t>
      </w:r>
    </w:p>
    <w:p w:rsidR="00721CF3" w:rsidRDefault="00063BD2">
      <w:pPr>
        <w:numPr>
          <w:ilvl w:val="1"/>
          <w:numId w:val="15"/>
        </w:numPr>
        <w:ind w:right="14"/>
      </w:pPr>
      <w:r>
        <w:t>Не используйте средства, оснащенные экраном, в качестве поощрения (например, за хорошее пов</w:t>
      </w:r>
      <w:r>
        <w:t>едение, успеваемость).</w:t>
      </w:r>
    </w:p>
    <w:p w:rsidR="00721CF3" w:rsidRDefault="00063BD2">
      <w:pPr>
        <w:numPr>
          <w:ilvl w:val="1"/>
          <w:numId w:val="15"/>
        </w:numPr>
        <w:ind w:right="14"/>
      </w:pPr>
      <w:r>
        <w:t>Не используйте средства, оснащенные экраном, в целях смены деятельности при перерывах между занятиями.</w:t>
      </w:r>
    </w:p>
    <w:p w:rsidR="00721CF3" w:rsidRDefault="00063BD2">
      <w:pPr>
        <w:numPr>
          <w:ilvl w:val="1"/>
          <w:numId w:val="15"/>
        </w:numPr>
        <w:ind w:right="14"/>
      </w:pPr>
      <w:r>
        <w:t>Будьте примером безопасного использования средств, оснащенными экранами.</w:t>
      </w:r>
    </w:p>
    <w:p w:rsidR="00721CF3" w:rsidRDefault="00063BD2">
      <w:pPr>
        <w:spacing w:after="270" w:line="265" w:lineRule="auto"/>
        <w:ind w:left="630" w:right="625" w:hanging="10"/>
        <w:jc w:val="center"/>
      </w:pPr>
      <w:r>
        <w:rPr>
          <w:sz w:val="30"/>
        </w:rPr>
        <w:t>Библиографические ссылки</w:t>
      </w:r>
    </w:p>
    <w:p w:rsidR="00721CF3" w:rsidRDefault="00063BD2">
      <w:pPr>
        <w:numPr>
          <w:ilvl w:val="1"/>
          <w:numId w:val="16"/>
        </w:numPr>
        <w:ind w:right="14"/>
      </w:pPr>
      <w:r>
        <w:t xml:space="preserve">Федеральный закон от 30.03.1999 </w:t>
      </w:r>
      <w:r>
        <w:t>№ 52-ФЗ «О санитарноэпидемиологическом благополучии населения».</w:t>
      </w:r>
    </w:p>
    <w:p w:rsidR="00721CF3" w:rsidRDefault="00063BD2">
      <w:pPr>
        <w:numPr>
          <w:ilvl w:val="1"/>
          <w:numId w:val="16"/>
        </w:numPr>
        <w:ind w:right="14"/>
      </w:pPr>
      <w:r>
        <w:t>Федеральный закон от 29.12.2012 № 273-ФЗ «Об образовании в Российской Федерации».</w:t>
      </w:r>
    </w:p>
    <w:p w:rsidR="00721CF3" w:rsidRDefault="00063BD2">
      <w:pPr>
        <w:ind w:left="14" w:right="14"/>
      </w:pPr>
      <w:r>
        <w:t>З. Федеральный закон от 24.07.1998 № 124-ФЗ «Об основных гарантиях прав ребенка в Российской Федерации».</w:t>
      </w:r>
    </w:p>
    <w:p w:rsidR="00721CF3" w:rsidRDefault="00063BD2">
      <w:pPr>
        <w:numPr>
          <w:ilvl w:val="1"/>
          <w:numId w:val="14"/>
        </w:numPr>
        <w:ind w:right="14"/>
      </w:pPr>
      <w:r>
        <w:t>Федер</w:t>
      </w:r>
      <w:r>
        <w:t>альный закон от 30.12.2020 № 489-ФЗ «О молодежной политике в Российской Федерации».</w:t>
      </w:r>
    </w:p>
    <w:p w:rsidR="00721CF3" w:rsidRDefault="00063BD2">
      <w:pPr>
        <w:numPr>
          <w:ilvl w:val="1"/>
          <w:numId w:val="14"/>
        </w:numPr>
        <w:ind w:right="14"/>
      </w:pPr>
      <w:r>
        <w:t>Паспорт национального проекта «Образование», утвержденный президиумом Совета при Президенте Российской Федерации по стратегическому развитию и национальным проектам (проток</w:t>
      </w:r>
      <w:r>
        <w:t>ол от 24.12.2018 № 16).</w:t>
      </w:r>
    </w:p>
    <w:p w:rsidR="00721CF3" w:rsidRDefault="00063BD2">
      <w:pPr>
        <w:numPr>
          <w:ilvl w:val="1"/>
          <w:numId w:val="14"/>
        </w:numPr>
        <w:ind w:right="14"/>
      </w:pPr>
      <w:r>
        <w:t>Технический регламент Таможенного союза «О безопасности низковольтового оборудования» (ТР ТС 004/2011).</w:t>
      </w:r>
    </w:p>
    <w:p w:rsidR="00721CF3" w:rsidRDefault="00063BD2">
      <w:pPr>
        <w:numPr>
          <w:ilvl w:val="1"/>
          <w:numId w:val="14"/>
        </w:numPr>
        <w:ind w:right="14"/>
      </w:pPr>
      <w:r>
        <w:t>Технический регламент Таможенного союза «Электромагнитная совместимость технических средств» (ТР ТС 020/2011).</w:t>
      </w:r>
    </w:p>
    <w:p w:rsidR="00721CF3" w:rsidRDefault="00063BD2">
      <w:pPr>
        <w:numPr>
          <w:ilvl w:val="1"/>
          <w:numId w:val="14"/>
        </w:numPr>
        <w:ind w:right="14"/>
      </w:pPr>
      <w:r>
        <w:t>СП 2.43648-20 «Са</w:t>
      </w:r>
      <w:r>
        <w:t>нитарно-эпидемиологические требования к организациям воспитания и обучения, отдыха и оздоровления детей и молодежи».</w:t>
      </w:r>
    </w:p>
    <w:p w:rsidR="00721CF3" w:rsidRDefault="00063BD2">
      <w:pPr>
        <w:numPr>
          <w:ilvl w:val="1"/>
          <w:numId w:val="14"/>
        </w:numPr>
        <w:ind w:right="14"/>
      </w:pPr>
      <w:r>
        <w:t>СанПиН 1.23685-21 «Гигиенические нормативы и требования к обеспечению безопасности и (или) безвредности для человека факторов среды обитания».</w:t>
      </w:r>
    </w:p>
    <w:p w:rsidR="00721CF3" w:rsidRDefault="00063BD2">
      <w:pPr>
        <w:numPr>
          <w:ilvl w:val="1"/>
          <w:numId w:val="14"/>
        </w:numPr>
        <w:ind w:right="14"/>
      </w:pPr>
      <w:r>
        <w:t>Приказ Минпросвещения России/Минцифры России № 634/925 от 08.09.2021 «Об утверждении стандарта оснащения государс</w:t>
      </w:r>
      <w:r>
        <w:t>твенных и муниципальных общеобразовательных организаций, осуществляющих образовательную деятельность в субъектах российской федерации, на территории которых проводится эксперимент по внедрению цифровой образовательной среды, компьютерным, мультимедийным, п</w:t>
      </w:r>
      <w:r>
        <w:t>резентационным оборудованием и программным обеспечением».</w:t>
      </w:r>
    </w:p>
    <w:p w:rsidR="00721CF3" w:rsidRDefault="00063BD2">
      <w:pPr>
        <w:numPr>
          <w:ilvl w:val="1"/>
          <w:numId w:val="14"/>
        </w:numPr>
        <w:ind w:right="14"/>
      </w:pPr>
      <w:r>
        <w:t>Кучма В.Р„ Соколова СБ., Рапопорт И.К., Чубаровский ВВ. Влияние поведенческих факторов риска на формирование отклонений в состоянии здоровья обучающихся Гигиена и санитария. 2022. Т. 101. № 10. С. 1</w:t>
      </w:r>
      <w:r>
        <w:t>206-1213.</w:t>
      </w:r>
    </w:p>
    <w:p w:rsidR="00721CF3" w:rsidRDefault="00063BD2">
      <w:pPr>
        <w:numPr>
          <w:ilvl w:val="1"/>
          <w:numId w:val="14"/>
        </w:numPr>
        <w:ind w:right="14"/>
      </w:pPr>
      <w:r>
        <w:t>Новикова Е.В., Лавренюк СЮ. Метод расчета зоны оптимальной видимости при работе с экранами коллективного пользования. Новые технологии. 2011; з: 104-109.</w:t>
      </w:r>
    </w:p>
    <w:p w:rsidR="00721CF3" w:rsidRDefault="00063BD2">
      <w:pPr>
        <w:ind w:left="14" w:right="14"/>
      </w:pPr>
      <w:r>
        <w:t>В. Tremblay MS, Carson У, Chaput ЈР, Connor Gorber S, Dinh Т, Duggan М, Faulkner (Э, Gray СЕ</w:t>
      </w:r>
      <w:r>
        <w:t>, Gruber R, Janson К, Janssen 1, katzmarzyk РТ, kho МЕ, LatimerCheung АЕ, LeBlanc С, 0kely AD, Olds Т, Pate RR, Phillips А, Poitras VJ, Rodenburg S, Sampson М, Saunders ТЈ, Stone ЈА, Stratton G, Weiss Sk, Zehr L. Canadian 24-Hour Movement Guidelines for Ch</w:t>
      </w:r>
      <w:r>
        <w:t>ildren and Youth: Ап lntegration of Physical Activity, Sedentary Behaviour, and Меер. Appl Physiol Nutr Metab. 2016 Jun;41(6 Suppl З): 31127. doi: 10.1139/apnm-2016-0151. РМЮ: 27306437.</w:t>
      </w:r>
    </w:p>
    <w:p w:rsidR="00721CF3" w:rsidRDefault="00063BD2">
      <w:pPr>
        <w:ind w:left="14" w:right="14"/>
      </w:pPr>
      <w:r>
        <w:t>14. Carson, У., Hunter, S., КИп, Н., Gray, с.Е., P0itras, v.J., Chaput</w:t>
      </w:r>
      <w:r>
        <w:t>, Ј.-Р., et al. Systematic review of sedentary behaviour and health indicators in school-aged children and youth: ап update. Appl. Physiol. Nutr. Metab. 2016. Т. 41.</w:t>
      </w:r>
    </w:p>
    <w:p w:rsidR="00721CF3" w:rsidRDefault="00063BD2">
      <w:pPr>
        <w:spacing w:after="373" w:line="265" w:lineRule="auto"/>
        <w:ind w:left="630" w:right="601" w:hanging="10"/>
        <w:jc w:val="center"/>
      </w:pPr>
      <w:r>
        <w:rPr>
          <w:sz w:val="30"/>
        </w:rPr>
        <w:t>Справочная информация</w:t>
      </w:r>
    </w:p>
    <w:p w:rsidR="00721CF3" w:rsidRDefault="00063BD2">
      <w:pPr>
        <w:tabs>
          <w:tab w:val="center" w:pos="1507"/>
          <w:tab w:val="center" w:pos="5852"/>
        </w:tabs>
        <w:spacing w:after="40"/>
        <w:ind w:right="0" w:firstLine="0"/>
        <w:jc w:val="left"/>
      </w:pPr>
      <w:r>
        <w:tab/>
        <w:t xml:space="preserve">В настоящих </w:t>
      </w:r>
      <w:r>
        <w:tab/>
        <w:t>используются следующие термины и определения:</w:t>
      </w:r>
    </w:p>
    <w:p w:rsidR="00721CF3" w:rsidRDefault="00063BD2">
      <w:pPr>
        <w:spacing w:after="54"/>
        <w:ind w:left="14" w:right="14"/>
      </w:pPr>
      <w:r>
        <w:t>Дистанционные образовательные технологии образовательные технологии, реализуемые в основном с применением информационнотелекоммуникационных сетей при опосредованном (на расстоянии) взаимодействии обучающихся и педагогических работников.</w:t>
      </w:r>
    </w:p>
    <w:p w:rsidR="00721CF3" w:rsidRDefault="00063BD2">
      <w:pPr>
        <w:ind w:left="14" w:right="14"/>
      </w:pPr>
      <w:r>
        <w:t>Интерактивная доска</w:t>
      </w:r>
      <w:r>
        <w:t xml:space="preserve"> — электронное средство обучения коллективного использования в виде большого сенсорного дисплея, являющегося частью системы, в которую входят доска, компьютер и проектор. От компьютера через проектор изображение передается на интерактивную доску.</w:t>
      </w:r>
    </w:p>
    <w:p w:rsidR="00721CF3" w:rsidRDefault="00063BD2">
      <w:pPr>
        <w:spacing w:after="44"/>
        <w:ind w:left="14" w:right="14"/>
      </w:pPr>
      <w:r>
        <w:t>Интеракти</w:t>
      </w:r>
      <w:r>
        <w:t>вная панель — электронное средство обучения коллективного использования, представляющее собой сенсорный дисплей, работающий на собственном программном обеспечении.</w:t>
      </w:r>
    </w:p>
    <w:p w:rsidR="00721CF3" w:rsidRDefault="00063BD2">
      <w:pPr>
        <w:ind w:left="14" w:right="14"/>
      </w:pPr>
      <w:r>
        <w:t>Мобильное средство связи (смартфон) — электронное устройство с сенсорным экраном, объединяющ</w:t>
      </w:r>
      <w:r>
        <w:t>ее в себе функции персонального компьютера и мобильного телефона.</w:t>
      </w:r>
    </w:p>
    <w:p w:rsidR="00721CF3" w:rsidRDefault="00063BD2">
      <w:pPr>
        <w:ind w:left="14" w:right="14"/>
      </w:pPr>
      <w:r>
        <w:t>Ноутбук переносной персональный компьютер. Электронное средство обучения индивидуального использования.</w:t>
      </w:r>
    </w:p>
    <w:p w:rsidR="00721CF3" w:rsidRDefault="00063BD2">
      <w:pPr>
        <w:ind w:left="14" w:right="14"/>
      </w:pPr>
      <w:r>
        <w:t>Персональный компьютер (стационарная персональная электронновычислительная машина, ПК)</w:t>
      </w:r>
      <w:r>
        <w:t xml:space="preserve"> техническое средство, способное выполнять множественные арифметические и логические операции на основе заданной программы и данных. Электронное средство обучения индивидуального использования.</w:t>
      </w:r>
    </w:p>
    <w:p w:rsidR="00721CF3" w:rsidRDefault="00063BD2">
      <w:pPr>
        <w:ind w:left="14" w:right="14"/>
      </w:pPr>
      <w:r>
        <w:t>Планшет (планшетный компьютер) переносной персональный компьют</w:t>
      </w:r>
      <w:r>
        <w:t>ер. Электронное средство обучения индивидуального использования.</w:t>
      </w:r>
    </w:p>
    <w:p w:rsidR="00721CF3" w:rsidRDefault="00063BD2">
      <w:pPr>
        <w:ind w:left="14" w:right="14"/>
      </w:pPr>
      <w:r>
        <w:t>Смешанное обучение — подход, сочетающий в себе разнообразные форматы очного и дистанционного взаимодействия между обучающимися, педагогом и образовательными ресурсами.</w:t>
      </w:r>
    </w:p>
    <w:p w:rsidR="00721CF3" w:rsidRDefault="00063BD2">
      <w:pPr>
        <w:ind w:left="14" w:right="14"/>
      </w:pPr>
      <w:r>
        <w:t>Суточное экранное время</w:t>
      </w:r>
      <w:r>
        <w:t xml:space="preserve"> — время работы с устройствами, оснащенными экраном, в течение суток.</w:t>
      </w:r>
    </w:p>
    <w:p w:rsidR="00721CF3" w:rsidRDefault="00063BD2">
      <w:pPr>
        <w:ind w:left="14" w:right="14"/>
      </w:pPr>
      <w:r>
        <w:t>Цифровая образовательная среда — совокупность условий для реализации образовательных программ с применением электронного обучения, дистанционных образовательных технологий с учетом функц</w:t>
      </w:r>
      <w:r>
        <w:t>ионирования информационно-образовательной среды, включающей в себя электронные информационные и образовательные ресурсы и сервисы, цифровой образовательный контент, информационные и телекоммуникационные технологии, технологические средства и обеспечивающей</w:t>
      </w:r>
      <w:r>
        <w:t xml:space="preserve"> освоение обучающимися образовательных программ в полном объеме независимо от места их проживания.</w:t>
      </w:r>
    </w:p>
    <w:p w:rsidR="00721CF3" w:rsidRDefault="00063BD2">
      <w:pPr>
        <w:ind w:left="14" w:right="14"/>
      </w:pPr>
      <w:r>
        <w:t>Электронные средства обучения (ЭСО) — технические средства обучения, основанные на электронном принципе действия, подразделяемые по способу организации проце</w:t>
      </w:r>
      <w:r>
        <w:t>сса обучения на индивидуальные, индивидуально-групповые и коллективные, по степени интерактивности могут быть без обратной связи или с обратной связью, по характеру воздействия на органы чувств классифицируются на визуальные, аудиосредства и аудиовизуальны</w:t>
      </w:r>
      <w:r>
        <w:t>е электронные средства обучения; по способу представленияинформации подразделяются на экранные, звуковые и экранно-звуковые.</w:t>
      </w:r>
    </w:p>
    <w:p w:rsidR="00721CF3" w:rsidRDefault="00063BD2">
      <w:pPr>
        <w:ind w:left="14" w:right="14"/>
      </w:pPr>
      <w:r>
        <w:t xml:space="preserve">Электронное обучение организация образовательной деятельности с применением содержащейся в базах данных и используемой при реализации образовательных программ информации и обеспечивающих ее обработку информационных технологий, технических средств, а также </w:t>
      </w:r>
      <w:r>
        <w:t>информационнотелекоммуникационных сетей, обеспечивающих передачу по линиям связи указанной информации, взаимодействие обучающихся и педагогических работников.</w:t>
      </w:r>
    </w:p>
    <w:sectPr w:rsidR="00721CF3">
      <w:headerReference w:type="even" r:id="rId149"/>
      <w:headerReference w:type="default" r:id="rId150"/>
      <w:footerReference w:type="even" r:id="rId151"/>
      <w:footerReference w:type="default" r:id="rId152"/>
      <w:headerReference w:type="first" r:id="rId153"/>
      <w:footerReference w:type="first" r:id="rId154"/>
      <w:pgSz w:w="11920" w:h="16840"/>
      <w:pgMar w:top="1252" w:right="917" w:bottom="726" w:left="1085" w:header="68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063BD2">
      <w:pPr>
        <w:spacing w:after="0" w:line="240" w:lineRule="auto"/>
      </w:pPr>
      <w:r>
        <w:separator/>
      </w:r>
    </w:p>
  </w:endnote>
  <w:endnote w:type="continuationSeparator" w:id="0">
    <w:p w:rsidR="00000000" w:rsidRDefault="00063B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left="2972" w:right="0" w:firstLine="0"/>
      <w:jc w:val="left"/>
    </w:pPr>
    <w:r>
      <w:rPr>
        <w:sz w:val="24"/>
      </w:rPr>
      <w:t>2.4.3648-20.</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left="2972" w:right="0" w:firstLine="0"/>
      <w:jc w:val="left"/>
    </w:pPr>
    <w:r>
      <w:rPr>
        <w:sz w:val="24"/>
      </w:rPr>
      <w:t>2.4.3648-20.</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left="2972" w:right="0" w:firstLine="0"/>
      <w:jc w:val="left"/>
    </w:pPr>
    <w:r>
      <w:rPr>
        <w:sz w:val="24"/>
      </w:rPr>
      <w:t>2.4.3648-20.</w: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21CF3" w:rsidRDefault="00063BD2">
      <w:pPr>
        <w:spacing w:after="46" w:line="259" w:lineRule="auto"/>
        <w:ind w:left="43" w:right="0" w:firstLine="0"/>
        <w:jc w:val="left"/>
      </w:pPr>
      <w:r>
        <w:separator/>
      </w:r>
    </w:p>
  </w:footnote>
  <w:footnote w:type="continuationSeparator" w:id="0">
    <w:p w:rsidR="00721CF3" w:rsidRDefault="00063BD2">
      <w:pPr>
        <w:spacing w:after="46" w:line="259" w:lineRule="auto"/>
        <w:ind w:left="43" w:right="0" w:firstLine="0"/>
        <w:jc w:val="left"/>
      </w:pPr>
      <w:r>
        <w:continuationSeparator/>
      </w:r>
    </w:p>
  </w:footnote>
  <w:footnote w:id="1">
    <w:p w:rsidR="00721CF3" w:rsidRDefault="00063BD2">
      <w:pPr>
        <w:pStyle w:val="footnotedescription"/>
        <w:spacing w:line="257" w:lineRule="auto"/>
        <w:ind w:left="30" w:hanging="10"/>
      </w:pPr>
      <w:r>
        <w:rPr>
          <w:rStyle w:val="footnotemark"/>
        </w:rPr>
        <w:footnoteRef/>
      </w:r>
      <w:r>
        <w:t xml:space="preserve"> Статья Федерального закона от 24.07.1998 </w:t>
      </w:r>
      <w:r>
        <w:rPr>
          <w:sz w:val="26"/>
        </w:rPr>
        <w:t xml:space="preserve">№ </w:t>
      </w:r>
      <w:r>
        <w:t xml:space="preserve">124-ФЗ «Об основных гарантиях прав ребенка </w:t>
      </w:r>
      <w:r>
        <w:rPr>
          <w:sz w:val="26"/>
        </w:rPr>
        <w:t xml:space="preserve">в </w:t>
      </w:r>
      <w:r>
        <w:t xml:space="preserve">Российской Федерации» (далее </w:t>
      </w:r>
      <w:r>
        <w:rPr>
          <w:sz w:val="12"/>
        </w:rPr>
        <w:t xml:space="preserve">— </w:t>
      </w:r>
      <w:r>
        <w:t xml:space="preserve">Федеральный закон </w:t>
      </w:r>
      <w:r>
        <w:rPr>
          <w:sz w:val="26"/>
        </w:rPr>
        <w:t xml:space="preserve">от </w:t>
      </w:r>
      <w:r>
        <w:t>24.07.19</w:t>
      </w:r>
      <w:r>
        <w:t xml:space="preserve">98 </w:t>
      </w:r>
      <w:r>
        <w:rPr>
          <w:sz w:val="26"/>
        </w:rPr>
        <w:t xml:space="preserve">№ </w:t>
      </w:r>
      <w:r>
        <w:t>124-ФЗ).</w:t>
      </w:r>
    </w:p>
  </w:footnote>
  <w:footnote w:id="2">
    <w:p w:rsidR="00721CF3" w:rsidRDefault="00063BD2">
      <w:pPr>
        <w:pStyle w:val="footnotedescription"/>
        <w:spacing w:line="277" w:lineRule="auto"/>
        <w:ind w:left="30" w:hanging="10"/>
        <w:jc w:val="both"/>
      </w:pPr>
      <w:r>
        <w:rPr>
          <w:rStyle w:val="footnotemark"/>
        </w:rPr>
        <w:footnoteRef/>
      </w:r>
      <w:r>
        <w:t xml:space="preserve"> Статья 2 Федерального закона от 30.12.2020 </w:t>
      </w:r>
      <w:r>
        <w:rPr>
          <w:sz w:val="26"/>
        </w:rPr>
        <w:t xml:space="preserve">№ </w:t>
      </w:r>
      <w:r>
        <w:t>489-ФЗ «О молодежной политике в Российской федерации».</w:t>
      </w:r>
    </w:p>
  </w:footnote>
  <w:footnote w:id="3">
    <w:p w:rsidR="00721CF3" w:rsidRDefault="00063BD2">
      <w:pPr>
        <w:pStyle w:val="footnotedescription"/>
        <w:ind w:left="62"/>
      </w:pPr>
      <w:r>
        <w:rPr>
          <w:rStyle w:val="footnotemark"/>
        </w:rPr>
        <w:footnoteRef/>
      </w:r>
      <w:r>
        <w:t xml:space="preserve"> </w:t>
      </w:r>
      <w:r>
        <w:t xml:space="preserve">Таблица </w:t>
      </w:r>
      <w:r>
        <w:rPr>
          <w:sz w:val="26"/>
        </w:rPr>
        <w:t xml:space="preserve">6.2 </w:t>
      </w:r>
      <w:r>
        <w:t xml:space="preserve">главы VI СанПиН </w:t>
      </w:r>
      <w:r>
        <w:rPr>
          <w:sz w:val="26"/>
        </w:rPr>
        <w:t>1.23685-21.</w:t>
      </w:r>
    </w:p>
  </w:footnote>
  <w:footnote w:id="4">
    <w:p w:rsidR="00721CF3" w:rsidRDefault="00063BD2">
      <w:pPr>
        <w:pStyle w:val="footnotedescription"/>
        <w:spacing w:after="29"/>
      </w:pPr>
      <w:r>
        <w:rPr>
          <w:rStyle w:val="footnotemark"/>
        </w:rPr>
        <w:footnoteRef/>
      </w:r>
      <w:r>
        <w:t xml:space="preserve"> </w:t>
      </w:r>
      <w:r>
        <w:t>Таблица 6.8 главы VI СанПиН 1.2.3685-21.</w:t>
      </w:r>
    </w:p>
    <w:p w:rsidR="00721CF3" w:rsidRDefault="00063BD2">
      <w:pPr>
        <w:pStyle w:val="footnotedescription"/>
        <w:ind w:left="264"/>
      </w:pPr>
      <w:r>
        <w:rPr>
          <w:sz w:val="26"/>
        </w:rPr>
        <w:t xml:space="preserve">пункт </w:t>
      </w:r>
      <w:r>
        <w:t xml:space="preserve">188 главы СанПиН </w:t>
      </w:r>
      <w:r>
        <w:rPr>
          <w:sz w:val="26"/>
        </w:rPr>
        <w:t>1.23685-21.</w:t>
      </w:r>
    </w:p>
  </w:footnote>
  <w:footnote w:id="5">
    <w:p w:rsidR="00721CF3" w:rsidRDefault="00063BD2">
      <w:pPr>
        <w:pStyle w:val="footnotedescription"/>
        <w:spacing w:after="46"/>
        <w:ind w:left="43"/>
      </w:pPr>
      <w:r>
        <w:rPr>
          <w:rStyle w:val="footnotemark"/>
        </w:rPr>
        <w:footnoteRef/>
      </w:r>
      <w:r>
        <w:t xml:space="preserve"> </w:t>
      </w:r>
      <w:r>
        <w:rPr>
          <w:sz w:val="26"/>
        </w:rPr>
        <w:t>пунк</w:t>
      </w:r>
      <w:r>
        <w:rPr>
          <w:sz w:val="26"/>
        </w:rPr>
        <w:t xml:space="preserve">т </w:t>
      </w:r>
      <w:r>
        <w:t>3.5.2 главы Ш СП 2.4.3648-20.</w:t>
      </w:r>
    </w:p>
  </w:footnote>
  <w:footnote w:id="6">
    <w:p w:rsidR="00721CF3" w:rsidRDefault="00063BD2">
      <w:pPr>
        <w:pStyle w:val="footnotedescription"/>
        <w:spacing w:after="35"/>
        <w:ind w:left="43"/>
      </w:pPr>
      <w:r>
        <w:rPr>
          <w:rStyle w:val="footnotemark"/>
        </w:rPr>
        <w:footnoteRef/>
      </w:r>
      <w:r>
        <w:t xml:space="preserve"> </w:t>
      </w:r>
      <w:r>
        <w:t xml:space="preserve">Пункт 182 главы VI, пункт 248, таблица 7.12 главы VII СанПиН </w:t>
      </w:r>
      <w:r>
        <w:rPr>
          <w:sz w:val="26"/>
        </w:rPr>
        <w:t>1.23685-21.</w:t>
      </w:r>
    </w:p>
    <w:p w:rsidR="00721CF3" w:rsidRDefault="00063BD2">
      <w:pPr>
        <w:pStyle w:val="footnotedescription"/>
        <w:ind w:left="274"/>
      </w:pPr>
      <w:r>
        <w:rPr>
          <w:sz w:val="26"/>
        </w:rPr>
        <w:t xml:space="preserve">пункт </w:t>
      </w:r>
      <w:r>
        <w:t xml:space="preserve">3.5. </w:t>
      </w:r>
      <w:r>
        <w:rPr>
          <w:sz w:val="32"/>
        </w:rPr>
        <w:t xml:space="preserve">В </w:t>
      </w:r>
      <w:r>
        <w:t xml:space="preserve">главы Ш СП </w:t>
      </w:r>
    </w:p>
  </w:footnote>
  <w:footnote w:id="7">
    <w:p w:rsidR="00721CF3" w:rsidRDefault="00063BD2">
      <w:pPr>
        <w:pStyle w:val="footnotedescription"/>
        <w:spacing w:after="5"/>
      </w:pPr>
      <w:r>
        <w:rPr>
          <w:rStyle w:val="footnotemark"/>
        </w:rPr>
        <w:footnoteRef/>
      </w:r>
      <w:r>
        <w:t xml:space="preserve"> </w:t>
      </w:r>
      <w:r>
        <w:rPr>
          <w:sz w:val="26"/>
        </w:rPr>
        <w:t xml:space="preserve">пункт </w:t>
      </w:r>
      <w:r>
        <w:t xml:space="preserve">3.5 главы Ш СП </w:t>
      </w:r>
    </w:p>
  </w:footnote>
  <w:footnote w:id="8">
    <w:p w:rsidR="00721CF3" w:rsidRDefault="00063BD2">
      <w:pPr>
        <w:pStyle w:val="footnotedescription"/>
        <w:ind w:left="43"/>
      </w:pPr>
      <w:r>
        <w:rPr>
          <w:rStyle w:val="footnotemark"/>
        </w:rPr>
        <w:footnoteRef/>
      </w:r>
      <w:r>
        <w:t xml:space="preserve"> </w:t>
      </w:r>
      <w:r>
        <w:t xml:space="preserve">Глава </w:t>
      </w:r>
      <w:r>
        <w:rPr>
          <w:sz w:val="22"/>
        </w:rPr>
        <w:t xml:space="preserve">V </w:t>
      </w:r>
      <w:r>
        <w:t>СанПиН 1.2.3685-21.</w:t>
      </w:r>
    </w:p>
  </w:footnote>
  <w:footnote w:id="9">
    <w:p w:rsidR="00721CF3" w:rsidRDefault="00063BD2">
      <w:pPr>
        <w:pStyle w:val="footnotedescription"/>
        <w:spacing w:after="21"/>
        <w:ind w:left="29"/>
      </w:pPr>
      <w:r>
        <w:rPr>
          <w:rStyle w:val="footnotemark"/>
        </w:rPr>
        <w:footnoteRef/>
      </w:r>
      <w:r>
        <w:t xml:space="preserve"> </w:t>
      </w:r>
      <w:r>
        <w:t>Таблицы 6.6, 6.9-6.11 главы VI СанПиН 1.2.3685-21; пункт 3.5.12 главы lII СП 2.4.3648-20.</w:t>
      </w:r>
    </w:p>
  </w:footnote>
  <w:footnote w:id="10">
    <w:p w:rsidR="00721CF3" w:rsidRDefault="00063BD2">
      <w:pPr>
        <w:pStyle w:val="footnotedescription"/>
        <w:ind w:left="29"/>
      </w:pPr>
      <w:r>
        <w:rPr>
          <w:rStyle w:val="footnotemark"/>
        </w:rPr>
        <w:footnoteRef/>
      </w:r>
      <w:r>
        <w:t xml:space="preserve"> </w:t>
      </w:r>
      <w:r>
        <w:t xml:space="preserve">Таблица 6.8 главы VI СанПиН </w:t>
      </w:r>
      <w:r>
        <w:rPr>
          <w:sz w:val="26"/>
        </w:rPr>
        <w:t>12.3685-21.</w:t>
      </w:r>
    </w:p>
  </w:footnote>
  <w:footnote w:id="11">
    <w:p w:rsidR="00721CF3" w:rsidRDefault="00063BD2">
      <w:pPr>
        <w:pStyle w:val="footnotedescription"/>
        <w:ind w:left="29"/>
      </w:pPr>
      <w:r>
        <w:rPr>
          <w:rStyle w:val="footnotemark"/>
        </w:rPr>
        <w:footnoteRef/>
      </w:r>
      <w:r>
        <w:t xml:space="preserve"> </w:t>
      </w:r>
      <w:r>
        <w:t xml:space="preserve">Таблица </w:t>
      </w:r>
      <w:r>
        <w:rPr>
          <w:sz w:val="26"/>
        </w:rPr>
        <w:t xml:space="preserve">6.7 </w:t>
      </w:r>
      <w:r>
        <w:t xml:space="preserve">главы VI </w:t>
      </w:r>
      <w:r>
        <w:rPr>
          <w:sz w:val="28"/>
        </w:rPr>
        <w:t xml:space="preserve">санпин </w:t>
      </w:r>
      <w:r>
        <w:t>1.2.3685-21,</w:t>
      </w:r>
    </w:p>
  </w:footnote>
  <w:footnote w:id="12">
    <w:p w:rsidR="00721CF3" w:rsidRDefault="00063BD2">
      <w:pPr>
        <w:pStyle w:val="footnotedescription"/>
        <w:spacing w:line="286" w:lineRule="auto"/>
        <w:ind w:left="24"/>
        <w:jc w:val="both"/>
      </w:pPr>
      <w:r>
        <w:rPr>
          <w:rStyle w:val="footnotemark"/>
        </w:rPr>
        <w:footnoteRef/>
      </w:r>
      <w:r>
        <w:t xml:space="preserve"> </w:t>
      </w:r>
      <w:r>
        <w:t xml:space="preserve">Примечание: упражнения выполняются </w:t>
      </w:r>
      <w:r>
        <w:rPr>
          <w:sz w:val="26"/>
        </w:rPr>
        <w:t xml:space="preserve">в </w:t>
      </w:r>
      <w:r>
        <w:t>исходном положении стоя, стопы вместе, руки опущены вдоль туловища.</w:t>
      </w:r>
    </w:p>
  </w:footnote>
  <w:footnote w:id="13">
    <w:p w:rsidR="00721CF3" w:rsidRDefault="00063BD2">
      <w:pPr>
        <w:pStyle w:val="footnotedescription"/>
        <w:ind w:left="24"/>
      </w:pPr>
      <w:r>
        <w:rPr>
          <w:rStyle w:val="footnotemark"/>
        </w:rPr>
        <w:footnoteRef/>
      </w:r>
      <w:r>
        <w:t xml:space="preserve"> </w:t>
      </w:r>
      <w:r>
        <w:t>Статья Федерального закона от 24.07.1998 № 124-ФЗ.</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left="16" w:right="0"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right="0"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right="0"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right="0"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right="0"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right="0"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left="29" w:right="0"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left="29" w:right="0"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left="29" w:right="0"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721CF3">
    <w:pPr>
      <w:spacing w:after="160" w:line="259" w:lineRule="auto"/>
      <w:ind w:right="0" w:firstLine="0"/>
      <w:jc w:val="left"/>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right="14"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right="14"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right="14"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265" w:line="259" w:lineRule="auto"/>
      <w:ind w:right="5" w:firstLine="0"/>
      <w:jc w:val="center"/>
    </w:pPr>
    <w:r>
      <w:fldChar w:fldCharType="begin"/>
    </w:r>
    <w:r>
      <w:instrText xml:space="preserve"> PAGE   \* MERGEFORMAT </w:instrText>
    </w:r>
    <w:r>
      <w:fldChar w:fldCharType="separate"/>
    </w:r>
    <w:r>
      <w:rPr>
        <w:sz w:val="26"/>
      </w:rPr>
      <w:t>17</w:t>
    </w:r>
    <w:r>
      <w:rPr>
        <w:sz w:val="26"/>
      </w:rPr>
      <w:fldChar w:fldCharType="end"/>
    </w:r>
  </w:p>
  <w:p w:rsidR="00721CF3" w:rsidRDefault="00063BD2">
    <w:pPr>
      <w:spacing w:after="0" w:line="259" w:lineRule="auto"/>
      <w:ind w:right="619" w:firstLine="0"/>
      <w:jc w:val="right"/>
    </w:pPr>
    <w:r>
      <w:t xml:space="preserve">Приложение </w:t>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265" w:line="259" w:lineRule="auto"/>
      <w:ind w:right="5" w:firstLine="0"/>
      <w:jc w:val="center"/>
    </w:pPr>
    <w:r>
      <w:fldChar w:fldCharType="begin"/>
    </w:r>
    <w:r>
      <w:instrText xml:space="preserve"> PAGE   \* MERGEFORMAT </w:instrText>
    </w:r>
    <w:r>
      <w:fldChar w:fldCharType="separate"/>
    </w:r>
    <w:r>
      <w:rPr>
        <w:sz w:val="26"/>
      </w:rPr>
      <w:t>17</w:t>
    </w:r>
    <w:r>
      <w:rPr>
        <w:sz w:val="26"/>
      </w:rPr>
      <w:fldChar w:fldCharType="end"/>
    </w:r>
  </w:p>
  <w:p w:rsidR="00721CF3" w:rsidRDefault="00063BD2">
    <w:pPr>
      <w:spacing w:after="0" w:line="259" w:lineRule="auto"/>
      <w:ind w:right="619" w:firstLine="0"/>
      <w:jc w:val="right"/>
    </w:pPr>
    <w:r>
      <w:t xml:space="preserve">Приложение </w:t>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265" w:line="259" w:lineRule="auto"/>
      <w:ind w:right="5" w:firstLine="0"/>
      <w:jc w:val="center"/>
    </w:pPr>
    <w:r>
      <w:fldChar w:fldCharType="begin"/>
    </w:r>
    <w:r>
      <w:instrText xml:space="preserve"> PAGE   \* MERGEFORMAT </w:instrText>
    </w:r>
    <w:r>
      <w:fldChar w:fldCharType="separate"/>
    </w:r>
    <w:r>
      <w:rPr>
        <w:sz w:val="26"/>
      </w:rPr>
      <w:t>17</w:t>
    </w:r>
    <w:r>
      <w:rPr>
        <w:sz w:val="26"/>
      </w:rPr>
      <w:fldChar w:fldCharType="end"/>
    </w:r>
  </w:p>
  <w:p w:rsidR="00721CF3" w:rsidRDefault="00063BD2">
    <w:pPr>
      <w:spacing w:after="0" w:line="259" w:lineRule="auto"/>
      <w:ind w:right="619" w:firstLine="0"/>
      <w:jc w:val="right"/>
    </w:pPr>
    <w:r>
      <w:t xml:space="preserve">Приложение </w:t>
    </w: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left="10" w:right="0"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left="10" w:right="0" w:firstLine="0"/>
      <w:jc w:val="center"/>
    </w:pPr>
    <w:r>
      <w:fldChar w:fldCharType="begin"/>
    </w:r>
    <w:r>
      <w:instrText xml:space="preserve"> PAGE   \* MERGEFORMAT </w:instrText>
    </w:r>
    <w:r>
      <w:fldChar w:fldCharType="separate"/>
    </w:r>
    <w:r>
      <w:rPr>
        <w:sz w:val="26"/>
      </w:rPr>
      <w:t>2</w:t>
    </w:r>
    <w:r>
      <w:rPr>
        <w:sz w:val="26"/>
      </w:rPr>
      <w:fldChar w:fldCharType="end"/>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1CF3" w:rsidRDefault="00063BD2">
    <w:pPr>
      <w:spacing w:after="0" w:line="259" w:lineRule="auto"/>
      <w:ind w:left="10" w:right="0" w:firstLine="0"/>
      <w:jc w:val="center"/>
    </w:pPr>
    <w:r>
      <w:fldChar w:fldCharType="begin"/>
    </w:r>
    <w:r>
      <w:instrText xml:space="preserve"> PAGE   \* MERGEFORMAT </w:instrText>
    </w:r>
    <w:r>
      <w:fldChar w:fldCharType="separate"/>
    </w:r>
    <w:r>
      <w:rPr>
        <w:sz w:val="26"/>
      </w:rPr>
      <w:t>2</w:t>
    </w:r>
    <w:r>
      <w:rPr>
        <w:sz w:val="26"/>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47273F"/>
    <w:multiLevelType w:val="hybridMultilevel"/>
    <w:tmpl w:val="A77829BC"/>
    <w:lvl w:ilvl="0" w:tplc="9B302E74">
      <w:start w:val="1"/>
      <w:numFmt w:val="decimal"/>
      <w:lvlText w:val="%1"/>
      <w:lvlJc w:val="left"/>
      <w:pPr>
        <w:ind w:left="3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7D7690FA">
      <w:start w:val="4"/>
      <w:numFmt w:val="decimal"/>
      <w:lvlRestart w:val="0"/>
      <w:lvlText w:val="%2."/>
      <w:lvlJc w:val="left"/>
      <w:pPr>
        <w:ind w:left="1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4504073C">
      <w:start w:val="1"/>
      <w:numFmt w:val="lowerRoman"/>
      <w:lvlText w:val="%3"/>
      <w:lvlJc w:val="left"/>
      <w:pPr>
        <w:ind w:left="194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F90A7986">
      <w:start w:val="1"/>
      <w:numFmt w:val="decimal"/>
      <w:lvlText w:val="%4"/>
      <w:lvlJc w:val="left"/>
      <w:pPr>
        <w:ind w:left="266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9E64CDE0">
      <w:start w:val="1"/>
      <w:numFmt w:val="lowerLetter"/>
      <w:lvlText w:val="%5"/>
      <w:lvlJc w:val="left"/>
      <w:pPr>
        <w:ind w:left="338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BBC61866">
      <w:start w:val="1"/>
      <w:numFmt w:val="lowerRoman"/>
      <w:lvlText w:val="%6"/>
      <w:lvlJc w:val="left"/>
      <w:pPr>
        <w:ind w:left="410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3EC6A92E">
      <w:start w:val="1"/>
      <w:numFmt w:val="decimal"/>
      <w:lvlText w:val="%7"/>
      <w:lvlJc w:val="left"/>
      <w:pPr>
        <w:ind w:left="482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BD528B06">
      <w:start w:val="1"/>
      <w:numFmt w:val="lowerLetter"/>
      <w:lvlText w:val="%8"/>
      <w:lvlJc w:val="left"/>
      <w:pPr>
        <w:ind w:left="554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DFDE0188">
      <w:start w:val="1"/>
      <w:numFmt w:val="lowerRoman"/>
      <w:lvlText w:val="%9"/>
      <w:lvlJc w:val="left"/>
      <w:pPr>
        <w:ind w:left="626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1" w15:restartNumberingAfterBreak="0">
    <w:nsid w:val="0896008E"/>
    <w:multiLevelType w:val="hybridMultilevel"/>
    <w:tmpl w:val="D42644F4"/>
    <w:lvl w:ilvl="0" w:tplc="CC684BAE">
      <w:start w:val="1"/>
      <w:numFmt w:val="decimal"/>
      <w:lvlText w:val="%1."/>
      <w:lvlJc w:val="left"/>
      <w:pPr>
        <w:ind w:left="1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CE682224">
      <w:start w:val="1"/>
      <w:numFmt w:val="lowerLetter"/>
      <w:lvlText w:val="%2"/>
      <w:lvlJc w:val="left"/>
      <w:pPr>
        <w:ind w:left="182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0642867C">
      <w:start w:val="1"/>
      <w:numFmt w:val="lowerRoman"/>
      <w:lvlText w:val="%3"/>
      <w:lvlJc w:val="left"/>
      <w:pPr>
        <w:ind w:left="254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CA5257BE">
      <w:start w:val="1"/>
      <w:numFmt w:val="decimal"/>
      <w:lvlText w:val="%4"/>
      <w:lvlJc w:val="left"/>
      <w:pPr>
        <w:ind w:left="326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7704713E">
      <w:start w:val="1"/>
      <w:numFmt w:val="lowerLetter"/>
      <w:lvlText w:val="%5"/>
      <w:lvlJc w:val="left"/>
      <w:pPr>
        <w:ind w:left="398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EC447936">
      <w:start w:val="1"/>
      <w:numFmt w:val="lowerRoman"/>
      <w:lvlText w:val="%6"/>
      <w:lvlJc w:val="left"/>
      <w:pPr>
        <w:ind w:left="470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9FAE5078">
      <w:start w:val="1"/>
      <w:numFmt w:val="decimal"/>
      <w:lvlText w:val="%7"/>
      <w:lvlJc w:val="left"/>
      <w:pPr>
        <w:ind w:left="542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651674F4">
      <w:start w:val="1"/>
      <w:numFmt w:val="lowerLetter"/>
      <w:lvlText w:val="%8"/>
      <w:lvlJc w:val="left"/>
      <w:pPr>
        <w:ind w:left="614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40DA6720">
      <w:start w:val="1"/>
      <w:numFmt w:val="lowerRoman"/>
      <w:lvlText w:val="%9"/>
      <w:lvlJc w:val="left"/>
      <w:pPr>
        <w:ind w:left="686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2" w15:restartNumberingAfterBreak="0">
    <w:nsid w:val="0A3665D6"/>
    <w:multiLevelType w:val="hybridMultilevel"/>
    <w:tmpl w:val="0F2C52F8"/>
    <w:lvl w:ilvl="0" w:tplc="5CF465F6">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7BE00D0">
      <w:start w:val="4"/>
      <w:numFmt w:val="decimal"/>
      <w:lvlRestart w:val="0"/>
      <w:lvlText w:val="%2."/>
      <w:lvlJc w:val="left"/>
      <w:pPr>
        <w:ind w:left="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6523C52">
      <w:start w:val="1"/>
      <w:numFmt w:val="lowerRoman"/>
      <w:lvlText w:val="%3"/>
      <w:lvlJc w:val="left"/>
      <w:pPr>
        <w:ind w:left="181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8787E2C">
      <w:start w:val="1"/>
      <w:numFmt w:val="decimal"/>
      <w:lvlText w:val="%4"/>
      <w:lvlJc w:val="left"/>
      <w:pPr>
        <w:ind w:left="253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958BDEE">
      <w:start w:val="1"/>
      <w:numFmt w:val="lowerLetter"/>
      <w:lvlText w:val="%5"/>
      <w:lvlJc w:val="left"/>
      <w:pPr>
        <w:ind w:left="325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0C8DB00">
      <w:start w:val="1"/>
      <w:numFmt w:val="lowerRoman"/>
      <w:lvlText w:val="%6"/>
      <w:lvlJc w:val="left"/>
      <w:pPr>
        <w:ind w:left="39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286E87E">
      <w:start w:val="1"/>
      <w:numFmt w:val="decimal"/>
      <w:lvlText w:val="%7"/>
      <w:lvlJc w:val="left"/>
      <w:pPr>
        <w:ind w:left="469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D86E700">
      <w:start w:val="1"/>
      <w:numFmt w:val="lowerLetter"/>
      <w:lvlText w:val="%8"/>
      <w:lvlJc w:val="left"/>
      <w:pPr>
        <w:ind w:left="541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2425FE8">
      <w:start w:val="1"/>
      <w:numFmt w:val="lowerRoman"/>
      <w:lvlText w:val="%9"/>
      <w:lvlJc w:val="left"/>
      <w:pPr>
        <w:ind w:left="613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 w15:restartNumberingAfterBreak="0">
    <w:nsid w:val="200474E3"/>
    <w:multiLevelType w:val="hybridMultilevel"/>
    <w:tmpl w:val="0FB85B8A"/>
    <w:lvl w:ilvl="0" w:tplc="11069758">
      <w:start w:val="1"/>
      <w:numFmt w:val="decimal"/>
      <w:lvlText w:val="%1)"/>
      <w:lvlJc w:val="left"/>
      <w:pPr>
        <w:ind w:left="73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A1DAAE1C">
      <w:start w:val="1"/>
      <w:numFmt w:val="lowerLetter"/>
      <w:lvlText w:val="%2"/>
      <w:lvlJc w:val="left"/>
      <w:pPr>
        <w:ind w:left="181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16227E30">
      <w:start w:val="1"/>
      <w:numFmt w:val="lowerRoman"/>
      <w:lvlText w:val="%3"/>
      <w:lvlJc w:val="left"/>
      <w:pPr>
        <w:ind w:left="253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98DA53CC">
      <w:start w:val="1"/>
      <w:numFmt w:val="decimal"/>
      <w:lvlText w:val="%4"/>
      <w:lvlJc w:val="left"/>
      <w:pPr>
        <w:ind w:left="325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344488AC">
      <w:start w:val="1"/>
      <w:numFmt w:val="lowerLetter"/>
      <w:lvlText w:val="%5"/>
      <w:lvlJc w:val="left"/>
      <w:pPr>
        <w:ind w:left="397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9FEC99A8">
      <w:start w:val="1"/>
      <w:numFmt w:val="lowerRoman"/>
      <w:lvlText w:val="%6"/>
      <w:lvlJc w:val="left"/>
      <w:pPr>
        <w:ind w:left="469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6F0EEEDE">
      <w:start w:val="1"/>
      <w:numFmt w:val="decimal"/>
      <w:lvlText w:val="%7"/>
      <w:lvlJc w:val="left"/>
      <w:pPr>
        <w:ind w:left="541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8370DC48">
      <w:start w:val="1"/>
      <w:numFmt w:val="lowerLetter"/>
      <w:lvlText w:val="%8"/>
      <w:lvlJc w:val="left"/>
      <w:pPr>
        <w:ind w:left="613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68120A8A">
      <w:start w:val="1"/>
      <w:numFmt w:val="lowerRoman"/>
      <w:lvlText w:val="%9"/>
      <w:lvlJc w:val="left"/>
      <w:pPr>
        <w:ind w:left="685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 w15:restartNumberingAfterBreak="0">
    <w:nsid w:val="2360429B"/>
    <w:multiLevelType w:val="hybridMultilevel"/>
    <w:tmpl w:val="F7CC0D2C"/>
    <w:lvl w:ilvl="0" w:tplc="AA6EB49C">
      <w:start w:val="1"/>
      <w:numFmt w:val="decimal"/>
      <w:lvlText w:val="%1."/>
      <w:lvlJc w:val="left"/>
      <w:pPr>
        <w:ind w:left="367"/>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5B482D72">
      <w:start w:val="1"/>
      <w:numFmt w:val="lowerLetter"/>
      <w:lvlText w:val="%2"/>
      <w:lvlJc w:val="left"/>
      <w:pPr>
        <w:ind w:left="181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EE6EA134">
      <w:start w:val="1"/>
      <w:numFmt w:val="lowerRoman"/>
      <w:lvlText w:val="%3"/>
      <w:lvlJc w:val="left"/>
      <w:pPr>
        <w:ind w:left="253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DD92EA9A">
      <w:start w:val="1"/>
      <w:numFmt w:val="decimal"/>
      <w:lvlText w:val="%4"/>
      <w:lvlJc w:val="left"/>
      <w:pPr>
        <w:ind w:left="325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A5E83094">
      <w:start w:val="1"/>
      <w:numFmt w:val="lowerLetter"/>
      <w:lvlText w:val="%5"/>
      <w:lvlJc w:val="left"/>
      <w:pPr>
        <w:ind w:left="397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0660071E">
      <w:start w:val="1"/>
      <w:numFmt w:val="lowerRoman"/>
      <w:lvlText w:val="%6"/>
      <w:lvlJc w:val="left"/>
      <w:pPr>
        <w:ind w:left="469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7866711C">
      <w:start w:val="1"/>
      <w:numFmt w:val="decimal"/>
      <w:lvlText w:val="%7"/>
      <w:lvlJc w:val="left"/>
      <w:pPr>
        <w:ind w:left="541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A2D65ADE">
      <w:start w:val="1"/>
      <w:numFmt w:val="lowerLetter"/>
      <w:lvlText w:val="%8"/>
      <w:lvlJc w:val="left"/>
      <w:pPr>
        <w:ind w:left="613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58E47BD6">
      <w:start w:val="1"/>
      <w:numFmt w:val="lowerRoman"/>
      <w:lvlText w:val="%9"/>
      <w:lvlJc w:val="left"/>
      <w:pPr>
        <w:ind w:left="685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5" w15:restartNumberingAfterBreak="0">
    <w:nsid w:val="32CF65AB"/>
    <w:multiLevelType w:val="multilevel"/>
    <w:tmpl w:val="20D4B5AA"/>
    <w:lvl w:ilvl="0">
      <w:start w:val="2"/>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2"/>
      <w:numFmt w:val="decimal"/>
      <w:lvlRestart w:val="0"/>
      <w:lvlText w:val="%1.%2."/>
      <w:lvlJc w:val="left"/>
      <w:pPr>
        <w:ind w:left="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 w15:restartNumberingAfterBreak="0">
    <w:nsid w:val="35792E39"/>
    <w:multiLevelType w:val="hybridMultilevel"/>
    <w:tmpl w:val="DB12C2A6"/>
    <w:lvl w:ilvl="0" w:tplc="EA38F774">
      <w:start w:val="1"/>
      <w:numFmt w:val="decimal"/>
      <w:lvlText w:val="%1"/>
      <w:lvlJc w:val="left"/>
      <w:pPr>
        <w:ind w:left="36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C81A35DC">
      <w:start w:val="1"/>
      <w:numFmt w:val="decimal"/>
      <w:lvlRestart w:val="0"/>
      <w:lvlText w:val="%2."/>
      <w:lvlJc w:val="left"/>
      <w:pPr>
        <w:ind w:left="1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C3B0B584">
      <w:start w:val="1"/>
      <w:numFmt w:val="lowerRoman"/>
      <w:lvlText w:val="%3"/>
      <w:lvlJc w:val="left"/>
      <w:pPr>
        <w:ind w:left="181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0B7AAA4E">
      <w:start w:val="1"/>
      <w:numFmt w:val="decimal"/>
      <w:lvlText w:val="%4"/>
      <w:lvlJc w:val="left"/>
      <w:pPr>
        <w:ind w:left="253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0B8C7FC2">
      <w:start w:val="1"/>
      <w:numFmt w:val="lowerLetter"/>
      <w:lvlText w:val="%5"/>
      <w:lvlJc w:val="left"/>
      <w:pPr>
        <w:ind w:left="325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B5B2E738">
      <w:start w:val="1"/>
      <w:numFmt w:val="lowerRoman"/>
      <w:lvlText w:val="%6"/>
      <w:lvlJc w:val="left"/>
      <w:pPr>
        <w:ind w:left="397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F4E493CA">
      <w:start w:val="1"/>
      <w:numFmt w:val="decimal"/>
      <w:lvlText w:val="%7"/>
      <w:lvlJc w:val="left"/>
      <w:pPr>
        <w:ind w:left="469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184EB970">
      <w:start w:val="1"/>
      <w:numFmt w:val="lowerLetter"/>
      <w:lvlText w:val="%8"/>
      <w:lvlJc w:val="left"/>
      <w:pPr>
        <w:ind w:left="541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B058C12A">
      <w:start w:val="1"/>
      <w:numFmt w:val="lowerRoman"/>
      <w:lvlText w:val="%9"/>
      <w:lvlJc w:val="left"/>
      <w:pPr>
        <w:ind w:left="613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7" w15:restartNumberingAfterBreak="0">
    <w:nsid w:val="3F3E7285"/>
    <w:multiLevelType w:val="multilevel"/>
    <w:tmpl w:val="51FCB07A"/>
    <w:lvl w:ilvl="0">
      <w:start w:val="2"/>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26"/>
      <w:numFmt w:val="decimal"/>
      <w:lvlRestart w:val="0"/>
      <w:lvlText w:val="%1.%2."/>
      <w:lvlJc w:val="left"/>
      <w:pPr>
        <w:ind w:left="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 w15:restartNumberingAfterBreak="0">
    <w:nsid w:val="4E357DE1"/>
    <w:multiLevelType w:val="multilevel"/>
    <w:tmpl w:val="CF8CE6FC"/>
    <w:lvl w:ilvl="0">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
      <w:numFmt w:val="decimal"/>
      <w:lvlRestart w:val="0"/>
      <w:lvlText w:val="%1.%2."/>
      <w:lvlJc w:val="left"/>
      <w:pPr>
        <w:ind w:left="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82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5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2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9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70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42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61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9" w15:restartNumberingAfterBreak="0">
    <w:nsid w:val="523F74FF"/>
    <w:multiLevelType w:val="multilevel"/>
    <w:tmpl w:val="68887EDA"/>
    <w:lvl w:ilvl="0">
      <w:start w:val="2"/>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2"/>
      <w:numFmt w:val="decimal"/>
      <w:lvlRestart w:val="0"/>
      <w:lvlText w:val="%1.%2."/>
      <w:lvlJc w:val="left"/>
      <w:pPr>
        <w:ind w:left="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8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5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24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96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6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4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61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0" w15:restartNumberingAfterBreak="0">
    <w:nsid w:val="53216DCD"/>
    <w:multiLevelType w:val="hybridMultilevel"/>
    <w:tmpl w:val="37868E42"/>
    <w:lvl w:ilvl="0" w:tplc="F4D0795A">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75A2F26">
      <w:start w:val="10"/>
      <w:numFmt w:val="decimal"/>
      <w:lvlRestart w:val="0"/>
      <w:lvlText w:val="%2."/>
      <w:lvlJc w:val="left"/>
      <w:pPr>
        <w:ind w:left="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50EA9CEE">
      <w:start w:val="1"/>
      <w:numFmt w:val="lowerRoman"/>
      <w:lvlText w:val="%3"/>
      <w:lvlJc w:val="left"/>
      <w:pPr>
        <w:ind w:left="183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DDAABDE">
      <w:start w:val="1"/>
      <w:numFmt w:val="decimal"/>
      <w:lvlText w:val="%4"/>
      <w:lvlJc w:val="left"/>
      <w:pPr>
        <w:ind w:left="255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3EA192E">
      <w:start w:val="1"/>
      <w:numFmt w:val="lowerLetter"/>
      <w:lvlText w:val="%5"/>
      <w:lvlJc w:val="left"/>
      <w:pPr>
        <w:ind w:left="327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4CA255A">
      <w:start w:val="1"/>
      <w:numFmt w:val="lowerRoman"/>
      <w:lvlText w:val="%6"/>
      <w:lvlJc w:val="left"/>
      <w:pPr>
        <w:ind w:left="399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3ACCDB4">
      <w:start w:val="1"/>
      <w:numFmt w:val="decimal"/>
      <w:lvlText w:val="%7"/>
      <w:lvlJc w:val="left"/>
      <w:pPr>
        <w:ind w:left="471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322F880">
      <w:start w:val="1"/>
      <w:numFmt w:val="lowerLetter"/>
      <w:lvlText w:val="%8"/>
      <w:lvlJc w:val="left"/>
      <w:pPr>
        <w:ind w:left="543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A9C120A">
      <w:start w:val="1"/>
      <w:numFmt w:val="lowerRoman"/>
      <w:lvlText w:val="%9"/>
      <w:lvlJc w:val="left"/>
      <w:pPr>
        <w:ind w:left="615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1" w15:restartNumberingAfterBreak="0">
    <w:nsid w:val="5BC13B9C"/>
    <w:multiLevelType w:val="hybridMultilevel"/>
    <w:tmpl w:val="318E6958"/>
    <w:lvl w:ilvl="0" w:tplc="EFD2F796">
      <w:start w:val="1"/>
      <w:numFmt w:val="decimal"/>
      <w:lvlText w:val="%1"/>
      <w:lvlJc w:val="left"/>
      <w:pPr>
        <w:ind w:left="36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C34EFB54">
      <w:start w:val="1"/>
      <w:numFmt w:val="decimal"/>
      <w:lvlRestart w:val="0"/>
      <w:lvlText w:val="%2."/>
      <w:lvlJc w:val="left"/>
      <w:pPr>
        <w:ind w:left="1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7FAC70B2">
      <w:start w:val="1"/>
      <w:numFmt w:val="lowerRoman"/>
      <w:lvlText w:val="%3"/>
      <w:lvlJc w:val="left"/>
      <w:pPr>
        <w:ind w:left="181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C5BA27CA">
      <w:start w:val="1"/>
      <w:numFmt w:val="decimal"/>
      <w:lvlText w:val="%4"/>
      <w:lvlJc w:val="left"/>
      <w:pPr>
        <w:ind w:left="253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B33458B4">
      <w:start w:val="1"/>
      <w:numFmt w:val="lowerLetter"/>
      <w:lvlText w:val="%5"/>
      <w:lvlJc w:val="left"/>
      <w:pPr>
        <w:ind w:left="325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612A0F84">
      <w:start w:val="1"/>
      <w:numFmt w:val="lowerRoman"/>
      <w:lvlText w:val="%6"/>
      <w:lvlJc w:val="left"/>
      <w:pPr>
        <w:ind w:left="397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79DC4B54">
      <w:start w:val="1"/>
      <w:numFmt w:val="decimal"/>
      <w:lvlText w:val="%7"/>
      <w:lvlJc w:val="left"/>
      <w:pPr>
        <w:ind w:left="469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4F76F23E">
      <w:start w:val="1"/>
      <w:numFmt w:val="lowerLetter"/>
      <w:lvlText w:val="%8"/>
      <w:lvlJc w:val="left"/>
      <w:pPr>
        <w:ind w:left="541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C3E6CFBC">
      <w:start w:val="1"/>
      <w:numFmt w:val="lowerRoman"/>
      <w:lvlText w:val="%9"/>
      <w:lvlJc w:val="left"/>
      <w:pPr>
        <w:ind w:left="613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12" w15:restartNumberingAfterBreak="0">
    <w:nsid w:val="68957BE6"/>
    <w:multiLevelType w:val="hybridMultilevel"/>
    <w:tmpl w:val="D248A084"/>
    <w:lvl w:ilvl="0" w:tplc="91142096">
      <w:start w:val="4"/>
      <w:numFmt w:val="decimal"/>
      <w:lvlText w:val="%1"/>
      <w:lvlJc w:val="left"/>
      <w:pPr>
        <w:ind w:left="164"/>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77A6AA34">
      <w:start w:val="1"/>
      <w:numFmt w:val="lowerLetter"/>
      <w:lvlText w:val="%2"/>
      <w:lvlJc w:val="left"/>
      <w:pPr>
        <w:ind w:left="110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22186702">
      <w:start w:val="1"/>
      <w:numFmt w:val="lowerRoman"/>
      <w:lvlText w:val="%3"/>
      <w:lvlJc w:val="left"/>
      <w:pPr>
        <w:ind w:left="182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5164FB82">
      <w:start w:val="1"/>
      <w:numFmt w:val="decimal"/>
      <w:lvlText w:val="%4"/>
      <w:lvlJc w:val="left"/>
      <w:pPr>
        <w:ind w:left="254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6CE06C9A">
      <w:start w:val="1"/>
      <w:numFmt w:val="lowerLetter"/>
      <w:lvlText w:val="%5"/>
      <w:lvlJc w:val="left"/>
      <w:pPr>
        <w:ind w:left="326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BD1C7B3A">
      <w:start w:val="1"/>
      <w:numFmt w:val="lowerRoman"/>
      <w:lvlText w:val="%6"/>
      <w:lvlJc w:val="left"/>
      <w:pPr>
        <w:ind w:left="398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E5E65B00">
      <w:start w:val="1"/>
      <w:numFmt w:val="decimal"/>
      <w:lvlText w:val="%7"/>
      <w:lvlJc w:val="left"/>
      <w:pPr>
        <w:ind w:left="470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64707698">
      <w:start w:val="1"/>
      <w:numFmt w:val="lowerLetter"/>
      <w:lvlText w:val="%8"/>
      <w:lvlJc w:val="left"/>
      <w:pPr>
        <w:ind w:left="542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1BC6DB54">
      <w:start w:val="1"/>
      <w:numFmt w:val="lowerRoman"/>
      <w:lvlText w:val="%9"/>
      <w:lvlJc w:val="left"/>
      <w:pPr>
        <w:ind w:left="614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3" w15:restartNumberingAfterBreak="0">
    <w:nsid w:val="6B515081"/>
    <w:multiLevelType w:val="hybridMultilevel"/>
    <w:tmpl w:val="436C15C4"/>
    <w:lvl w:ilvl="0" w:tplc="5FB2B940">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EA4FE42">
      <w:start w:val="4"/>
      <w:numFmt w:val="decimal"/>
      <w:lvlRestart w:val="0"/>
      <w:lvlText w:val="%2."/>
      <w:lvlJc w:val="left"/>
      <w:pPr>
        <w:ind w:left="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4701054">
      <w:start w:val="1"/>
      <w:numFmt w:val="lowerRoman"/>
      <w:lvlText w:val="%3"/>
      <w:lvlJc w:val="left"/>
      <w:pPr>
        <w:ind w:left="18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92AA99A">
      <w:start w:val="1"/>
      <w:numFmt w:val="decimal"/>
      <w:lvlText w:val="%4"/>
      <w:lvlJc w:val="left"/>
      <w:pPr>
        <w:ind w:left="252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0E4F1BA">
      <w:start w:val="1"/>
      <w:numFmt w:val="lowerLetter"/>
      <w:lvlText w:val="%5"/>
      <w:lvlJc w:val="left"/>
      <w:pPr>
        <w:ind w:left="32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8ACDC32">
      <w:start w:val="1"/>
      <w:numFmt w:val="lowerRoman"/>
      <w:lvlText w:val="%6"/>
      <w:lvlJc w:val="left"/>
      <w:pPr>
        <w:ind w:left="396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30C037A">
      <w:start w:val="1"/>
      <w:numFmt w:val="decimal"/>
      <w:lvlText w:val="%7"/>
      <w:lvlJc w:val="left"/>
      <w:pPr>
        <w:ind w:left="46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E6857A2">
      <w:start w:val="1"/>
      <w:numFmt w:val="lowerLetter"/>
      <w:lvlText w:val="%8"/>
      <w:lvlJc w:val="left"/>
      <w:pPr>
        <w:ind w:left="54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0E49A18">
      <w:start w:val="1"/>
      <w:numFmt w:val="lowerRoman"/>
      <w:lvlText w:val="%9"/>
      <w:lvlJc w:val="left"/>
      <w:pPr>
        <w:ind w:left="612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4" w15:restartNumberingAfterBreak="0">
    <w:nsid w:val="713D728F"/>
    <w:multiLevelType w:val="hybridMultilevel"/>
    <w:tmpl w:val="6B4CD074"/>
    <w:lvl w:ilvl="0" w:tplc="84DA1882">
      <w:start w:val="25"/>
      <w:numFmt w:val="decimal"/>
      <w:lvlText w:val="%1"/>
      <w:lvlJc w:val="left"/>
      <w:pPr>
        <w:ind w:left="2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superscript"/>
      </w:rPr>
    </w:lvl>
    <w:lvl w:ilvl="1" w:tplc="A4F609F2">
      <w:start w:val="1"/>
      <w:numFmt w:val="lowerLetter"/>
      <w:lvlText w:val="%2"/>
      <w:lvlJc w:val="left"/>
      <w:pPr>
        <w:ind w:left="10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superscript"/>
      </w:rPr>
    </w:lvl>
    <w:lvl w:ilvl="2" w:tplc="D2360B90">
      <w:start w:val="1"/>
      <w:numFmt w:val="lowerRoman"/>
      <w:lvlText w:val="%3"/>
      <w:lvlJc w:val="left"/>
      <w:pPr>
        <w:ind w:left="18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superscript"/>
      </w:rPr>
    </w:lvl>
    <w:lvl w:ilvl="3" w:tplc="E522DA06">
      <w:start w:val="1"/>
      <w:numFmt w:val="decimal"/>
      <w:lvlText w:val="%4"/>
      <w:lvlJc w:val="left"/>
      <w:pPr>
        <w:ind w:left="25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superscript"/>
      </w:rPr>
    </w:lvl>
    <w:lvl w:ilvl="4" w:tplc="CA7A486A">
      <w:start w:val="1"/>
      <w:numFmt w:val="lowerLetter"/>
      <w:lvlText w:val="%5"/>
      <w:lvlJc w:val="left"/>
      <w:pPr>
        <w:ind w:left="32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superscript"/>
      </w:rPr>
    </w:lvl>
    <w:lvl w:ilvl="5" w:tplc="70A6046E">
      <w:start w:val="1"/>
      <w:numFmt w:val="lowerRoman"/>
      <w:lvlText w:val="%6"/>
      <w:lvlJc w:val="left"/>
      <w:pPr>
        <w:ind w:left="39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superscript"/>
      </w:rPr>
    </w:lvl>
    <w:lvl w:ilvl="6" w:tplc="5B90FE6C">
      <w:start w:val="1"/>
      <w:numFmt w:val="decimal"/>
      <w:lvlText w:val="%7"/>
      <w:lvlJc w:val="left"/>
      <w:pPr>
        <w:ind w:left="46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superscript"/>
      </w:rPr>
    </w:lvl>
    <w:lvl w:ilvl="7" w:tplc="216ED5E6">
      <w:start w:val="1"/>
      <w:numFmt w:val="lowerLetter"/>
      <w:lvlText w:val="%8"/>
      <w:lvlJc w:val="left"/>
      <w:pPr>
        <w:ind w:left="54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superscript"/>
      </w:rPr>
    </w:lvl>
    <w:lvl w:ilvl="8" w:tplc="75C8DF56">
      <w:start w:val="1"/>
      <w:numFmt w:val="lowerRoman"/>
      <w:lvlText w:val="%9"/>
      <w:lvlJc w:val="left"/>
      <w:pPr>
        <w:ind w:left="61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superscript"/>
      </w:rPr>
    </w:lvl>
  </w:abstractNum>
  <w:abstractNum w:abstractNumId="15" w15:restartNumberingAfterBreak="0">
    <w:nsid w:val="751D218B"/>
    <w:multiLevelType w:val="multilevel"/>
    <w:tmpl w:val="F546145A"/>
    <w:lvl w:ilvl="0">
      <w:start w:val="3"/>
      <w:numFmt w:val="decimal"/>
      <w:lvlText w:val="%1"/>
      <w:lvlJc w:val="left"/>
      <w:pPr>
        <w:ind w:left="36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start w:val="1"/>
      <w:numFmt w:val="decimal"/>
      <w:lvlRestart w:val="0"/>
      <w:lvlText w:val="%1.%2."/>
      <w:lvlJc w:val="left"/>
      <w:pPr>
        <w:ind w:left="1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start w:val="1"/>
      <w:numFmt w:val="lowerRoman"/>
      <w:lvlText w:val="%3"/>
      <w:lvlJc w:val="left"/>
      <w:pPr>
        <w:ind w:left="181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start w:val="1"/>
      <w:numFmt w:val="decimal"/>
      <w:lvlText w:val="%4"/>
      <w:lvlJc w:val="left"/>
      <w:pPr>
        <w:ind w:left="253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start w:val="1"/>
      <w:numFmt w:val="lowerLetter"/>
      <w:lvlText w:val="%5"/>
      <w:lvlJc w:val="left"/>
      <w:pPr>
        <w:ind w:left="325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start w:val="1"/>
      <w:numFmt w:val="lowerRoman"/>
      <w:lvlText w:val="%6"/>
      <w:lvlJc w:val="left"/>
      <w:pPr>
        <w:ind w:left="397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start w:val="1"/>
      <w:numFmt w:val="decimal"/>
      <w:lvlText w:val="%7"/>
      <w:lvlJc w:val="left"/>
      <w:pPr>
        <w:ind w:left="469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start w:val="1"/>
      <w:numFmt w:val="lowerLetter"/>
      <w:lvlText w:val="%8"/>
      <w:lvlJc w:val="left"/>
      <w:pPr>
        <w:ind w:left="541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start w:val="1"/>
      <w:numFmt w:val="lowerRoman"/>
      <w:lvlText w:val="%9"/>
      <w:lvlJc w:val="left"/>
      <w:pPr>
        <w:ind w:left="613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16" w15:restartNumberingAfterBreak="0">
    <w:nsid w:val="7D643B82"/>
    <w:multiLevelType w:val="hybridMultilevel"/>
    <w:tmpl w:val="5E4CECD4"/>
    <w:lvl w:ilvl="0" w:tplc="22D49D5E">
      <w:start w:val="13"/>
      <w:numFmt w:val="decimal"/>
      <w:lvlText w:val="%1"/>
      <w:lvlJc w:val="left"/>
      <w:pPr>
        <w:ind w:left="222"/>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B09031A0">
      <w:start w:val="1"/>
      <w:numFmt w:val="lowerLetter"/>
      <w:lvlText w:val="%2"/>
      <w:lvlJc w:val="left"/>
      <w:pPr>
        <w:ind w:left="113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535E96BA">
      <w:start w:val="1"/>
      <w:numFmt w:val="lowerRoman"/>
      <w:lvlText w:val="%3"/>
      <w:lvlJc w:val="left"/>
      <w:pPr>
        <w:ind w:left="185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FC6AF23A">
      <w:start w:val="1"/>
      <w:numFmt w:val="decimal"/>
      <w:lvlText w:val="%4"/>
      <w:lvlJc w:val="left"/>
      <w:pPr>
        <w:ind w:left="257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49D00442">
      <w:start w:val="1"/>
      <w:numFmt w:val="lowerLetter"/>
      <w:lvlText w:val="%5"/>
      <w:lvlJc w:val="left"/>
      <w:pPr>
        <w:ind w:left="329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D1681AEC">
      <w:start w:val="1"/>
      <w:numFmt w:val="lowerRoman"/>
      <w:lvlText w:val="%6"/>
      <w:lvlJc w:val="left"/>
      <w:pPr>
        <w:ind w:left="401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3810450C">
      <w:start w:val="1"/>
      <w:numFmt w:val="decimal"/>
      <w:lvlText w:val="%7"/>
      <w:lvlJc w:val="left"/>
      <w:pPr>
        <w:ind w:left="473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428C7528">
      <w:start w:val="1"/>
      <w:numFmt w:val="lowerLetter"/>
      <w:lvlText w:val="%8"/>
      <w:lvlJc w:val="left"/>
      <w:pPr>
        <w:ind w:left="545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1EBA4FC4">
      <w:start w:val="1"/>
      <w:numFmt w:val="lowerRoman"/>
      <w:lvlText w:val="%9"/>
      <w:lvlJc w:val="left"/>
      <w:pPr>
        <w:ind w:left="617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num w:numId="1">
    <w:abstractNumId w:val="1"/>
  </w:num>
  <w:num w:numId="2">
    <w:abstractNumId w:val="8"/>
  </w:num>
  <w:num w:numId="3">
    <w:abstractNumId w:val="12"/>
  </w:num>
  <w:num w:numId="4">
    <w:abstractNumId w:val="9"/>
  </w:num>
  <w:num w:numId="5">
    <w:abstractNumId w:val="16"/>
  </w:num>
  <w:num w:numId="6">
    <w:abstractNumId w:val="5"/>
  </w:num>
  <w:num w:numId="7">
    <w:abstractNumId w:val="14"/>
  </w:num>
  <w:num w:numId="8">
    <w:abstractNumId w:val="7"/>
  </w:num>
  <w:num w:numId="9">
    <w:abstractNumId w:val="15"/>
  </w:num>
  <w:num w:numId="10">
    <w:abstractNumId w:val="4"/>
  </w:num>
  <w:num w:numId="11">
    <w:abstractNumId w:val="3"/>
  </w:num>
  <w:num w:numId="12">
    <w:abstractNumId w:val="11"/>
  </w:num>
  <w:num w:numId="13">
    <w:abstractNumId w:val="13"/>
  </w:num>
  <w:num w:numId="14">
    <w:abstractNumId w:val="2"/>
  </w:num>
  <w:num w:numId="15">
    <w:abstractNumId w:val="10"/>
  </w:num>
  <w:num w:numId="16">
    <w:abstractNumId w:val="6"/>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1CF3"/>
    <w:rsid w:val="00063BD2"/>
    <w:rsid w:val="00721C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C30B16A8-3DA7-4E25-8F5B-5514FFB8C2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line="270" w:lineRule="auto"/>
      <w:ind w:right="66" w:firstLine="715"/>
      <w:jc w:val="both"/>
    </w:pPr>
    <w:rPr>
      <w:rFonts w:ascii="Times New Roman" w:eastAsia="Times New Roman" w:hAnsi="Times New Roman" w:cs="Times New Roman"/>
      <w:color w:val="000000"/>
      <w:sz w:val="28"/>
    </w:rPr>
  </w:style>
  <w:style w:type="paragraph" w:styleId="Heading1">
    <w:name w:val="heading 1"/>
    <w:next w:val="Normal"/>
    <w:link w:val="Heading1Char"/>
    <w:uiPriority w:val="9"/>
    <w:unhideWhenUsed/>
    <w:qFormat/>
    <w:pPr>
      <w:keepNext/>
      <w:keepLines/>
      <w:spacing w:after="555" w:line="216" w:lineRule="auto"/>
      <w:ind w:left="7787" w:right="62"/>
      <w:jc w:val="right"/>
      <w:outlineLvl w:val="0"/>
    </w:pPr>
    <w:rPr>
      <w:rFonts w:ascii="Times New Roman" w:eastAsia="Times New Roman" w:hAnsi="Times New Roman" w:cs="Times New Roman"/>
      <w:color w:val="000000"/>
      <w:sz w:val="3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color w:val="000000"/>
      <w:sz w:val="34"/>
    </w:rPr>
  </w:style>
  <w:style w:type="paragraph" w:customStyle="1" w:styleId="footnotedescription">
    <w:name w:val="footnote description"/>
    <w:next w:val="Normal"/>
    <w:link w:val="footnotedescriptionChar"/>
    <w:hidden/>
    <w:pPr>
      <w:spacing w:after="0"/>
      <w:ind w:left="34"/>
    </w:pPr>
    <w:rPr>
      <w:rFonts w:ascii="Times New Roman" w:eastAsia="Times New Roman" w:hAnsi="Times New Roman" w:cs="Times New Roman"/>
      <w:color w:val="000000"/>
      <w:sz w:val="24"/>
    </w:rPr>
  </w:style>
  <w:style w:type="character" w:customStyle="1" w:styleId="footnotedescriptionChar">
    <w:name w:val="footnote description Char"/>
    <w:link w:val="footnotedescription"/>
    <w:rPr>
      <w:rFonts w:ascii="Times New Roman" w:eastAsia="Times New Roman" w:hAnsi="Times New Roman" w:cs="Times New Roman"/>
      <w:color w:val="000000"/>
      <w:sz w:val="24"/>
    </w:rPr>
  </w:style>
  <w:style w:type="character" w:customStyle="1" w:styleId="footnotemark">
    <w:name w:val="footnote mark"/>
    <w:hidden/>
    <w:rPr>
      <w:rFonts w:ascii="Times New Roman" w:eastAsia="Times New Roman" w:hAnsi="Times New Roman" w:cs="Times New Roman"/>
      <w:color w:val="000000"/>
      <w:sz w:val="16"/>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media/image29.jpg"/><Relationship Id="rId63" Type="http://schemas.openxmlformats.org/officeDocument/2006/relationships/image" Target="media/image206.jpg"/><Relationship Id="rId68" Type="http://schemas.openxmlformats.org/officeDocument/2006/relationships/footer" Target="footer2.xml"/><Relationship Id="rId84" Type="http://schemas.openxmlformats.org/officeDocument/2006/relationships/header" Target="header6.xml"/><Relationship Id="rId89" Type="http://schemas.openxmlformats.org/officeDocument/2006/relationships/image" Target="media/image16.jpg"/><Relationship Id="rId112" Type="http://schemas.openxmlformats.org/officeDocument/2006/relationships/image" Target="media/image25.jpg"/><Relationship Id="rId133" Type="http://schemas.openxmlformats.org/officeDocument/2006/relationships/footer" Target="footer17.xml"/><Relationship Id="rId138" Type="http://schemas.openxmlformats.org/officeDocument/2006/relationships/image" Target="media/image38.jpg"/><Relationship Id="rId154" Type="http://schemas.openxmlformats.org/officeDocument/2006/relationships/footer" Target="footer24.xml"/><Relationship Id="rId107" Type="http://schemas.openxmlformats.org/officeDocument/2006/relationships/footer" Target="footer12.xml"/><Relationship Id="rId74" Type="http://schemas.openxmlformats.org/officeDocument/2006/relationships/image" Target="media/image7.jpg"/><Relationship Id="rId79" Type="http://schemas.openxmlformats.org/officeDocument/2006/relationships/image" Target="media/image12.jpg"/><Relationship Id="rId102" Type="http://schemas.openxmlformats.org/officeDocument/2006/relationships/header" Target="header10.xml"/><Relationship Id="rId123" Type="http://schemas.openxmlformats.org/officeDocument/2006/relationships/footer" Target="footer15.xml"/><Relationship Id="rId128" Type="http://schemas.openxmlformats.org/officeDocument/2006/relationships/image" Target="media/image34.jpg"/><Relationship Id="rId144" Type="http://schemas.openxmlformats.org/officeDocument/2006/relationships/header" Target="header21.xml"/><Relationship Id="rId149" Type="http://schemas.openxmlformats.org/officeDocument/2006/relationships/header" Target="header22.xml"/><Relationship Id="rId5" Type="http://schemas.openxmlformats.org/officeDocument/2006/relationships/footnotes" Target="footnotes.xml"/><Relationship Id="rId90" Type="http://schemas.openxmlformats.org/officeDocument/2006/relationships/image" Target="media/image17.jpg"/><Relationship Id="rId95" Type="http://schemas.openxmlformats.org/officeDocument/2006/relationships/footer" Target="footer7.xml"/><Relationship Id="rId64" Type="http://schemas.openxmlformats.org/officeDocument/2006/relationships/image" Target="media/image3.jpg"/><Relationship Id="rId69" Type="http://schemas.openxmlformats.org/officeDocument/2006/relationships/header" Target="header3.xml"/><Relationship Id="rId113" Type="http://schemas.openxmlformats.org/officeDocument/2006/relationships/image" Target="media/image26.jpg"/><Relationship Id="rId118" Type="http://schemas.openxmlformats.org/officeDocument/2006/relationships/header" Target="header13.xml"/><Relationship Id="rId134" Type="http://schemas.openxmlformats.org/officeDocument/2006/relationships/header" Target="header18.xml"/><Relationship Id="rId139" Type="http://schemas.openxmlformats.org/officeDocument/2006/relationships/image" Target="media/image39.jpg"/><Relationship Id="rId80" Type="http://schemas.openxmlformats.org/officeDocument/2006/relationships/header" Target="header4.xml"/><Relationship Id="rId85" Type="http://schemas.openxmlformats.org/officeDocument/2006/relationships/footer" Target="footer6.xml"/><Relationship Id="rId150" Type="http://schemas.openxmlformats.org/officeDocument/2006/relationships/header" Target="header23.xml"/><Relationship Id="rId155" Type="http://schemas.openxmlformats.org/officeDocument/2006/relationships/fontTable" Target="fontTable.xml"/><Relationship Id="rId67" Type="http://schemas.openxmlformats.org/officeDocument/2006/relationships/footer" Target="footer1.xml"/><Relationship Id="rId103" Type="http://schemas.openxmlformats.org/officeDocument/2006/relationships/header" Target="header11.xml"/><Relationship Id="rId108" Type="http://schemas.openxmlformats.org/officeDocument/2006/relationships/image" Target="media/image23.jpg"/><Relationship Id="rId116" Type="http://schemas.openxmlformats.org/officeDocument/2006/relationships/image" Target="media/image28.jpg"/><Relationship Id="rId124" Type="http://schemas.openxmlformats.org/officeDocument/2006/relationships/image" Target="media/image30.jpg"/><Relationship Id="rId129" Type="http://schemas.openxmlformats.org/officeDocument/2006/relationships/image" Target="media/image35.jpg"/><Relationship Id="rId137" Type="http://schemas.openxmlformats.org/officeDocument/2006/relationships/image" Target="media/image37.jpg"/><Relationship Id="rId70" Type="http://schemas.openxmlformats.org/officeDocument/2006/relationships/footer" Target="footer3.xml"/><Relationship Id="rId75" Type="http://schemas.openxmlformats.org/officeDocument/2006/relationships/image" Target="media/image8.jpg"/><Relationship Id="rId83" Type="http://schemas.openxmlformats.org/officeDocument/2006/relationships/footer" Target="footer5.xml"/><Relationship Id="rId88" Type="http://schemas.openxmlformats.org/officeDocument/2006/relationships/image" Target="media/image15.jpg"/><Relationship Id="rId91" Type="http://schemas.openxmlformats.org/officeDocument/2006/relationships/image" Target="media/image18.jpg"/><Relationship Id="rId96" Type="http://schemas.openxmlformats.org/officeDocument/2006/relationships/footer" Target="footer8.xml"/><Relationship Id="rId111" Type="http://schemas.openxmlformats.org/officeDocument/2006/relationships/image" Target="media/image213.jpg"/><Relationship Id="rId132" Type="http://schemas.openxmlformats.org/officeDocument/2006/relationships/footer" Target="footer16.xml"/><Relationship Id="rId140" Type="http://schemas.openxmlformats.org/officeDocument/2006/relationships/header" Target="header19.xml"/><Relationship Id="rId145" Type="http://schemas.openxmlformats.org/officeDocument/2006/relationships/footer" Target="footer21.xml"/><Relationship Id="rId153" Type="http://schemas.openxmlformats.org/officeDocument/2006/relationships/header" Target="header24.xml"/><Relationship Id="rId1" Type="http://schemas.openxmlformats.org/officeDocument/2006/relationships/numbering" Target="numbering.xml"/><Relationship Id="rId6" Type="http://schemas.openxmlformats.org/officeDocument/2006/relationships/endnotes" Target="endnotes.xml"/><Relationship Id="rId106" Type="http://schemas.openxmlformats.org/officeDocument/2006/relationships/header" Target="header12.xml"/><Relationship Id="rId114" Type="http://schemas.openxmlformats.org/officeDocument/2006/relationships/image" Target="media/image27.jpg"/><Relationship Id="rId119" Type="http://schemas.openxmlformats.org/officeDocument/2006/relationships/header" Target="header14.xml"/><Relationship Id="rId127" Type="http://schemas.openxmlformats.org/officeDocument/2006/relationships/image" Target="media/image33.jpg"/><Relationship Id="rId65" Type="http://schemas.openxmlformats.org/officeDocument/2006/relationships/header" Target="header1.xml"/><Relationship Id="rId73" Type="http://schemas.openxmlformats.org/officeDocument/2006/relationships/image" Target="media/image6.jpg"/><Relationship Id="rId78" Type="http://schemas.openxmlformats.org/officeDocument/2006/relationships/image" Target="media/image11.jpg"/><Relationship Id="rId81" Type="http://schemas.openxmlformats.org/officeDocument/2006/relationships/header" Target="header5.xml"/><Relationship Id="rId86" Type="http://schemas.openxmlformats.org/officeDocument/2006/relationships/image" Target="media/image13.jpg"/><Relationship Id="rId94" Type="http://schemas.openxmlformats.org/officeDocument/2006/relationships/header" Target="header8.xml"/><Relationship Id="rId99" Type="http://schemas.openxmlformats.org/officeDocument/2006/relationships/image" Target="media/image20.jpg"/><Relationship Id="rId101" Type="http://schemas.openxmlformats.org/officeDocument/2006/relationships/image" Target="media/image22.jpg"/><Relationship Id="rId122" Type="http://schemas.openxmlformats.org/officeDocument/2006/relationships/header" Target="header15.xml"/><Relationship Id="rId130" Type="http://schemas.openxmlformats.org/officeDocument/2006/relationships/header" Target="header16.xml"/><Relationship Id="rId135" Type="http://schemas.openxmlformats.org/officeDocument/2006/relationships/footer" Target="footer18.xml"/><Relationship Id="rId143" Type="http://schemas.openxmlformats.org/officeDocument/2006/relationships/footer" Target="footer20.xml"/><Relationship Id="rId148" Type="http://schemas.openxmlformats.org/officeDocument/2006/relationships/image" Target="media/image42.jpg"/><Relationship Id="rId151" Type="http://schemas.openxmlformats.org/officeDocument/2006/relationships/footer" Target="footer22.xml"/><Relationship Id="rId156" Type="http://schemas.openxmlformats.org/officeDocument/2006/relationships/theme" Target="theme/theme1.xml"/><Relationship Id="rId4" Type="http://schemas.openxmlformats.org/officeDocument/2006/relationships/webSettings" Target="webSettings.xml"/><Relationship Id="rId109" Type="http://schemas.openxmlformats.org/officeDocument/2006/relationships/image" Target="media/image212.jpg"/><Relationship Id="rId76" Type="http://schemas.openxmlformats.org/officeDocument/2006/relationships/image" Target="media/image9.jpg"/><Relationship Id="rId97" Type="http://schemas.openxmlformats.org/officeDocument/2006/relationships/header" Target="header9.xml"/><Relationship Id="rId104" Type="http://schemas.openxmlformats.org/officeDocument/2006/relationships/footer" Target="footer10.xml"/><Relationship Id="rId120" Type="http://schemas.openxmlformats.org/officeDocument/2006/relationships/footer" Target="footer13.xml"/><Relationship Id="rId125" Type="http://schemas.openxmlformats.org/officeDocument/2006/relationships/image" Target="media/image31.jpg"/><Relationship Id="rId141" Type="http://schemas.openxmlformats.org/officeDocument/2006/relationships/header" Target="header20.xml"/><Relationship Id="rId146" Type="http://schemas.openxmlformats.org/officeDocument/2006/relationships/image" Target="media/image40.jpg"/><Relationship Id="rId7" Type="http://schemas.openxmlformats.org/officeDocument/2006/relationships/image" Target="media/image1.jpg"/><Relationship Id="rId71" Type="http://schemas.openxmlformats.org/officeDocument/2006/relationships/image" Target="media/image4.jpg"/><Relationship Id="rId92" Type="http://schemas.openxmlformats.org/officeDocument/2006/relationships/image" Target="media/image19.jpg"/><Relationship Id="rId2" Type="http://schemas.openxmlformats.org/officeDocument/2006/relationships/styles" Target="styles.xml"/><Relationship Id="rId66" Type="http://schemas.openxmlformats.org/officeDocument/2006/relationships/header" Target="header2.xml"/><Relationship Id="rId87" Type="http://schemas.openxmlformats.org/officeDocument/2006/relationships/image" Target="media/image14.jpg"/><Relationship Id="rId110" Type="http://schemas.openxmlformats.org/officeDocument/2006/relationships/image" Target="media/image24.jpg"/><Relationship Id="rId115" Type="http://schemas.openxmlformats.org/officeDocument/2006/relationships/image" Target="media/image214.jpg"/><Relationship Id="rId131" Type="http://schemas.openxmlformats.org/officeDocument/2006/relationships/header" Target="header17.xml"/><Relationship Id="rId136" Type="http://schemas.openxmlformats.org/officeDocument/2006/relationships/image" Target="media/image36.jpg"/><Relationship Id="rId82" Type="http://schemas.openxmlformats.org/officeDocument/2006/relationships/footer" Target="footer4.xml"/><Relationship Id="rId152" Type="http://schemas.openxmlformats.org/officeDocument/2006/relationships/footer" Target="footer23.xml"/><Relationship Id="rId77" Type="http://schemas.openxmlformats.org/officeDocument/2006/relationships/image" Target="media/image10.jpg"/><Relationship Id="rId100" Type="http://schemas.openxmlformats.org/officeDocument/2006/relationships/image" Target="media/image21.jpg"/><Relationship Id="rId105" Type="http://schemas.openxmlformats.org/officeDocument/2006/relationships/footer" Target="footer11.xml"/><Relationship Id="rId126" Type="http://schemas.openxmlformats.org/officeDocument/2006/relationships/image" Target="media/image32.jpg"/><Relationship Id="rId147" Type="http://schemas.openxmlformats.org/officeDocument/2006/relationships/image" Target="media/image41.jpg"/><Relationship Id="rId8" Type="http://schemas.openxmlformats.org/officeDocument/2006/relationships/image" Target="media/image2.jpg"/><Relationship Id="rId72" Type="http://schemas.openxmlformats.org/officeDocument/2006/relationships/image" Target="media/image5.jpg"/><Relationship Id="rId93" Type="http://schemas.openxmlformats.org/officeDocument/2006/relationships/header" Target="header7.xml"/><Relationship Id="rId98" Type="http://schemas.openxmlformats.org/officeDocument/2006/relationships/footer" Target="footer9.xml"/><Relationship Id="rId121" Type="http://schemas.openxmlformats.org/officeDocument/2006/relationships/footer" Target="footer14.xml"/><Relationship Id="rId142" Type="http://schemas.openxmlformats.org/officeDocument/2006/relationships/footer" Target="footer19.xm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6200</Words>
  <Characters>35341</Characters>
  <Application>Microsoft Office Word</Application>
  <DocSecurity>4</DocSecurity>
  <Lines>294</Lines>
  <Paragraphs>82</Paragraphs>
  <ScaleCrop>false</ScaleCrop>
  <Company/>
  <LinksUpToDate>false</LinksUpToDate>
  <CharactersWithSpaces>41459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word</cp:lastModifiedBy>
  <cp:revision>2</cp:revision>
  <dcterms:created xsi:type="dcterms:W3CDTF">2025-05-23T13:54:00Z</dcterms:created>
  <dcterms:modified xsi:type="dcterms:W3CDTF">2025-05-23T13:54:00Z</dcterms:modified>
</cp:coreProperties>
</file>