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480" w:rsidRDefault="00371D77">
      <w:pPr>
        <w:spacing w:after="9" w:line="265" w:lineRule="auto"/>
        <w:ind w:left="-5" w:right="0" w:hanging="10"/>
        <w:jc w:val="left"/>
      </w:pPr>
      <w:bookmarkStart w:id="0" w:name="_GoBack"/>
      <w:bookmarkEnd w:id="0"/>
      <w:r>
        <w:rPr>
          <w:b/>
          <w:sz w:val="32"/>
        </w:rPr>
        <w:t xml:space="preserve">ИСПОЛЬЗОВАНИЕ ОСТЕОМОДИФИЦИРУЮЩИХ </w:t>
      </w:r>
    </w:p>
    <w:p w:rsidR="00142480" w:rsidRDefault="00371D77">
      <w:pPr>
        <w:spacing w:after="9" w:line="265" w:lineRule="auto"/>
        <w:ind w:left="-5" w:right="0" w:hanging="10"/>
        <w:jc w:val="left"/>
      </w:pPr>
      <w:r>
        <w:rPr>
          <w:b/>
          <w:sz w:val="32"/>
        </w:rPr>
        <w:t xml:space="preserve">АГЕНТОВ (ОМА) ДЛЯ ПРОФИЛАКТИКИ </w:t>
      </w:r>
    </w:p>
    <w:p w:rsidR="00142480" w:rsidRDefault="00371D77">
      <w:pPr>
        <w:spacing w:after="9" w:line="265" w:lineRule="auto"/>
        <w:ind w:left="-5" w:right="0" w:hanging="10"/>
        <w:jc w:val="left"/>
      </w:pPr>
      <w:r>
        <w:rPr>
          <w:b/>
          <w:sz w:val="32"/>
        </w:rPr>
        <w:t>И ЛЕЧЕНИЯ ПАТОЛОГИИ КОСТНОЙ ТКАНИ ПРИ ЗЛОКАЧЕСТВЕННЫХ НОВООБРАЗОВАНИЯХ</w:t>
      </w:r>
    </w:p>
    <w:p w:rsidR="00142480" w:rsidRDefault="00371D77">
      <w:pPr>
        <w:spacing w:after="1" w:line="372" w:lineRule="auto"/>
        <w:ind w:left="-5" w:right="0" w:hanging="10"/>
        <w:jc w:val="left"/>
      </w:pPr>
      <w:r>
        <w:rPr>
          <w:b/>
          <w:sz w:val="14"/>
        </w:rPr>
        <w:t xml:space="preserve">Коллектив авторов: </w:t>
      </w:r>
      <w:r>
        <w:rPr>
          <w:sz w:val="14"/>
        </w:rPr>
        <w:t xml:space="preserve">Багрова С. Г., Копп М. В., Кутукова С. И., Манзюк Л. В., Семиглазова Т. Ю. </w:t>
      </w:r>
      <w:r>
        <w:rPr>
          <w:b/>
          <w:sz w:val="14"/>
        </w:rPr>
        <w:t>DOI:</w:t>
      </w:r>
      <w:r>
        <w:rPr>
          <w:sz w:val="14"/>
        </w:rPr>
        <w:t xml:space="preserve">  10.18027 / 2224-5057-2020-10-3s2-38</w:t>
      </w:r>
    </w:p>
    <w:p w:rsidR="00142480" w:rsidRDefault="00371D77">
      <w:pPr>
        <w:spacing w:after="123" w:line="256" w:lineRule="auto"/>
        <w:ind w:left="-5" w:right="0" w:hanging="10"/>
        <w:jc w:val="left"/>
      </w:pPr>
      <w:r>
        <w:rPr>
          <w:b/>
          <w:sz w:val="14"/>
        </w:rPr>
        <w:t>Ключевые слова:</w:t>
      </w:r>
      <w:r>
        <w:rPr>
          <w:sz w:val="14"/>
        </w:rPr>
        <w:t xml:space="preserve"> остеомодифицирующие агенты, метастазы в кости, остеопороз, бисфосфонаты, золедроновая кислота, деносумаб.</w:t>
      </w:r>
    </w:p>
    <w:p w:rsidR="00142480" w:rsidRDefault="00371D77">
      <w:pPr>
        <w:spacing w:after="342"/>
        <w:ind w:left="-15" w:right="27"/>
      </w:pPr>
      <w:r>
        <w:t>К патологии костной ткани у онкологических больных относят потерю костной массы на фоне противоо</w:t>
      </w:r>
      <w:r>
        <w:t>пухолевой лекарственной терапии (остеопороз) и метастазы в костях при распространенном опухолевом процессе.</w:t>
      </w:r>
    </w:p>
    <w:p w:rsidR="00142480" w:rsidRDefault="00371D77">
      <w:pPr>
        <w:pStyle w:val="Heading1"/>
      </w:pPr>
      <w:r>
        <w:t>Метастатическое поражение костей</w:t>
      </w:r>
    </w:p>
    <w:p w:rsidR="00142480" w:rsidRDefault="00371D77">
      <w:pPr>
        <w:ind w:left="-15" w:right="27"/>
      </w:pPr>
      <w:r>
        <w:t xml:space="preserve">Костные метастазы развиваются более чем у 1,5 млн. больных со злокачественными опухолями во всем мире, и около 500 </w:t>
      </w:r>
      <w:r>
        <w:t>тыс. из них погибает ежегодно.</w:t>
      </w:r>
    </w:p>
    <w:p w:rsidR="00142480" w:rsidRDefault="00371D77">
      <w:pPr>
        <w:ind w:left="-15" w:right="27"/>
      </w:pPr>
      <w:r>
        <w:t>Метастазы в кости находятся на третьем месте по частоте встречаемости после метастатического поражения легких и печени. Наиболее часто кости поражаются при таких опухолях, как рак молочной железы (РМЖ) и рак предстательной же</w:t>
      </w:r>
      <w:r>
        <w:t>лезы (РПЖ) — до 75 %, рак легкого — 40 %; костные метастазы также нередки при раках желудочно-кишечного тракта, щитовидной железы, мочевого пузыря, почки, неходжкинских лимфомах и множественной миеломе. Медиана общей выживаемости при наличии костных метаст</w:t>
      </w:r>
      <w:r>
        <w:t>азов составляет около 6 месяцев при меланоме, 7 месяцев при раке легкого, 6–9 месяцев при раке мочевого пузыря, 12 месяцев при почечно-клеточном раке, 12–53 месяцев при раке простаты, 19–25 месяцев при раке молочной железы.</w:t>
      </w:r>
    </w:p>
    <w:p w:rsidR="00142480" w:rsidRDefault="00371D77">
      <w:pPr>
        <w:ind w:left="-15" w:right="27"/>
      </w:pPr>
      <w:r>
        <w:t xml:space="preserve">Поражение костей резко ухудшает </w:t>
      </w:r>
      <w:r>
        <w:t>качество жизни онкологических больных, (их наличие сопровождается болью, ограничением подвижности) и значительно снижает их выживаемость. Кроме того, лечение больных с метастазами в кости требует существенных экономических затрат.</w:t>
      </w:r>
    </w:p>
    <w:p w:rsidR="00142480" w:rsidRDefault="00371D77">
      <w:pPr>
        <w:spacing w:after="68"/>
        <w:ind w:left="284" w:right="27" w:firstLine="0"/>
      </w:pPr>
      <w:r>
        <w:t>Условно выделяют нескольк</w:t>
      </w:r>
      <w:r>
        <w:t>о типов костных метастазов:</w:t>
      </w:r>
    </w:p>
    <w:p w:rsidR="00142480" w:rsidRDefault="00371D77">
      <w:pPr>
        <w:numPr>
          <w:ilvl w:val="0"/>
          <w:numId w:val="1"/>
        </w:numPr>
        <w:ind w:right="27" w:hanging="284"/>
      </w:pPr>
      <w:r>
        <w:t>Остеолитические (преобладают процессы остеолизиса);</w:t>
      </w:r>
    </w:p>
    <w:p w:rsidR="00142480" w:rsidRDefault="00371D77">
      <w:pPr>
        <w:numPr>
          <w:ilvl w:val="0"/>
          <w:numId w:val="1"/>
        </w:numPr>
        <w:spacing w:after="146"/>
        <w:ind w:right="27" w:hanging="284"/>
      </w:pPr>
      <w:r>
        <w:t>Остеобластические (характеризуются склеротическими явлениями);</w:t>
      </w:r>
    </w:p>
    <w:p w:rsidR="00142480" w:rsidRDefault="00371D77">
      <w:pPr>
        <w:spacing w:after="135" w:line="259" w:lineRule="auto"/>
        <w:ind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914400" cy="6350"/>
                <wp:effectExtent l="0" t="0" r="0" b="0"/>
                <wp:docPr id="7580" name="Group 75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6350"/>
                          <a:chOff x="0" y="0"/>
                          <a:chExt cx="914400" cy="6350"/>
                        </a:xfrm>
                      </wpg:grpSpPr>
                      <wps:wsp>
                        <wps:cNvPr id="68" name="Shape 68"/>
                        <wps:cNvSpPr/>
                        <wps:spPr>
                          <a:xfrm>
                            <a:off x="0" y="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580" style="width:72pt;height:0.5pt;mso-position-horizontal-relative:char;mso-position-vertical-relative:line" coordsize="9144,63">
                <v:shape id="Shape 68" style="position:absolute;width:9144;height:0;left:0;top:0;" coordsize="914400,0" path="m0,0l914400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142480" w:rsidRDefault="00371D77">
      <w:pPr>
        <w:spacing w:after="0" w:line="295" w:lineRule="auto"/>
        <w:ind w:firstLine="267"/>
      </w:pPr>
      <w:r>
        <w:rPr>
          <w:b/>
          <w:sz w:val="12"/>
        </w:rPr>
        <w:t xml:space="preserve">Цитирование: </w:t>
      </w:r>
      <w:r>
        <w:rPr>
          <w:i/>
          <w:sz w:val="12"/>
        </w:rPr>
        <w:t>Багрова С. Г., Копп М. В., Кутукова С. И., Манзюк Л. В., Семиглазова Т. Ю. Использование остеомодифицирующих агентов (ОМА) для профилактики и лечения патологии костной ткани при злокачественных новообразованиях. Злокачественные опухоли : Практические реком</w:t>
      </w:r>
      <w:r>
        <w:rPr>
          <w:i/>
          <w:sz w:val="12"/>
        </w:rPr>
        <w:t>ендации RUSSCO #3s2, 2020 (том 10).38</w:t>
      </w:r>
    </w:p>
    <w:p w:rsidR="00142480" w:rsidRDefault="00371D77">
      <w:pPr>
        <w:numPr>
          <w:ilvl w:val="0"/>
          <w:numId w:val="1"/>
        </w:numPr>
        <w:spacing w:after="58"/>
        <w:ind w:right="27" w:hanging="284"/>
      </w:pPr>
      <w:r>
        <w:t>Смешанные (в равной степени присутствуют литические и склеротические явления).</w:t>
      </w:r>
    </w:p>
    <w:p w:rsidR="00142480" w:rsidRDefault="00371D77">
      <w:pPr>
        <w:spacing w:after="405"/>
        <w:ind w:left="-15" w:right="27"/>
      </w:pPr>
      <w:r>
        <w:lastRenderedPageBreak/>
        <w:t>Анализ результатов биопсийного материала показал, что не бывает истинно остеолитических или остеобластических очагов, поскольку процессы ре</w:t>
      </w:r>
      <w:r>
        <w:t>зорбции и восстановления костной ткани идут в обоих типах очагов, но с разной интенсивностью.</w:t>
      </w:r>
    </w:p>
    <w:p w:rsidR="00142480" w:rsidRDefault="00371D77">
      <w:pPr>
        <w:pStyle w:val="Heading2"/>
        <w:ind w:left="-5"/>
      </w:pPr>
      <w:r>
        <w:t>1. ДИАГНОСТИКА МЕТАСТАЗОВ В КОСТИ</w:t>
      </w:r>
    </w:p>
    <w:p w:rsidR="00142480" w:rsidRDefault="00371D77">
      <w:pPr>
        <w:ind w:left="-15" w:right="27"/>
      </w:pPr>
      <w:r>
        <w:t>К диагностическим методам относят остеосцинтиграфию (радиоизотопное сканирование скелета), рентгенографию, рентгеновскую компьют</w:t>
      </w:r>
      <w:r>
        <w:t>ерную томографию (РКТ), позитронно-эмиссионную томографию (ПЭТ) и магнитнорезонансную томографию (МРТ).</w:t>
      </w:r>
    </w:p>
    <w:p w:rsidR="00142480" w:rsidRDefault="00371D77">
      <w:pPr>
        <w:ind w:left="-15" w:right="27"/>
      </w:pPr>
      <w:r>
        <w:rPr>
          <w:b/>
        </w:rPr>
        <w:t>Остеосцинтиграфия</w:t>
      </w:r>
      <w:r>
        <w:t xml:space="preserve"> — рутинный скрининговый метод диагностики метастазов во всем скелете, позволяющий в 59 % случаев обнаружить костные метастазы задолго </w:t>
      </w:r>
      <w:r>
        <w:t xml:space="preserve">до появления изменений на рентгенограммах. Данный инструментальный метод обладает высокой чувствительностью и низкой специфичностью (радиоактивный изотоп технеция — </w:t>
      </w:r>
      <w:r>
        <w:rPr>
          <w:sz w:val="14"/>
          <w:vertAlign w:val="superscript"/>
        </w:rPr>
        <w:t>99 m </w:t>
      </w:r>
      <w:r>
        <w:t>Тс — маркер остеобластической активности и увеличения кровотока). Ложноотрицательные р</w:t>
      </w:r>
      <w:r>
        <w:t xml:space="preserve">езультаты возможны при литических очагах, так как нет субстрата для радиоактивной метки — повышенного притока крови, формирования остеоидов и их повышенной минерализации. Очаги гиперфиксации РФП требуют обязательного подтверждения рентгенографией, МРТ или </w:t>
      </w:r>
      <w:r>
        <w:t>КТ.</w:t>
      </w:r>
    </w:p>
    <w:p w:rsidR="00142480" w:rsidRDefault="00371D77">
      <w:pPr>
        <w:ind w:left="-15" w:right="27"/>
      </w:pPr>
      <w:r>
        <w:rPr>
          <w:b/>
        </w:rPr>
        <w:t xml:space="preserve">Рентгенография </w:t>
      </w:r>
      <w:r>
        <w:t>используется для выявления метастазов в костях (очаги повышенной фиксации радиофармпрепарата при сцинтиграфии) и для оценки эффективности лекарственного лечения. Метод чувствителен при литических и остеобластических очагах. Однако отмече</w:t>
      </w:r>
      <w:r>
        <w:t xml:space="preserve">но, что около 50 % костных метастазов, подтвержденных данными аутопсии, не определялись на рентгенограммах. Причинами ложноотрицательных результатов могут быть: применение данного метода в рентген-негативной фазе; потеря минерального состава костной ткани </w:t>
      </w:r>
      <w:r>
        <w:t>на момент обследования до 30 %; массивное поражение костного мозга.</w:t>
      </w:r>
    </w:p>
    <w:p w:rsidR="00142480" w:rsidRDefault="00371D77">
      <w:pPr>
        <w:ind w:left="-15" w:right="27"/>
      </w:pPr>
      <w:r>
        <w:rPr>
          <w:b/>
        </w:rPr>
        <w:t xml:space="preserve">Рентгеновская компьютерная томография (РКТ) </w:t>
      </w:r>
      <w:r>
        <w:t>— основной метод в уточняющей диагностике костных метастазов. КТ может использоваться для оценки эффективности лекарственного лечения. Недостатк</w:t>
      </w:r>
      <w:r>
        <w:t>ом метода являются лучевая нагрузка на пациента и применение больших доз йодсодержащего контрастного препарата.</w:t>
      </w:r>
    </w:p>
    <w:p w:rsidR="00142480" w:rsidRDefault="00371D77">
      <w:pPr>
        <w:ind w:left="-15" w:right="27"/>
      </w:pPr>
      <w:r>
        <w:rPr>
          <w:b/>
        </w:rPr>
        <w:t>ПЭТ</w:t>
      </w:r>
      <w:r>
        <w:t xml:space="preserve"> с </w:t>
      </w:r>
      <w:r>
        <w:rPr>
          <w:sz w:val="14"/>
          <w:vertAlign w:val="superscript"/>
        </w:rPr>
        <w:t>18 </w:t>
      </w:r>
      <w:r>
        <w:t>F-дезоксиглюкозой также является методом диагностики изменений в скелете при некоторых опухолях (не используется при раке простаты). Де</w:t>
      </w:r>
      <w:r>
        <w:t>тальный анализ ряда сравнительных исследований продемонстрировал некоторое преимущество ПЭТ перед сцинтиграфией при выявлении остеолитических очагов (чувствительность 92 % против 73 %) и меньшую чувствительность при диагностике остеобластических метастазов</w:t>
      </w:r>
      <w:r>
        <w:t xml:space="preserve"> (74 % против 95 %), что объясняется низкой гликолитической активностью большинства очагов. Таким образом, ПЭТ в самостоятельном варианте может рассматриваться в качестве дополнительного метода диагностики остеолитических костных метастазов. Однако, следуе</w:t>
      </w:r>
      <w:r>
        <w:t xml:space="preserve">т отметить, что </w:t>
      </w:r>
      <w:r>
        <w:rPr>
          <w:b/>
        </w:rPr>
        <w:t xml:space="preserve">совмещение ПЭТ с КТ (ПЭТ-КТ) </w:t>
      </w:r>
      <w:r>
        <w:t xml:space="preserve">обеспечивает высокую диагностическую ценность за счет увеличения разрешающей способности (5 мм) и более точной визуализации анатомических структур. При использовании ПЭТ и ПЭТ-КТ с </w:t>
      </w:r>
      <w:r>
        <w:rPr>
          <w:sz w:val="14"/>
          <w:vertAlign w:val="superscript"/>
        </w:rPr>
        <w:t>18 </w:t>
      </w:r>
      <w:r>
        <w:t>F-дезоксиглюкозой в качеств</w:t>
      </w:r>
      <w:r>
        <w:t>е метода оценки эффективности лекарственного лечения вывод о прогрессировании костных метастазов можно делать только при выявлении новых очагов. Изменение активности накопления РФП в ранее имеющихся очагах может говорить об изменении соотношения остеолитич</w:t>
      </w:r>
      <w:r>
        <w:t>еских и остеобластических процессов.</w:t>
      </w:r>
    </w:p>
    <w:p w:rsidR="00142480" w:rsidRDefault="00371D77">
      <w:pPr>
        <w:spacing w:after="405"/>
        <w:ind w:left="-15" w:right="27"/>
      </w:pPr>
      <w:r>
        <w:rPr>
          <w:b/>
        </w:rPr>
        <w:t>МРТ</w:t>
      </w:r>
      <w:r>
        <w:t xml:space="preserve"> — высокочувствительный метод как для диагностики, так и для оценки эффективности лечения костных метастазов. МРТ незаменима в качестве уточняющего метода для рентген-негативных очагов и при минимальных метастазах в </w:t>
      </w:r>
      <w:r>
        <w:t>костях. Ограничения при проведении МРТ: наличие у больного конструкций, содержащих металл (кардиостимуляторы, слуховые протезы и стимуляторы, металлические протезы, искусственные клапаны сердца и др.)</w:t>
      </w:r>
    </w:p>
    <w:p w:rsidR="00142480" w:rsidRDefault="00371D77">
      <w:pPr>
        <w:pStyle w:val="Heading2"/>
        <w:spacing w:after="114"/>
        <w:ind w:left="-5"/>
      </w:pPr>
      <w:r>
        <w:t>2. КЛИНИЧЕСКАЯ КАРТИНА</w:t>
      </w:r>
    </w:p>
    <w:p w:rsidR="00142480" w:rsidRDefault="00371D77">
      <w:pPr>
        <w:pStyle w:val="Heading3"/>
        <w:spacing w:after="43"/>
        <w:ind w:left="-5"/>
      </w:pPr>
      <w:r>
        <w:t>2.1. Симптомы</w:t>
      </w:r>
    </w:p>
    <w:p w:rsidR="00142480" w:rsidRDefault="00371D77">
      <w:pPr>
        <w:spacing w:after="67"/>
        <w:ind w:left="-15" w:right="27"/>
      </w:pPr>
      <w:r>
        <w:t>Метастатическое поражение костей может протекать бессимптомно, однако нередко у больных возникает болевой синдром, и развиваются различные осложнения, так называемые «события, связанные со скелетом» — skeletal related event, к которым относятся:</w:t>
      </w:r>
    </w:p>
    <w:p w:rsidR="00142480" w:rsidRDefault="00371D77">
      <w:pPr>
        <w:numPr>
          <w:ilvl w:val="0"/>
          <w:numId w:val="2"/>
        </w:numPr>
        <w:ind w:right="27" w:hanging="284"/>
      </w:pPr>
      <w:r>
        <w:t xml:space="preserve">Появление </w:t>
      </w:r>
      <w:r>
        <w:t>или усиление болевого синдрома;</w:t>
      </w:r>
    </w:p>
    <w:p w:rsidR="00142480" w:rsidRDefault="00371D77">
      <w:pPr>
        <w:numPr>
          <w:ilvl w:val="0"/>
          <w:numId w:val="2"/>
        </w:numPr>
        <w:ind w:right="27" w:hanging="284"/>
      </w:pPr>
      <w:r>
        <w:t>Патологические переломы, в том числе, компрессионные переломы тел позвонков;</w:t>
      </w:r>
    </w:p>
    <w:p w:rsidR="00142480" w:rsidRDefault="00371D77">
      <w:pPr>
        <w:numPr>
          <w:ilvl w:val="0"/>
          <w:numId w:val="2"/>
        </w:numPr>
        <w:ind w:right="27" w:hanging="284"/>
      </w:pPr>
      <w:r>
        <w:t>Компрессия спинного мозга;</w:t>
      </w:r>
    </w:p>
    <w:p w:rsidR="00142480" w:rsidRDefault="00371D77">
      <w:pPr>
        <w:numPr>
          <w:ilvl w:val="0"/>
          <w:numId w:val="2"/>
        </w:numPr>
        <w:spacing w:after="60"/>
        <w:ind w:right="27" w:hanging="284"/>
      </w:pPr>
      <w:r>
        <w:t>Гиперкальциемия.</w:t>
      </w:r>
    </w:p>
    <w:p w:rsidR="00142480" w:rsidRDefault="00371D77">
      <w:pPr>
        <w:spacing w:after="289"/>
        <w:ind w:left="-15" w:right="27"/>
      </w:pPr>
      <w:r>
        <w:t>Эти осложнения приводят к ухудшению качества жизни больных, препятствуют продолжению специфического противоопухолевого лечения и негативно сказываются на выживаемости. Зачастую возникает необходимость проведения паллиативных оперативных вмешательств или лу</w:t>
      </w:r>
      <w:r>
        <w:t>чевой терапии.</w:t>
      </w:r>
    </w:p>
    <w:p w:rsidR="00142480" w:rsidRDefault="00371D77">
      <w:pPr>
        <w:pStyle w:val="Heading3"/>
        <w:ind w:left="-5"/>
      </w:pPr>
      <w:r>
        <w:t>2.2. Гиперкальциемия</w:t>
      </w:r>
    </w:p>
    <w:p w:rsidR="00142480" w:rsidRDefault="00371D77">
      <w:pPr>
        <w:spacing w:after="67"/>
        <w:ind w:left="-15" w:right="27"/>
      </w:pPr>
      <w:r>
        <w:t>В клинической практике под гиперкальциемией понимают повышение уровня кальция выше верхней границы нормы — 2,6 ммоль / л. Выделяют три степени гиперкальциемии:</w:t>
      </w:r>
    </w:p>
    <w:p w:rsidR="00142480" w:rsidRDefault="00371D77">
      <w:pPr>
        <w:numPr>
          <w:ilvl w:val="0"/>
          <w:numId w:val="3"/>
        </w:numPr>
        <w:ind w:right="27" w:hanging="284"/>
      </w:pPr>
      <w:r>
        <w:t>Легкая степень — уровень кальция 2,6–3,0 ммоль / л,</w:t>
      </w:r>
    </w:p>
    <w:p w:rsidR="00142480" w:rsidRDefault="00371D77">
      <w:pPr>
        <w:numPr>
          <w:ilvl w:val="0"/>
          <w:numId w:val="3"/>
        </w:numPr>
        <w:ind w:right="27" w:hanging="284"/>
      </w:pPr>
      <w:r>
        <w:t xml:space="preserve">Средняя </w:t>
      </w:r>
      <w:r>
        <w:t>степень — уровень кальция 3,0–3,38 ммоль / л,</w:t>
      </w:r>
    </w:p>
    <w:p w:rsidR="00142480" w:rsidRDefault="00371D77">
      <w:pPr>
        <w:numPr>
          <w:ilvl w:val="0"/>
          <w:numId w:val="3"/>
        </w:numPr>
        <w:spacing w:after="60"/>
        <w:ind w:right="27" w:hanging="284"/>
      </w:pPr>
      <w:r>
        <w:t>Высокая степень — уровень кальция выше 3,38 ммоль / л.</w:t>
      </w:r>
    </w:p>
    <w:p w:rsidR="00142480" w:rsidRDefault="00371D77">
      <w:pPr>
        <w:ind w:left="-15" w:right="27"/>
      </w:pPr>
      <w:r>
        <w:t>Гиперкальциемия является смертельно опасным осложнением, встречается чаще при распространенных формах болезни (до 10 %), причем независимо от наличия метас</w:t>
      </w:r>
      <w:r>
        <w:t>тазов в костях. Симптомы гиперкальциемии варьируют в зависимости от уровня кальция в сыворотке крови, начиная от сухости во рту, жажды, полиурии, тошноты, рвоты до почечной недостаточности и нарушения сознания. Электролитные нарушения приводят к прогрессир</w:t>
      </w:r>
      <w:r>
        <w:t>ующей дегидратации, вплоть до комы и сердечного коллапса. Гиперкальциемия при уровне кальция в сыворотке крови выше 3,0–3,2 ммоль / л представляет реальную угрозу жизни пациента и требует немедленного начала интенсивной инфузионной терапии под контролем об</w:t>
      </w:r>
      <w:r>
        <w:t>щего состояния, уровня электролитов в сыворотке крови и диуреза.</w:t>
      </w:r>
    </w:p>
    <w:p w:rsidR="00142480" w:rsidRDefault="00371D77">
      <w:pPr>
        <w:spacing w:after="289"/>
        <w:ind w:left="-15" w:right="27"/>
      </w:pPr>
      <w:r>
        <w:t>Основные принципы лечения гиперкальциемии при злокачественных новообразованиях заключаются в регидратации, которая способствует усилению выведения кальция с мочой, назначения кортикостероидов</w:t>
      </w:r>
      <w:r>
        <w:t xml:space="preserve"> и антирезорбтивной терапии. Используются различные остеомодифицирующие агенты (бисфосфонаты, деносумаб, кальцитонин).</w:t>
      </w:r>
    </w:p>
    <w:p w:rsidR="00142480" w:rsidRDefault="00371D77">
      <w:pPr>
        <w:pStyle w:val="Heading3"/>
        <w:ind w:left="-5"/>
      </w:pPr>
      <w:r>
        <w:t>2.3. Остеопороз</w:t>
      </w:r>
    </w:p>
    <w:p w:rsidR="00142480" w:rsidRDefault="00371D77">
      <w:pPr>
        <w:ind w:left="-15" w:right="27"/>
      </w:pPr>
      <w:r>
        <w:t>Остеопороз — системное прогрессирующее метаболическое заболевание скелета, характеризующееся снижением минеральной плотно</w:t>
      </w:r>
      <w:r>
        <w:t xml:space="preserve">сти костной ткани, нарушением микроархитектоники, повышением хрупкости костей и, как следствие, нарастающим риском переломов. Факторами риска развития остеопороза являются возраст старше 65 лет, малотравматичные переломы в анамнезе, соблюдение диет, прием </w:t>
      </w:r>
      <w:r>
        <w:t>стероидов, курение и др.</w:t>
      </w:r>
    </w:p>
    <w:p w:rsidR="00142480" w:rsidRDefault="00371D77">
      <w:pPr>
        <w:ind w:left="-15" w:right="27"/>
      </w:pPr>
      <w:r>
        <w:t>У онкологических пациентов риск развития остеопороза повышен. Этому способствует противоопухолевая терапия, снижающая уровень половых гормонов, например, гормон-депривационная терапия при РПЖ. У женщин остеопороз развивается вследс</w:t>
      </w:r>
      <w:r>
        <w:t>твие ранней менопаузы, обусловленной овариальной супрессией независимо от способа ее достижения. Длительная гормонотерапия ингибиторами ароматазы (ИА) при РМЖ как в адъювантном режиме, так и при лечении диссеминированного процесса (без наличия метастазов в</w:t>
      </w:r>
      <w:r>
        <w:t xml:space="preserve"> костях) приводит к снижению МПК.</w:t>
      </w:r>
    </w:p>
    <w:p w:rsidR="00142480" w:rsidRDefault="00371D77">
      <w:pPr>
        <w:spacing w:after="0" w:line="270" w:lineRule="auto"/>
        <w:ind w:right="0" w:firstLine="284"/>
        <w:jc w:val="left"/>
      </w:pPr>
      <w:r>
        <w:t>Диагностика остеопороза осуществляется при помощи денситометрии не реже 1 раза в год. Для оценки риска переломов возможно ориентироваться на инструмент FRAX (онлайн-калькулятор), который разработан ВОЗ, он основан на индив</w:t>
      </w:r>
      <w:r>
        <w:t>идуальной для каждого человека модели, включающей клинические факторы риска и минеральную плотность костной ткани (МПК) в шейке бедра.</w:t>
      </w:r>
    </w:p>
    <w:p w:rsidR="00142480" w:rsidRDefault="00371D77">
      <w:pPr>
        <w:ind w:left="-15" w:right="27"/>
      </w:pPr>
      <w:r>
        <w:t>Для профилактики и лечения остеопороза и связанных с ним осложнений также применяются ОМА — бисфосфонаты и деносумаб.</w:t>
      </w:r>
    </w:p>
    <w:p w:rsidR="00142480" w:rsidRDefault="00371D77">
      <w:pPr>
        <w:pStyle w:val="Heading2"/>
        <w:spacing w:after="114"/>
        <w:ind w:left="-5"/>
      </w:pPr>
      <w:r>
        <w:t>3. ЛЕЧЕНИЕ</w:t>
      </w:r>
    </w:p>
    <w:p w:rsidR="00142480" w:rsidRDefault="00371D77">
      <w:pPr>
        <w:pStyle w:val="Heading3"/>
        <w:spacing w:after="43"/>
        <w:ind w:left="-5"/>
      </w:pPr>
      <w:r>
        <w:t>3.1. Остеомодифицирующие агенты</w:t>
      </w:r>
    </w:p>
    <w:p w:rsidR="00142480" w:rsidRDefault="00371D77">
      <w:pPr>
        <w:spacing w:after="229"/>
        <w:ind w:left="-15" w:right="27"/>
      </w:pPr>
      <w:r>
        <w:t>Применение ОМА для лечения больных с костными метастазами является частью мультидисциплинарного подхода наряду со специфическим противоопухолевым лечением (химио- и / или гормональной терапией, лучевой терапией, х</w:t>
      </w:r>
      <w:r>
        <w:t>ирургическими вмешательствами) и обезболиванием.</w:t>
      </w:r>
    </w:p>
    <w:p w:rsidR="00142480" w:rsidRDefault="00371D77">
      <w:pPr>
        <w:pStyle w:val="Heading4"/>
        <w:ind w:left="-5"/>
      </w:pPr>
      <w:r>
        <w:t>3.1.1 Бисфосфонаты</w:t>
      </w:r>
    </w:p>
    <w:p w:rsidR="00142480" w:rsidRDefault="00371D77">
      <w:pPr>
        <w:ind w:left="-15" w:right="27"/>
      </w:pPr>
      <w:r>
        <w:t>Бисфосфонаты — это аналоги эндогенного пирофосфата костного матрикса, в котором атом кислорода замещен на атом углерода, необходимый для связывания гидроксиапатита. Они действуют на уровне</w:t>
      </w:r>
      <w:r>
        <w:t xml:space="preserve"> остеокластов, нарушая их метаболизм, адгезию опухолевых клеток к костному матриксу, подавляя их миграцию, инвазию и ангиогенез, а также активируя естественную гибель остеокластов — апоптоз.</w:t>
      </w:r>
    </w:p>
    <w:p w:rsidR="00142480" w:rsidRDefault="00371D77">
      <w:pPr>
        <w:ind w:left="-15" w:right="27"/>
      </w:pPr>
      <w:r>
        <w:t>Выделяют два основных класса бисфосфонатов: не содержащие азот би</w:t>
      </w:r>
      <w:r>
        <w:t>сфосфонаты (этидроновая кислота, клодроновая кислота) и азотсодержащие бисфосфонаты (алендроновая, ибандроновая, памидроновая, золедроновая кислоты).</w:t>
      </w:r>
    </w:p>
    <w:p w:rsidR="00142480" w:rsidRDefault="00371D77">
      <w:pPr>
        <w:ind w:left="-15" w:right="27"/>
      </w:pPr>
      <w:r>
        <w:t>Существуют бисфосфонаты для в / в введения и для приема внутрь. При костных метастазах рака молочной желез</w:t>
      </w:r>
      <w:r>
        <w:t>ы было доказано преимущество парентеральных препаратов по сравнению с пероральными в снижении риска скелетных осложнений.</w:t>
      </w:r>
    </w:p>
    <w:p w:rsidR="00142480" w:rsidRDefault="00371D77">
      <w:pPr>
        <w:ind w:left="-15" w:right="27"/>
      </w:pPr>
      <w:r>
        <w:t>Максимальной активностью среди бисфосфонатов, по данным непрямого сравнения, обладает золедроновая кислота.</w:t>
      </w:r>
    </w:p>
    <w:p w:rsidR="00142480" w:rsidRDefault="00371D77">
      <w:pPr>
        <w:ind w:left="-15" w:right="27"/>
      </w:pPr>
      <w:r>
        <w:t>К основным побочным явлени</w:t>
      </w:r>
      <w:r>
        <w:t>ям внутривенного введения препаратов относятся острофазовые реакции (гриппоподобный синдром, артралгия или миалгия) и отсроченные осложнения (гипокальциемия, гипофосфатемия). Почечная недостаточность, которая зачастую зависит от дозы и длительности введени</w:t>
      </w:r>
      <w:r>
        <w:t>я препарата, может быть как острой, так и хронической. Одно из серьезных осложнений азотсодержащих бисфосфонатов — остеонекроз челюсти, чаще наблюдается при лечении золедроновой кислотой и зависит от ее кумулятивной дозы. Для пероральных препаратов характе</w:t>
      </w:r>
      <w:r>
        <w:t>рна низкая всасываемость в желудочно-кишечном тракте, диарея, эзофагит, тошнота.</w:t>
      </w:r>
    </w:p>
    <w:p w:rsidR="00142480" w:rsidRDefault="00371D77">
      <w:pPr>
        <w:ind w:left="-15" w:right="27"/>
      </w:pPr>
      <w:r>
        <w:t>Для снижения частоты побочных реакций перед началом использования бисфосфонатов необходимо определять уровни кальция, витамина D и креатинина в сыворотке крови, применять гидр</w:t>
      </w:r>
      <w:r>
        <w:t>атацию (500–1000 мл физиологического раствора) перед введением препарата. Также требуется консультация стоматолога и санация полости рта.</w:t>
      </w:r>
    </w:p>
    <w:p w:rsidR="00142480" w:rsidRDefault="00371D77">
      <w:pPr>
        <w:ind w:left="-15" w:right="27"/>
      </w:pPr>
      <w:r>
        <w:t>В настоящее время бисфосфонаты входят в стандарт лечения метастазов в кости, остеопороза, гиперкальциемии при различны</w:t>
      </w:r>
      <w:r>
        <w:t>х злокачественных опухолях.</w:t>
      </w:r>
    </w:p>
    <w:p w:rsidR="00142480" w:rsidRDefault="00371D77">
      <w:pPr>
        <w:spacing w:after="68"/>
        <w:ind w:left="284" w:right="27" w:firstLine="0"/>
      </w:pPr>
      <w:r>
        <w:t>Показания для назначения бисфосфонатов:</w:t>
      </w:r>
    </w:p>
    <w:p w:rsidR="00142480" w:rsidRDefault="00371D77">
      <w:pPr>
        <w:numPr>
          <w:ilvl w:val="0"/>
          <w:numId w:val="4"/>
        </w:numPr>
        <w:ind w:right="27" w:hanging="284"/>
      </w:pPr>
      <w:r>
        <w:t>Остеолитические, смешанные метастазы в костях;</w:t>
      </w:r>
    </w:p>
    <w:p w:rsidR="00142480" w:rsidRDefault="00371D77">
      <w:pPr>
        <w:numPr>
          <w:ilvl w:val="0"/>
          <w:numId w:val="4"/>
        </w:numPr>
        <w:ind w:right="27" w:hanging="284"/>
      </w:pPr>
      <w:r>
        <w:t>Множественная миелома.</w:t>
      </w:r>
    </w:p>
    <w:p w:rsidR="00142480" w:rsidRDefault="00371D77">
      <w:pPr>
        <w:numPr>
          <w:ilvl w:val="0"/>
          <w:numId w:val="4"/>
        </w:numPr>
        <w:ind w:right="27" w:hanging="284"/>
      </w:pPr>
      <w:r>
        <w:t>Гиперкальциемия</w:t>
      </w:r>
    </w:p>
    <w:p w:rsidR="00142480" w:rsidRDefault="00371D77">
      <w:pPr>
        <w:numPr>
          <w:ilvl w:val="0"/>
          <w:numId w:val="4"/>
        </w:numPr>
        <w:spacing w:after="58"/>
        <w:ind w:right="27" w:hanging="284"/>
      </w:pPr>
      <w:r>
        <w:t>Профилатика и лечение остеопороза, в том числе у больных, получающих терапию ингибиторами ароматазы;</w:t>
      </w:r>
    </w:p>
    <w:p w:rsidR="00142480" w:rsidRDefault="00371D77">
      <w:pPr>
        <w:spacing w:after="68"/>
        <w:ind w:left="284" w:right="27" w:firstLine="0"/>
      </w:pPr>
      <w:r>
        <w:t>П</w:t>
      </w:r>
      <w:r>
        <w:t>ротивопоказания (общие для бисфосфонатов)</w:t>
      </w:r>
    </w:p>
    <w:p w:rsidR="00142480" w:rsidRDefault="00371D77">
      <w:pPr>
        <w:numPr>
          <w:ilvl w:val="0"/>
          <w:numId w:val="4"/>
        </w:numPr>
        <w:ind w:right="27" w:hanging="284"/>
      </w:pPr>
      <w:r>
        <w:t>Повышенная чувствительность к препарату;</w:t>
      </w:r>
    </w:p>
    <w:p w:rsidR="00142480" w:rsidRDefault="00371D77">
      <w:pPr>
        <w:numPr>
          <w:ilvl w:val="0"/>
          <w:numId w:val="4"/>
        </w:numPr>
        <w:ind w:right="27" w:hanging="284"/>
      </w:pPr>
      <w:r>
        <w:t>Одновременный прием других ОМА (бисфосфонатов, деносумаба);</w:t>
      </w:r>
    </w:p>
    <w:p w:rsidR="00142480" w:rsidRDefault="00371D77">
      <w:pPr>
        <w:numPr>
          <w:ilvl w:val="0"/>
          <w:numId w:val="4"/>
        </w:numPr>
        <w:ind w:right="27" w:hanging="284"/>
      </w:pPr>
      <w:r>
        <w:t>Выраженное нарушение функций почек  (клиренс креатинина 30 мкмоль / л и менее);</w:t>
      </w:r>
    </w:p>
    <w:p w:rsidR="00142480" w:rsidRDefault="00371D77">
      <w:pPr>
        <w:numPr>
          <w:ilvl w:val="0"/>
          <w:numId w:val="4"/>
        </w:numPr>
        <w:spacing w:after="60"/>
        <w:ind w:right="27" w:hanging="284"/>
      </w:pPr>
      <w:r>
        <w:t>Беременность, кормление грудью.</w:t>
      </w:r>
    </w:p>
    <w:p w:rsidR="00142480" w:rsidRDefault="00371D77">
      <w:pPr>
        <w:ind w:left="-15" w:right="27"/>
      </w:pPr>
      <w:r>
        <w:t>Клодроновая кислота выпускается в капсулах по 400 мг, таблетках по 400 мг и 800 мг и ампулах по 5 мл (300 мг). При метастазах в кости стандартная суточная доза составляет 1600 мг, которую следует принимать однократно утром натощак. Необходим адекватный при</w:t>
      </w:r>
      <w:r>
        <w:t>ем жидкости (250 мл). Препарат принимается от нескольких месяцев до нескольких лет (два года и более). Дозировка определяется индивидуально, использовать суточную дозу свыше 3200 мг не рекомендуется, дозу делят на два приема. При гиперкальциемии препарат в</w:t>
      </w:r>
      <w:r>
        <w:t>водят по 300 мг в / в капельно в течение 2 ч ежедневно (не более 7 дней подряд) или по 1500 мг в / в капельно в течение 4 ч.</w:t>
      </w:r>
    </w:p>
    <w:p w:rsidR="00142480" w:rsidRDefault="00371D77">
      <w:pPr>
        <w:ind w:left="-15" w:right="27"/>
      </w:pPr>
      <w:r>
        <w:t>Ибандроновая кислота — это азотсодержащий бисфосфонат, выпускается в таблетках по 50 мг и 150 мг, а также во флаконах по 2 мл (2 мг</w:t>
      </w:r>
      <w:r>
        <w:t>) и 6 мл (6 мг). Применяется в / в капельно или внутрь. Ибандроновую кислоту в виде концентрата для приготовления раствора для инфузий обычно применяют в условиях стационара и вводят в / в капельно в течение 1–2 ч после предварительного разведения в 500 мл</w:t>
      </w:r>
      <w:r>
        <w:t xml:space="preserve"> 0,9 % раствора натрия хлорида или 5 % раствора декстрозы.</w:t>
      </w:r>
    </w:p>
    <w:p w:rsidR="00142480" w:rsidRDefault="00371D77">
      <w:pPr>
        <w:ind w:left="-15" w:right="27"/>
      </w:pPr>
      <w:r>
        <w:t>При метастатическом поражении костей применяют 6 мг ибандроновой кислоты в / в капельно в течение не менее 15 мин один раз в 3–4 нед. При приеме ибандроновой кислоты внутрь рекомендуемая доза — 50 </w:t>
      </w:r>
      <w:r>
        <w:t>мг один раз в сутки. Препарат принимают натощак за 30 мин. до еды. Таблетки следует проглатывать целиком, запивая стаканом (180–240 мл) чистой воды в положении сидя или стоя; рекомендуется не ложиться в течение 60 мин после приема ибандроновой кислоты.</w:t>
      </w:r>
    </w:p>
    <w:p w:rsidR="00142480" w:rsidRDefault="00371D77">
      <w:pPr>
        <w:ind w:left="-15" w:right="27"/>
      </w:pPr>
      <w:r>
        <w:t>При</w:t>
      </w:r>
      <w:r>
        <w:t xml:space="preserve"> гиперкальциемии при злокачественных новообразованиях ибандроновую кислоту применяют только в виде 1–2-часовых внутривенных инфузий. Лечение начинают с адекватной гидратации 0,9 % раствором натрия хлорида. Доза препарата зависит от степени тяжести гиперкал</w:t>
      </w:r>
      <w:r>
        <w:t>ьциемии. При тяжелой гиперкальциемии (≥ 3 ммоль / л) однократно вводят 4 мг ибандроновой кислоты. Больным с умеренной гиперкальциемией (&lt; 3 ммоль / л) — 2 мг.</w:t>
      </w:r>
    </w:p>
    <w:p w:rsidR="00142480" w:rsidRDefault="00371D77">
      <w:pPr>
        <w:ind w:left="-15" w:right="27"/>
      </w:pPr>
      <w:r>
        <w:t>С целью лечения остеопороза ибандронат применяют в дозе 150 мг 1 раз в месяц. Таблетку проглатыва</w:t>
      </w:r>
      <w:r>
        <w:t>ют целиком, запивая стаканом (180–240 мл) чистой воды в положении сидя или стоя, не следует ложиться в течение 60 мин после приема.</w:t>
      </w:r>
    </w:p>
    <w:p w:rsidR="00142480" w:rsidRDefault="00371D77">
      <w:pPr>
        <w:ind w:left="-15" w:right="27"/>
      </w:pPr>
      <w:r>
        <w:t>Памидроновая кислота выпускается во флаконах по 5 и 10 мл, в 1 мл — 9 мг. Препарат вводят только внутривенно капельно, медле</w:t>
      </w:r>
      <w:r>
        <w:t>нно. Длительность инфузии — около 2 ч.</w:t>
      </w:r>
    </w:p>
    <w:p w:rsidR="00142480" w:rsidRDefault="00371D77">
      <w:pPr>
        <w:ind w:left="-15" w:right="27"/>
      </w:pPr>
      <w:r>
        <w:t>При метастазах злокачественных опухолей в кости (преимущественно остеолитического характера) и миеломной болезни препарат вводят по 90 мг каждые 4 нед. Для приготовления инфузионного раствора сухое вещество предварите</w:t>
      </w:r>
      <w:r>
        <w:t>льно растворяют в воде для инъекций (30 мг — в 10 мл), затем разбавляют 0,9 % раствором натрия хлорида или 5 % раствором декстрозы в 1000 мл для лечения гиперкальциемии, в 500 мл — в остальных случаях. Для разведения нельзя применять растворы, содержащие к</w:t>
      </w:r>
      <w:r>
        <w:t>альций. При назначении пациентам с выраженными нарушениями функций почек скорость инфузии не должна превышать 20 мг / ч.</w:t>
      </w:r>
    </w:p>
    <w:p w:rsidR="00142480" w:rsidRDefault="00371D77">
      <w:pPr>
        <w:ind w:left="-15" w:right="27"/>
      </w:pPr>
      <w:r>
        <w:t>Золедроновая кислота выпускается в виде концентрата для приготовления раствора для инфузий 4 мг / 5 мл. Применяется только внутривенно.</w:t>
      </w:r>
      <w:r>
        <w:t xml:space="preserve"> Рекомендуемая доза золедроновой кислоты — 4 мг. Содержимое флакона разводят в 100 мл не содержащего кальций раствора для инфузий (0,9 % раствор натрия хлорида или 5 % раствор декстрозы. Препарат вводят внутривенно капельно; длительность инфузии составляет</w:t>
      </w:r>
      <w:r>
        <w:t xml:space="preserve"> не менее 15 мин. Кратность назначения — каждые 4 нед. После 9–12 месяцев ежемесячного применения золедроновой кислоты в дозе 4 мг возможно дальнейшее назначение 1 раз в 3 месяца в прежней дозе 4 мг.</w:t>
      </w:r>
    </w:p>
    <w:p w:rsidR="00142480" w:rsidRDefault="00371D77">
      <w:pPr>
        <w:ind w:left="-15" w:right="27"/>
      </w:pPr>
      <w:r>
        <w:t>При лечении гиперкальциемии, обусловленной злокачественн</w:t>
      </w:r>
      <w:r>
        <w:t>ыми опухолями, рекомендуемая доза золедроновой кислоты также составляет 4 мг в виде однократной внутривенной инфузии в течение не менее 15 мин.</w:t>
      </w:r>
    </w:p>
    <w:p w:rsidR="00142480" w:rsidRDefault="00371D77">
      <w:pPr>
        <w:spacing w:after="189"/>
        <w:ind w:left="-15" w:right="27"/>
      </w:pPr>
      <w:r>
        <w:t>С целью лечения и профилактики остеопороза золедроновая кислота назначается в дозе 4 мг в / в капельно 1 раз в 6</w:t>
      </w:r>
      <w:r>
        <w:t xml:space="preserve"> месяцев. Из особых указаний: в процессе лечения требуется контроль биохимических показателей (кальция, фосфатов, магния). При повторном назначении золедроновой кислоты перед каждым введением следует определять концентрацию креатинина в сыворотке. Пациента</w:t>
      </w:r>
      <w:r>
        <w:t>м с незначительными или умеренными нарушениями функций почек требуется корректировка дозы (табл. 1), адекватная гидратация, с выраженными — перевод на терапию деносумабом.</w:t>
      </w:r>
    </w:p>
    <w:p w:rsidR="00142480" w:rsidRDefault="00371D77">
      <w:pPr>
        <w:spacing w:after="1" w:line="256" w:lineRule="auto"/>
        <w:ind w:left="-5" w:right="2585" w:hanging="10"/>
        <w:jc w:val="left"/>
      </w:pPr>
      <w:r>
        <w:rPr>
          <w:b/>
          <w:sz w:val="14"/>
        </w:rPr>
        <w:t>Таблица 1.</w:t>
      </w:r>
      <w:r>
        <w:rPr>
          <w:sz w:val="14"/>
        </w:rPr>
        <w:t xml:space="preserve"> Корректировка дозы золедроновой кислоты  в зависимости от клиренса креатинина</w:t>
      </w:r>
    </w:p>
    <w:tbl>
      <w:tblPr>
        <w:tblStyle w:val="TableGrid"/>
        <w:tblW w:w="6548" w:type="dxa"/>
        <w:tblInd w:w="5" w:type="dxa"/>
        <w:tblCellMar>
          <w:top w:w="79" w:type="dxa"/>
          <w:left w:w="8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74"/>
        <w:gridCol w:w="3274"/>
      </w:tblGrid>
      <w:tr w:rsidR="00142480">
        <w:trPr>
          <w:trHeight w:val="251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Исходное значение клиренса креатинина, мл / мин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Рекомендуемая доза золедроновой кислоты</w:t>
            </w:r>
          </w:p>
        </w:tc>
      </w:tr>
      <w:tr w:rsidR="00142480">
        <w:trPr>
          <w:trHeight w:val="251"/>
        </w:trPr>
        <w:tc>
          <w:tcPr>
            <w:tcW w:w="32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&gt; 60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4 мг (5 мл концентрата)</w:t>
            </w:r>
          </w:p>
        </w:tc>
      </w:tr>
      <w:tr w:rsidR="00142480">
        <w:trPr>
          <w:trHeight w:val="251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50–60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3,5 мг (4,4 мл концентрата)</w:t>
            </w:r>
          </w:p>
        </w:tc>
      </w:tr>
      <w:tr w:rsidR="00142480">
        <w:trPr>
          <w:trHeight w:val="251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40–49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3,3 мг (4,1 мл концентрата)</w:t>
            </w:r>
          </w:p>
        </w:tc>
      </w:tr>
      <w:tr w:rsidR="00142480">
        <w:trPr>
          <w:trHeight w:val="251"/>
        </w:trPr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30–39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 xml:space="preserve">3,0 мг (3,8 мл концентрата) </w:t>
            </w:r>
          </w:p>
        </w:tc>
      </w:tr>
    </w:tbl>
    <w:p w:rsidR="00142480" w:rsidRDefault="00371D77">
      <w:pPr>
        <w:pStyle w:val="Heading4"/>
        <w:ind w:left="-5"/>
      </w:pPr>
      <w:r>
        <w:t>3.1.2. Моноклональные антитела (деносумаб)</w:t>
      </w:r>
    </w:p>
    <w:p w:rsidR="00142480" w:rsidRDefault="00371D77">
      <w:pPr>
        <w:ind w:left="-15" w:right="27"/>
      </w:pPr>
      <w:r>
        <w:t xml:space="preserve">Деносумаб —таргетный препарат, представляющий собой полностью человеческое моноклональное антитело, обладающее высокой аффинностью и специфичностью </w:t>
      </w:r>
      <w:r>
        <w:t>к человеческому RANK-лиганду — основному медиатору процесса костной деструкции. Деносумаб является аналогом естественного белка остеопротегерина, который участвует в подавлении процесса созревания, функционирования и выживания остеокластов, тормозя тем сам</w:t>
      </w:r>
      <w:r>
        <w:t xml:space="preserve">ым процесс резорбции кости. Деносумаб «работает» во внеклеточном пространстве и не включается в костный матрикс, как бисфосфонаты, поэтому отмена терапии ведет к быстрому прекращению антирезорбтивного действия. Для деносумаба характерны быстрая абсорбция, </w:t>
      </w:r>
      <w:r>
        <w:t>отсутствие нейтрализующих антител к препарату. Период полувыведении составляет 30–46 дней. Деносумаб достоверно снижает риск развития костных осложнений (SRE) на 17 % по сравнению с золедроновой кислотой при всех типах опухолей, значимо уменьшает болевой с</w:t>
      </w:r>
      <w:r>
        <w:t>индром. Также является препаратом патогенетической терапии при лечении гигантоклеточной опухоли кости (остеокластобластоме) у взрослых и подростков со сформировавшимся скелетом.</w:t>
      </w:r>
    </w:p>
    <w:p w:rsidR="00142480" w:rsidRDefault="00371D77">
      <w:pPr>
        <w:spacing w:after="67"/>
        <w:ind w:left="-15" w:right="27"/>
      </w:pPr>
      <w:r>
        <w:t>Препарат применяется подкожно в область бедра, плеча или живота. Существуют дв</w:t>
      </w:r>
      <w:r>
        <w:t>е лекарственные формы и два дозовых режима применения препарата:</w:t>
      </w:r>
    </w:p>
    <w:p w:rsidR="00142480" w:rsidRDefault="00371D77">
      <w:pPr>
        <w:numPr>
          <w:ilvl w:val="0"/>
          <w:numId w:val="5"/>
        </w:numPr>
        <w:ind w:right="27" w:hanging="284"/>
      </w:pPr>
      <w:r>
        <w:t>При метастазах в костях: 120 мг 1 раз в 4 нед.</w:t>
      </w:r>
    </w:p>
    <w:p w:rsidR="00142480" w:rsidRDefault="00371D77">
      <w:pPr>
        <w:numPr>
          <w:ilvl w:val="0"/>
          <w:numId w:val="5"/>
        </w:numPr>
        <w:ind w:right="27" w:hanging="284"/>
      </w:pPr>
      <w:r>
        <w:t>С целью профилактики и лечения остеопороза: 60 мг подкожно 1 раз 6 месяцев.</w:t>
      </w:r>
    </w:p>
    <w:p w:rsidR="00142480" w:rsidRDefault="00371D77">
      <w:pPr>
        <w:numPr>
          <w:ilvl w:val="0"/>
          <w:numId w:val="5"/>
        </w:numPr>
        <w:spacing w:after="58"/>
        <w:ind w:right="27" w:hanging="284"/>
      </w:pPr>
      <w:r>
        <w:t>Для лечения гигантоклеточной опухоли: 120 мг 1 раз в 4 нед. с дополнительным введением 120 мг в 8 и 15 дни первого месяца терапии.</w:t>
      </w:r>
    </w:p>
    <w:p w:rsidR="00142480" w:rsidRDefault="00371D77">
      <w:pPr>
        <w:ind w:left="-15" w:right="27"/>
      </w:pPr>
      <w:r>
        <w:t>Противопоказаниями к использованию деносумаба являются повышенная чувствительность к препарату, тяжелая нелеченная гипокальци</w:t>
      </w:r>
      <w:r>
        <w:t>емия, беременность и кормление грудью.</w:t>
      </w:r>
    </w:p>
    <w:p w:rsidR="00142480" w:rsidRDefault="00371D77">
      <w:pPr>
        <w:ind w:left="-15" w:right="27"/>
      </w:pPr>
      <w:r>
        <w:t>У пациентов с почечной недостаточностью не требуется коррекции режима дозирования препарата. Пациенты с тяжелой почечной недостаточностью (клиренс креатинина менее 30 мл / мин) или находящиеся на диализе подвержены бо</w:t>
      </w:r>
      <w:r>
        <w:t>льшему риску развития гипокальциемии, необходим мониторинг концентрации кальция перед каждым введением.</w:t>
      </w:r>
    </w:p>
    <w:p w:rsidR="00142480" w:rsidRDefault="00371D77">
      <w:pPr>
        <w:spacing w:after="68"/>
        <w:ind w:left="284" w:right="27" w:firstLine="0"/>
      </w:pPr>
      <w:r>
        <w:t>Деносумаб в первую очередь следует назначать следующим пациентам:</w:t>
      </w:r>
    </w:p>
    <w:p w:rsidR="00142480" w:rsidRDefault="00371D77">
      <w:pPr>
        <w:numPr>
          <w:ilvl w:val="0"/>
          <w:numId w:val="5"/>
        </w:numPr>
        <w:ind w:right="27" w:hanging="284"/>
      </w:pPr>
      <w:r>
        <w:t>с нарушением функции почек по клиренсу креатинина;</w:t>
      </w:r>
    </w:p>
    <w:p w:rsidR="00142480" w:rsidRDefault="00371D77">
      <w:pPr>
        <w:numPr>
          <w:ilvl w:val="0"/>
          <w:numId w:val="5"/>
        </w:numPr>
        <w:ind w:right="27" w:hanging="284"/>
      </w:pPr>
      <w:r>
        <w:t>с наличием болевого синдрома;</w:t>
      </w:r>
    </w:p>
    <w:p w:rsidR="00142480" w:rsidRDefault="00371D77">
      <w:pPr>
        <w:numPr>
          <w:ilvl w:val="0"/>
          <w:numId w:val="5"/>
        </w:numPr>
        <w:ind w:right="27" w:hanging="284"/>
      </w:pPr>
      <w:r>
        <w:t>с мно</w:t>
      </w:r>
      <w:r>
        <w:t>жественными метастазами (&gt; 2) солидных опухолей;</w:t>
      </w:r>
    </w:p>
    <w:p w:rsidR="00142480" w:rsidRDefault="00371D77">
      <w:pPr>
        <w:numPr>
          <w:ilvl w:val="0"/>
          <w:numId w:val="5"/>
        </w:numPr>
        <w:ind w:right="27" w:hanging="284"/>
      </w:pPr>
      <w:r>
        <w:t>с преимущественным поражением осевого скелета (позвоночник, кости таза);</w:t>
      </w:r>
    </w:p>
    <w:p w:rsidR="00142480" w:rsidRDefault="00371D77">
      <w:pPr>
        <w:numPr>
          <w:ilvl w:val="0"/>
          <w:numId w:val="5"/>
        </w:numPr>
        <w:ind w:right="27" w:hanging="284"/>
      </w:pPr>
      <w:r>
        <w:t>с существующей угрозой патологического перелома;</w:t>
      </w:r>
    </w:p>
    <w:p w:rsidR="00142480" w:rsidRDefault="00371D77">
      <w:pPr>
        <w:numPr>
          <w:ilvl w:val="0"/>
          <w:numId w:val="5"/>
        </w:numPr>
        <w:spacing w:after="60"/>
        <w:ind w:right="27" w:hanging="284"/>
      </w:pPr>
      <w:r>
        <w:t>при отсутствии адекватного венозного доступа.</w:t>
      </w:r>
    </w:p>
    <w:p w:rsidR="00142480" w:rsidRDefault="00371D77">
      <w:pPr>
        <w:ind w:left="-15" w:right="27"/>
      </w:pPr>
      <w:r>
        <w:t>Смена терапии бисфосфонатами на терапию</w:t>
      </w:r>
      <w:r>
        <w:t xml:space="preserve"> деносумабом целесообразна в следующих клинических ситуациях:</w:t>
      </w:r>
    </w:p>
    <w:p w:rsidR="00142480" w:rsidRDefault="00371D77">
      <w:pPr>
        <w:numPr>
          <w:ilvl w:val="0"/>
          <w:numId w:val="5"/>
        </w:numPr>
        <w:ind w:right="27" w:hanging="284"/>
      </w:pPr>
      <w:r>
        <w:t>Невозможность продолжения терапии бисфосфонатами из-за нарушения функции почек;</w:t>
      </w:r>
    </w:p>
    <w:p w:rsidR="00142480" w:rsidRDefault="00371D77">
      <w:pPr>
        <w:numPr>
          <w:ilvl w:val="0"/>
          <w:numId w:val="5"/>
        </w:numPr>
        <w:ind w:right="27" w:hanging="284"/>
      </w:pPr>
      <w:r>
        <w:t>Неэффективность терапии бисфосфонатами (возникновение новых множественных костных осложнений, усугубление болевого</w:t>
      </w:r>
      <w:r>
        <w:t xml:space="preserve"> синдрома и пр);</w:t>
      </w:r>
    </w:p>
    <w:p w:rsidR="00142480" w:rsidRDefault="00371D77">
      <w:pPr>
        <w:numPr>
          <w:ilvl w:val="0"/>
          <w:numId w:val="5"/>
        </w:numPr>
        <w:spacing w:after="290"/>
        <w:ind w:right="27" w:hanging="284"/>
      </w:pPr>
      <w:r>
        <w:t>Невозможность внутривенных инфузий.</w:t>
      </w:r>
    </w:p>
    <w:p w:rsidR="00142480" w:rsidRDefault="00371D77">
      <w:pPr>
        <w:pStyle w:val="Heading3"/>
        <w:ind w:left="-5"/>
      </w:pPr>
      <w:r>
        <w:t>3.2. Основные принципы применения ОМА</w:t>
      </w:r>
    </w:p>
    <w:p w:rsidR="00142480" w:rsidRDefault="00371D77">
      <w:pPr>
        <w:numPr>
          <w:ilvl w:val="0"/>
          <w:numId w:val="6"/>
        </w:numPr>
        <w:ind w:right="27" w:hanging="284"/>
      </w:pPr>
      <w:r>
        <w:t>Для назначения ОМА необходимо рентгенологическое подтверждение наличия метастазов в костях. Полагаться только лишь на данные сцинтиграфии не рекомендуется;</w:t>
      </w:r>
    </w:p>
    <w:p w:rsidR="00142480" w:rsidRDefault="00371D77">
      <w:pPr>
        <w:numPr>
          <w:ilvl w:val="0"/>
          <w:numId w:val="6"/>
        </w:numPr>
        <w:ind w:right="27" w:hanging="284"/>
      </w:pPr>
      <w:r>
        <w:t>При испол</w:t>
      </w:r>
      <w:r>
        <w:t>ьзовании любого из ОМА необходимо обеспечить ежедневный прием кальция 1200–1500 мг внутрь + витамин D 400–800 Ед;</w:t>
      </w:r>
    </w:p>
    <w:p w:rsidR="00142480" w:rsidRDefault="00371D77">
      <w:pPr>
        <w:numPr>
          <w:ilvl w:val="0"/>
          <w:numId w:val="6"/>
        </w:numPr>
        <w:ind w:right="27" w:hanging="284"/>
      </w:pPr>
      <w:r>
        <w:t>Применение ОМА с целью купирования болевого синдрома должно начинаться как можно раньше и может сочетаться с одновременным использованием лучевой терапии, нестероидных противовоспалительных препаратов, опиоидных и неопиоидных анальгетиков, кортикостероидов</w:t>
      </w:r>
      <w:r>
        <w:t>;</w:t>
      </w:r>
    </w:p>
    <w:p w:rsidR="00142480" w:rsidRDefault="00371D77">
      <w:pPr>
        <w:numPr>
          <w:ilvl w:val="0"/>
          <w:numId w:val="6"/>
        </w:numPr>
        <w:ind w:right="27" w:hanging="284"/>
      </w:pPr>
      <w:r>
        <w:t>Биохимические маркеры костного метаболизма не используются в повседневной клинической практике для мониторинга эффективности лечения;</w:t>
      </w:r>
    </w:p>
    <w:p w:rsidR="00142480" w:rsidRDefault="00371D77">
      <w:pPr>
        <w:numPr>
          <w:ilvl w:val="0"/>
          <w:numId w:val="6"/>
        </w:numPr>
        <w:ind w:right="27" w:hanging="284"/>
      </w:pPr>
      <w:r>
        <w:t>Оптимальная продолжительность лечения ОМА на сегодняшний день окончательно не определена. Считается, что оно должно прод</w:t>
      </w:r>
      <w:r>
        <w:t>олжаться до появления клинически значимых осложнений или существенного ухудшения состояния вследствие прогрессирования болезни. Прогрессирование метастатического процесса в костях не является показанием к отмене остеомодифицирующих агентов;</w:t>
      </w:r>
    </w:p>
    <w:p w:rsidR="00142480" w:rsidRDefault="00371D77">
      <w:pPr>
        <w:numPr>
          <w:ilvl w:val="0"/>
          <w:numId w:val="6"/>
        </w:numPr>
        <w:ind w:right="27" w:hanging="284"/>
      </w:pPr>
      <w:r>
        <w:t>Последние публи</w:t>
      </w:r>
      <w:r>
        <w:t>кации свидетельствуют о том, что введение золедроновой кислоты на втором году терапии раз в 3 месяца равноэффективно ежемесячному.</w:t>
      </w:r>
    </w:p>
    <w:p w:rsidR="00142480" w:rsidRDefault="00371D77">
      <w:pPr>
        <w:numPr>
          <w:ilvl w:val="0"/>
          <w:numId w:val="6"/>
        </w:numPr>
        <w:spacing w:after="58"/>
        <w:ind w:right="27" w:hanging="284"/>
      </w:pPr>
      <w:r>
        <w:t>В связи с возможностью развития остеонекроза челюсти на фоне приема остеомодифицирующих агентов (частота данного осложнения н</w:t>
      </w:r>
      <w:r>
        <w:t>е превышает 1–2 %) перед началом лечения рекомендуется профилактический осмотр у стоматолога, санация полости рта.</w:t>
      </w:r>
    </w:p>
    <w:p w:rsidR="00142480" w:rsidRDefault="00371D77">
      <w:pPr>
        <w:spacing w:after="190"/>
        <w:ind w:left="284" w:right="27" w:firstLine="0"/>
      </w:pPr>
      <w:r>
        <w:t>Основные режимы применения ОМА представлены в табл. 2.</w:t>
      </w:r>
    </w:p>
    <w:p w:rsidR="00142480" w:rsidRDefault="00371D77">
      <w:pPr>
        <w:spacing w:after="1" w:line="256" w:lineRule="auto"/>
        <w:ind w:left="-5" w:right="0" w:hanging="10"/>
        <w:jc w:val="left"/>
      </w:pPr>
      <w:r>
        <w:rPr>
          <w:b/>
          <w:sz w:val="14"/>
        </w:rPr>
        <w:t>Таблица 2.</w:t>
      </w:r>
      <w:r>
        <w:rPr>
          <w:sz w:val="14"/>
        </w:rPr>
        <w:t xml:space="preserve"> Основные режимы применения ОМА при метастатическом поражении костей.</w:t>
      </w:r>
    </w:p>
    <w:tbl>
      <w:tblPr>
        <w:tblStyle w:val="TableGrid"/>
        <w:tblW w:w="6549" w:type="dxa"/>
        <w:tblInd w:w="5" w:type="dxa"/>
        <w:tblCellMar>
          <w:top w:w="79" w:type="dxa"/>
          <w:left w:w="8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387"/>
        <w:gridCol w:w="4162"/>
      </w:tblGrid>
      <w:tr w:rsidR="00142480">
        <w:trPr>
          <w:trHeight w:val="251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Препар</w:t>
            </w:r>
            <w:r>
              <w:rPr>
                <w:sz w:val="12"/>
              </w:rPr>
              <w:t>ат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Доза и режим введения</w:t>
            </w:r>
          </w:p>
        </w:tc>
      </w:tr>
      <w:tr w:rsidR="00142480">
        <w:trPr>
          <w:trHeight w:val="251"/>
        </w:trPr>
        <w:tc>
          <w:tcPr>
            <w:tcW w:w="238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Деносумаб</w:t>
            </w:r>
          </w:p>
        </w:tc>
        <w:tc>
          <w:tcPr>
            <w:tcW w:w="41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Подкожно 120 мг (1,7 мл) каждые 4 нед</w:t>
            </w:r>
          </w:p>
        </w:tc>
      </w:tr>
      <w:tr w:rsidR="00142480">
        <w:trPr>
          <w:trHeight w:val="251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Золедроновая кислота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Внутривенная инфузия 4 мг &gt; 15 мин каждые 4 нед</w:t>
            </w:r>
          </w:p>
        </w:tc>
      </w:tr>
      <w:tr w:rsidR="00142480">
        <w:trPr>
          <w:trHeight w:val="251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Памидроновая кислота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Внутривенная инфузия 90 мг 2–4 часа каждые 4 нед</w:t>
            </w:r>
          </w:p>
        </w:tc>
      </w:tr>
      <w:tr w:rsidR="00142480">
        <w:trPr>
          <w:trHeight w:val="251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Ибандроновая кислота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Внутривенная инфузия 6 мг 1–2 чаcа каждые 4 нед</w:t>
            </w:r>
          </w:p>
        </w:tc>
      </w:tr>
      <w:tr w:rsidR="00142480">
        <w:trPr>
          <w:trHeight w:val="395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 xml:space="preserve">Клодроновая кислота </w:t>
            </w:r>
          </w:p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(при остеолитических очагах)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480" w:rsidRDefault="00371D77">
            <w:pPr>
              <w:spacing w:after="0" w:line="259" w:lineRule="auto"/>
              <w:ind w:right="0" w:firstLine="0"/>
              <w:jc w:val="left"/>
            </w:pPr>
            <w:r>
              <w:rPr>
                <w:sz w:val="12"/>
              </w:rPr>
              <w:t>Внутривенная инфузия 1500 мг &gt; 4 ч каждые 4 нед</w:t>
            </w:r>
          </w:p>
        </w:tc>
      </w:tr>
    </w:tbl>
    <w:p w:rsidR="00142480" w:rsidRDefault="00371D77">
      <w:pPr>
        <w:pStyle w:val="Heading2"/>
        <w:ind w:left="-5"/>
      </w:pPr>
      <w:r>
        <w:t>4. ЗАКЛЮЧЕНИЕ</w:t>
      </w:r>
    </w:p>
    <w:p w:rsidR="00142480" w:rsidRDefault="00371D77">
      <w:pPr>
        <w:ind w:left="-15" w:right="27"/>
      </w:pPr>
      <w:r>
        <w:t>Основой успешного лечения больных с метастатическим поражением костей является эффективная про</w:t>
      </w:r>
      <w:r>
        <w:t xml:space="preserve">тивоопухолевая лекарственная терапия (химио-, гормоно- или таргетная) в комбинации с хирургическими и / или лучевыми методами. ОМА являются эффективным средством поддерживающей терапии и должны назначаться в дополнение к основному лечению. </w:t>
      </w:r>
    </w:p>
    <w:sectPr w:rsidR="001424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1" w:h="11906"/>
      <w:pgMar w:top="1466" w:right="1264" w:bottom="815" w:left="552" w:header="609" w:footer="333" w:gutter="0"/>
      <w:pgNumType w:start="5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71D77">
      <w:pPr>
        <w:spacing w:after="0" w:line="240" w:lineRule="auto"/>
      </w:pPr>
      <w:r>
        <w:separator/>
      </w:r>
    </w:p>
  </w:endnote>
  <w:endnote w:type="continuationSeparator" w:id="0">
    <w:p w:rsidR="00000000" w:rsidRDefault="0037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80" w:rsidRDefault="00371D77">
    <w:pPr>
      <w:tabs>
        <w:tab w:val="right" w:pos="6575"/>
      </w:tabs>
      <w:spacing w:after="17" w:line="259" w:lineRule="auto"/>
      <w:ind w:right="0" w:firstLine="0"/>
      <w:jc w:val="left"/>
    </w:pPr>
    <w:r>
      <w:rPr>
        <w:b/>
        <w:sz w:val="11"/>
      </w:rPr>
      <w:t>ЗЛОКАЧЕСТВЕННЫЕ ОПУХОЛИ</w:t>
    </w:r>
    <w:r>
      <w:rPr>
        <w:b/>
        <w:sz w:val="11"/>
      </w:rPr>
      <w:tab/>
      <w:t>MALIGNANT TUMOURS</w:t>
    </w:r>
  </w:p>
  <w:p w:rsidR="00142480" w:rsidRDefault="00371D77">
    <w:pPr>
      <w:tabs>
        <w:tab w:val="center" w:pos="3480"/>
        <w:tab w:val="right" w:pos="6575"/>
      </w:tabs>
      <w:spacing w:after="0" w:line="259" w:lineRule="auto"/>
      <w:ind w:right="0" w:firstLine="0"/>
      <w:jc w:val="left"/>
    </w:pPr>
    <w:r>
      <w:rPr>
        <w:b/>
        <w:sz w:val="11"/>
      </w:rPr>
      <w:t>Российское общество клинической онкологии</w:t>
    </w:r>
    <w:r>
      <w:rPr>
        <w:b/>
        <w:sz w:val="11"/>
      </w:rPr>
      <w:tab/>
    </w:r>
    <w:r>
      <w:rPr>
        <w:vertAlign w:val="superscript"/>
      </w:rPr>
      <w:t>том / vol. 10 №3s2 • 2020</w:t>
    </w:r>
    <w:r>
      <w:rPr>
        <w:vertAlign w:val="superscript"/>
      </w:rPr>
      <w:tab/>
    </w:r>
    <w:r>
      <w:rPr>
        <w:b/>
        <w:sz w:val="11"/>
      </w:rPr>
      <w:t>Russian Society of Clinical Oncology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80" w:rsidRDefault="00371D77">
    <w:pPr>
      <w:tabs>
        <w:tab w:val="center" w:pos="1502"/>
        <w:tab w:val="right" w:pos="7257"/>
      </w:tabs>
      <w:spacing w:after="17" w:line="259" w:lineRule="auto"/>
      <w:ind w:right="-682" w:firstLine="0"/>
      <w:jc w:val="left"/>
    </w:pPr>
    <w:r>
      <w:rPr>
        <w:sz w:val="22"/>
      </w:rPr>
      <w:tab/>
    </w:r>
    <w:r>
      <w:rPr>
        <w:b/>
        <w:sz w:val="11"/>
      </w:rPr>
      <w:t>ЗЛОКАЧЕСТВЕННЫЕ ОПУХОЛИ</w:t>
    </w:r>
    <w:r>
      <w:rPr>
        <w:b/>
        <w:sz w:val="11"/>
      </w:rPr>
      <w:tab/>
      <w:t>MALIGNANT TUMOURS</w:t>
    </w:r>
  </w:p>
  <w:p w:rsidR="00142480" w:rsidRDefault="00371D77">
    <w:pPr>
      <w:tabs>
        <w:tab w:val="center" w:pos="1816"/>
        <w:tab w:val="center" w:pos="4183"/>
        <w:tab w:val="right" w:pos="7257"/>
      </w:tabs>
      <w:spacing w:after="0" w:line="259" w:lineRule="auto"/>
      <w:ind w:right="-682" w:firstLine="0"/>
      <w:jc w:val="left"/>
    </w:pPr>
    <w:r>
      <w:rPr>
        <w:sz w:val="22"/>
      </w:rPr>
      <w:tab/>
    </w:r>
    <w:r>
      <w:rPr>
        <w:b/>
        <w:sz w:val="11"/>
      </w:rPr>
      <w:t>Российское общество клинической онкологии</w:t>
    </w:r>
    <w:r>
      <w:rPr>
        <w:b/>
        <w:sz w:val="11"/>
      </w:rPr>
      <w:tab/>
    </w:r>
    <w:r>
      <w:rPr>
        <w:vertAlign w:val="superscript"/>
      </w:rPr>
      <w:t>том / vol. 10 №3s2 • 2020</w:t>
    </w:r>
    <w:r>
      <w:rPr>
        <w:vertAlign w:val="superscript"/>
      </w:rPr>
      <w:tab/>
    </w:r>
    <w:r>
      <w:rPr>
        <w:b/>
        <w:sz w:val="11"/>
      </w:rPr>
      <w:t>Russian Society of Clinical Oncology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80" w:rsidRDefault="00371D77">
    <w:pPr>
      <w:tabs>
        <w:tab w:val="right" w:pos="6575"/>
      </w:tabs>
      <w:spacing w:after="17" w:line="259" w:lineRule="auto"/>
      <w:ind w:right="0" w:firstLine="0"/>
      <w:jc w:val="left"/>
    </w:pPr>
    <w:r>
      <w:rPr>
        <w:b/>
        <w:sz w:val="11"/>
      </w:rPr>
      <w:t>ЗЛОКАЧЕСТВЕННЫЕ ОПУХОЛИ</w:t>
    </w:r>
    <w:r>
      <w:rPr>
        <w:b/>
        <w:sz w:val="11"/>
      </w:rPr>
      <w:tab/>
      <w:t>MALIGNANT TUMOURS</w:t>
    </w:r>
  </w:p>
  <w:p w:rsidR="00142480" w:rsidRDefault="00371D77">
    <w:pPr>
      <w:tabs>
        <w:tab w:val="center" w:pos="3480"/>
        <w:tab w:val="right" w:pos="6575"/>
      </w:tabs>
      <w:spacing w:after="0" w:line="259" w:lineRule="auto"/>
      <w:ind w:right="0" w:firstLine="0"/>
      <w:jc w:val="left"/>
    </w:pPr>
    <w:r>
      <w:rPr>
        <w:b/>
        <w:sz w:val="11"/>
      </w:rPr>
      <w:t>Российское общество клинической онкологии</w:t>
    </w:r>
    <w:r>
      <w:rPr>
        <w:b/>
        <w:sz w:val="11"/>
      </w:rPr>
      <w:tab/>
    </w:r>
    <w:r>
      <w:rPr>
        <w:vertAlign w:val="superscript"/>
      </w:rPr>
      <w:t>том / vol. 10 №3s2 • 2020</w:t>
    </w:r>
    <w:r>
      <w:rPr>
        <w:vertAlign w:val="superscript"/>
      </w:rPr>
      <w:tab/>
    </w:r>
    <w:r>
      <w:rPr>
        <w:b/>
        <w:sz w:val="11"/>
      </w:rPr>
      <w:t>Russian Society of Clinical Oncology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71D77">
      <w:pPr>
        <w:spacing w:after="0" w:line="240" w:lineRule="auto"/>
      </w:pPr>
      <w:r>
        <w:separator/>
      </w:r>
    </w:p>
  </w:footnote>
  <w:footnote w:type="continuationSeparator" w:id="0">
    <w:p w:rsidR="00000000" w:rsidRDefault="0037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80" w:rsidRDefault="00371D77">
    <w:pPr>
      <w:spacing w:after="0" w:line="259" w:lineRule="auto"/>
      <w:ind w:left="-552" w:right="19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361800</wp:posOffset>
              </wp:positionH>
              <wp:positionV relativeFrom="page">
                <wp:posOffset>386907</wp:posOffset>
              </wp:positionV>
              <wp:extent cx="4152003" cy="315099"/>
              <wp:effectExtent l="0" t="0" r="0" b="0"/>
              <wp:wrapSquare wrapText="bothSides"/>
              <wp:docPr id="7828" name="Group 7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52003" cy="315099"/>
                        <a:chOff x="0" y="0"/>
                        <a:chExt cx="4152003" cy="315099"/>
                      </a:xfrm>
                    </wpg:grpSpPr>
                    <wps:wsp>
                      <wps:cNvPr id="7829" name="Shape 7829"/>
                      <wps:cNvSpPr/>
                      <wps:spPr>
                        <a:xfrm>
                          <a:off x="0" y="315099"/>
                          <a:ext cx="41519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998">
                              <a:moveTo>
                                <a:pt x="0" y="0"/>
                              </a:moveTo>
                              <a:lnTo>
                                <a:pt x="4151998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48" name="Rectangle 7848"/>
                      <wps:cNvSpPr/>
                      <wps:spPr>
                        <a:xfrm>
                          <a:off x="0" y="17057"/>
                          <a:ext cx="275019" cy="2502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42480" w:rsidRDefault="00371D77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Pr="00371D77">
                              <w:rPr>
                                <w:noProof/>
                                <w:sz w:val="28"/>
                              </w:rPr>
                              <w:t>50</w:t>
                            </w:r>
                            <w:r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849" name="Rectangle 7849"/>
                      <wps:cNvSpPr/>
                      <wps:spPr>
                        <a:xfrm>
                          <a:off x="1609367" y="86522"/>
                          <a:ext cx="2010266" cy="1251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42480" w:rsidRDefault="00371D77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>
                              <w:rPr>
                                <w:b/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b/>
                                <w:spacing w:val="2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830" name="Shape 7830"/>
                      <wps:cNvSpPr/>
                      <wps:spPr>
                        <a:xfrm>
                          <a:off x="3460959" y="24055"/>
                          <a:ext cx="37884" cy="130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84" h="130150">
                              <a:moveTo>
                                <a:pt x="0" y="0"/>
                              </a:moveTo>
                              <a:lnTo>
                                <a:pt x="33401" y="0"/>
                              </a:lnTo>
                              <a:lnTo>
                                <a:pt x="37884" y="624"/>
                              </a:lnTo>
                              <a:lnTo>
                                <a:pt x="37884" y="9205"/>
                              </a:lnTo>
                              <a:lnTo>
                                <a:pt x="31305" y="8395"/>
                              </a:lnTo>
                              <a:lnTo>
                                <a:pt x="10122" y="8395"/>
                              </a:lnTo>
                              <a:lnTo>
                                <a:pt x="10122" y="59360"/>
                              </a:lnTo>
                              <a:lnTo>
                                <a:pt x="31686" y="59360"/>
                              </a:lnTo>
                              <a:lnTo>
                                <a:pt x="37884" y="57682"/>
                              </a:lnTo>
                              <a:lnTo>
                                <a:pt x="37884" y="70078"/>
                              </a:lnTo>
                              <a:lnTo>
                                <a:pt x="27674" y="67754"/>
                              </a:lnTo>
                              <a:lnTo>
                                <a:pt x="10122" y="67754"/>
                              </a:lnTo>
                              <a:lnTo>
                                <a:pt x="10122" y="130150"/>
                              </a:lnTo>
                              <a:lnTo>
                                <a:pt x="0" y="1301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31" name="Shape 7831"/>
                      <wps:cNvSpPr/>
                      <wps:spPr>
                        <a:xfrm>
                          <a:off x="3498843" y="24679"/>
                          <a:ext cx="60592" cy="1295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92" h="129526">
                              <a:moveTo>
                                <a:pt x="0" y="0"/>
                              </a:moveTo>
                              <a:lnTo>
                                <a:pt x="15699" y="2184"/>
                              </a:lnTo>
                              <a:cubicBezTo>
                                <a:pt x="32310" y="7562"/>
                                <a:pt x="38646" y="19947"/>
                                <a:pt x="38646" y="32968"/>
                              </a:cubicBezTo>
                              <a:cubicBezTo>
                                <a:pt x="38646" y="48043"/>
                                <a:pt x="30442" y="58546"/>
                                <a:pt x="13843" y="64654"/>
                              </a:cubicBezTo>
                              <a:cubicBezTo>
                                <a:pt x="19939" y="67893"/>
                                <a:pt x="25095" y="75335"/>
                                <a:pt x="31204" y="84492"/>
                              </a:cubicBezTo>
                              <a:lnTo>
                                <a:pt x="60592" y="129526"/>
                              </a:lnTo>
                              <a:lnTo>
                                <a:pt x="48768" y="129526"/>
                              </a:lnTo>
                              <a:lnTo>
                                <a:pt x="26048" y="93852"/>
                              </a:lnTo>
                              <a:cubicBezTo>
                                <a:pt x="18224" y="81539"/>
                                <a:pt x="13071" y="74859"/>
                                <a:pt x="7919" y="71257"/>
                              </a:cubicBezTo>
                              <a:lnTo>
                                <a:pt x="0" y="69455"/>
                              </a:lnTo>
                              <a:lnTo>
                                <a:pt x="0" y="57058"/>
                              </a:lnTo>
                              <a:lnTo>
                                <a:pt x="19369" y="51815"/>
                              </a:lnTo>
                              <a:cubicBezTo>
                                <a:pt x="24997" y="47376"/>
                                <a:pt x="27762" y="40982"/>
                                <a:pt x="27762" y="33158"/>
                              </a:cubicBezTo>
                              <a:cubicBezTo>
                                <a:pt x="27762" y="22138"/>
                                <a:pt x="21861" y="13368"/>
                                <a:pt x="8849" y="9672"/>
                              </a:cubicBezTo>
                              <a:lnTo>
                                <a:pt x="0" y="85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32" name="Shape 7832"/>
                      <wps:cNvSpPr/>
                      <wps:spPr>
                        <a:xfrm>
                          <a:off x="3567433" y="24055"/>
                          <a:ext cx="108966" cy="131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66" h="131864">
                              <a:moveTo>
                                <a:pt x="0" y="0"/>
                              </a:moveTo>
                              <a:lnTo>
                                <a:pt x="10122" y="0"/>
                              </a:lnTo>
                              <a:lnTo>
                                <a:pt x="10122" y="72898"/>
                              </a:lnTo>
                              <a:cubicBezTo>
                                <a:pt x="10122" y="107061"/>
                                <a:pt x="31102" y="122530"/>
                                <a:pt x="54381" y="122530"/>
                              </a:cubicBezTo>
                              <a:cubicBezTo>
                                <a:pt x="76530" y="122530"/>
                                <a:pt x="98857" y="108585"/>
                                <a:pt x="98857" y="71565"/>
                              </a:cubicBezTo>
                              <a:lnTo>
                                <a:pt x="98857" y="0"/>
                              </a:lnTo>
                              <a:lnTo>
                                <a:pt x="108966" y="0"/>
                              </a:lnTo>
                              <a:lnTo>
                                <a:pt x="108966" y="70993"/>
                              </a:lnTo>
                              <a:cubicBezTo>
                                <a:pt x="108966" y="115659"/>
                                <a:pt x="80911" y="131864"/>
                                <a:pt x="54381" y="131864"/>
                              </a:cubicBezTo>
                              <a:cubicBezTo>
                                <a:pt x="25006" y="131864"/>
                                <a:pt x="0" y="112408"/>
                                <a:pt x="0" y="7327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33" name="Shape 7833"/>
                      <wps:cNvSpPr/>
                      <wps:spPr>
                        <a:xfrm>
                          <a:off x="3698269" y="22341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204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99" y="133579"/>
                                <a:pt x="35103" y="133579"/>
                              </a:cubicBezTo>
                              <a:cubicBezTo>
                                <a:pt x="24435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31" y="120802"/>
                                <a:pt x="24435" y="124244"/>
                                <a:pt x="34531" y="124244"/>
                              </a:cubicBezTo>
                              <a:cubicBezTo>
                                <a:pt x="50000" y="124244"/>
                                <a:pt x="62014" y="112967"/>
                                <a:pt x="62014" y="98273"/>
                              </a:cubicBezTo>
                              <a:cubicBezTo>
                                <a:pt x="62014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34" name="Shape 7834"/>
                      <wps:cNvSpPr/>
                      <wps:spPr>
                        <a:xfrm>
                          <a:off x="3794594" y="22341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191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86" y="133579"/>
                                <a:pt x="35103" y="133579"/>
                              </a:cubicBezTo>
                              <a:cubicBezTo>
                                <a:pt x="24422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18" y="120802"/>
                                <a:pt x="24422" y="124244"/>
                                <a:pt x="34544" y="124244"/>
                              </a:cubicBezTo>
                              <a:cubicBezTo>
                                <a:pt x="50000" y="124244"/>
                                <a:pt x="62027" y="112967"/>
                                <a:pt x="62027" y="98273"/>
                              </a:cubicBezTo>
                              <a:cubicBezTo>
                                <a:pt x="62027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35" name="Shape 7835"/>
                      <wps:cNvSpPr/>
                      <wps:spPr>
                        <a:xfrm>
                          <a:off x="3884661" y="22341"/>
                          <a:ext cx="115443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443" h="133579">
                              <a:moveTo>
                                <a:pt x="68313" y="0"/>
                              </a:moveTo>
                              <a:cubicBezTo>
                                <a:pt x="82817" y="0"/>
                                <a:pt x="98272" y="3619"/>
                                <a:pt x="114109" y="10884"/>
                              </a:cubicBezTo>
                              <a:lnTo>
                                <a:pt x="114109" y="21946"/>
                              </a:lnTo>
                              <a:cubicBezTo>
                                <a:pt x="97891" y="13360"/>
                                <a:pt x="83198" y="9360"/>
                                <a:pt x="67742" y="9360"/>
                              </a:cubicBezTo>
                              <a:cubicBezTo>
                                <a:pt x="35306" y="9360"/>
                                <a:pt x="10871" y="33972"/>
                                <a:pt x="10871" y="66993"/>
                              </a:cubicBezTo>
                              <a:cubicBezTo>
                                <a:pt x="10871" y="100571"/>
                                <a:pt x="35115" y="124244"/>
                                <a:pt x="69075" y="124244"/>
                              </a:cubicBezTo>
                              <a:cubicBezTo>
                                <a:pt x="83769" y="124244"/>
                                <a:pt x="97701" y="120218"/>
                                <a:pt x="115443" y="110884"/>
                              </a:cubicBezTo>
                              <a:lnTo>
                                <a:pt x="115443" y="121374"/>
                              </a:lnTo>
                              <a:cubicBezTo>
                                <a:pt x="100368" y="129375"/>
                                <a:pt x="84341" y="133579"/>
                                <a:pt x="69266" y="133579"/>
                              </a:cubicBezTo>
                              <a:cubicBezTo>
                                <a:pt x="29578" y="133579"/>
                                <a:pt x="0" y="105143"/>
                                <a:pt x="0" y="66993"/>
                              </a:cubicBezTo>
                              <a:cubicBezTo>
                                <a:pt x="0" y="27102"/>
                                <a:pt x="32626" y="0"/>
                                <a:pt x="683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36" name="Shape 7836"/>
                      <wps:cNvSpPr/>
                      <wps:spPr>
                        <a:xfrm>
                          <a:off x="4014220" y="22344"/>
                          <a:ext cx="68891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79">
                              <a:moveTo>
                                <a:pt x="68694" y="0"/>
                              </a:moveTo>
                              <a:lnTo>
                                <a:pt x="68891" y="38"/>
                              </a:lnTo>
                              <a:lnTo>
                                <a:pt x="68891" y="9395"/>
                              </a:lnTo>
                              <a:lnTo>
                                <a:pt x="46217" y="13772"/>
                              </a:lnTo>
                              <a:cubicBezTo>
                                <a:pt x="25259" y="22322"/>
                                <a:pt x="10871" y="42462"/>
                                <a:pt x="10871" y="66789"/>
                              </a:cubicBezTo>
                              <a:cubicBezTo>
                                <a:pt x="10871" y="91126"/>
                                <a:pt x="25259" y="111269"/>
                                <a:pt x="46217" y="119819"/>
                              </a:cubicBezTo>
                              <a:lnTo>
                                <a:pt x="68891" y="124196"/>
                              </a:lnTo>
                              <a:lnTo>
                                <a:pt x="68891" y="133541"/>
                              </a:lnTo>
                              <a:lnTo>
                                <a:pt x="68694" y="133579"/>
                              </a:lnTo>
                              <a:cubicBezTo>
                                <a:pt x="30150" y="133579"/>
                                <a:pt x="0" y="104191"/>
                                <a:pt x="0" y="66789"/>
                              </a:cubicBezTo>
                              <a:cubicBezTo>
                                <a:pt x="0" y="29388"/>
                                <a:pt x="30150" y="0"/>
                                <a:pt x="686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37" name="Shape 7837"/>
                      <wps:cNvSpPr/>
                      <wps:spPr>
                        <a:xfrm>
                          <a:off x="4083111" y="22382"/>
                          <a:ext cx="68891" cy="133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03">
                              <a:moveTo>
                                <a:pt x="0" y="0"/>
                              </a:moveTo>
                              <a:lnTo>
                                <a:pt x="26939" y="5139"/>
                              </a:lnTo>
                              <a:cubicBezTo>
                                <a:pt x="51817" y="15157"/>
                                <a:pt x="68891" y="38701"/>
                                <a:pt x="68891" y="66752"/>
                              </a:cubicBezTo>
                              <a:cubicBezTo>
                                <a:pt x="68891" y="94803"/>
                                <a:pt x="51817" y="118346"/>
                                <a:pt x="26939" y="128365"/>
                              </a:cubicBezTo>
                              <a:lnTo>
                                <a:pt x="0" y="133503"/>
                              </a:lnTo>
                              <a:lnTo>
                                <a:pt x="0" y="124158"/>
                              </a:lnTo>
                              <a:lnTo>
                                <a:pt x="184" y="124194"/>
                              </a:lnTo>
                              <a:cubicBezTo>
                                <a:pt x="32823" y="124194"/>
                                <a:pt x="58020" y="99200"/>
                                <a:pt x="58020" y="66752"/>
                              </a:cubicBezTo>
                              <a:cubicBezTo>
                                <a:pt x="58020" y="34316"/>
                                <a:pt x="32823" y="9322"/>
                                <a:pt x="184" y="9322"/>
                              </a:cubicBezTo>
                              <a:lnTo>
                                <a:pt x="0" y="9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38" name="Shape 7838"/>
                      <wps:cNvSpPr/>
                      <wps:spPr>
                        <a:xfrm>
                          <a:off x="3219701" y="0"/>
                          <a:ext cx="178257" cy="1782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57" h="178257">
                              <a:moveTo>
                                <a:pt x="89129" y="0"/>
                              </a:moveTo>
                              <a:cubicBezTo>
                                <a:pt x="138354" y="0"/>
                                <a:pt x="178257" y="39903"/>
                                <a:pt x="178257" y="89141"/>
                              </a:cubicBezTo>
                              <a:cubicBezTo>
                                <a:pt x="178257" y="138354"/>
                                <a:pt x="138354" y="178257"/>
                                <a:pt x="89129" y="178257"/>
                              </a:cubicBezTo>
                              <a:cubicBezTo>
                                <a:pt x="39903" y="178257"/>
                                <a:pt x="0" y="138354"/>
                                <a:pt x="0" y="89141"/>
                              </a:cubicBezTo>
                              <a:cubicBezTo>
                                <a:pt x="0" y="39903"/>
                                <a:pt x="39903" y="0"/>
                                <a:pt x="89129" y="0"/>
                              </a:cubicBezTo>
                              <a:close/>
                            </a:path>
                          </a:pathLst>
                        </a:custGeom>
                        <a:ln w="11684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39" name="Shape 7839"/>
                      <wps:cNvSpPr/>
                      <wps:spPr>
                        <a:xfrm>
                          <a:off x="3285479" y="67154"/>
                          <a:ext cx="46711" cy="4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46711">
                              <a:moveTo>
                                <a:pt x="23266" y="0"/>
                              </a:moveTo>
                              <a:lnTo>
                                <a:pt x="23444" y="0"/>
                              </a:lnTo>
                              <a:cubicBezTo>
                                <a:pt x="24448" y="12395"/>
                                <a:pt x="34315" y="22276"/>
                                <a:pt x="46711" y="23266"/>
                              </a:cubicBezTo>
                              <a:lnTo>
                                <a:pt x="46711" y="23444"/>
                              </a:lnTo>
                              <a:cubicBezTo>
                                <a:pt x="34315" y="24447"/>
                                <a:pt x="24448" y="34315"/>
                                <a:pt x="23444" y="46711"/>
                              </a:cubicBezTo>
                              <a:lnTo>
                                <a:pt x="23266" y="46711"/>
                              </a:lnTo>
                              <a:cubicBezTo>
                                <a:pt x="22276" y="34315"/>
                                <a:pt x="12395" y="24447"/>
                                <a:pt x="0" y="23444"/>
                              </a:cubicBezTo>
                              <a:lnTo>
                                <a:pt x="0" y="23266"/>
                              </a:lnTo>
                              <a:cubicBezTo>
                                <a:pt x="12395" y="22276"/>
                                <a:pt x="22276" y="12395"/>
                                <a:pt x="232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CCCC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40" name="Shape 7840"/>
                      <wps:cNvSpPr/>
                      <wps:spPr>
                        <a:xfrm>
                          <a:off x="3326834" y="39220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99" y="0"/>
                              </a:moveTo>
                              <a:lnTo>
                                <a:pt x="21196" y="21184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25629" y="25616"/>
                              </a:lnTo>
                              <a:lnTo>
                                <a:pt x="25629" y="25629"/>
                              </a:lnTo>
                              <a:lnTo>
                                <a:pt x="25603" y="25629"/>
                              </a:lnTo>
                              <a:lnTo>
                                <a:pt x="0" y="33287"/>
                              </a:lnTo>
                              <a:lnTo>
                                <a:pt x="7671" y="7684"/>
                              </a:lnTo>
                              <a:lnTo>
                                <a:pt x="7658" y="7684"/>
                              </a:lnTo>
                              <a:lnTo>
                                <a:pt x="7671" y="7671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12103" y="12090"/>
                              </a:lnTo>
                              <a:lnTo>
                                <a:pt x="332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41" name="Shape 7841"/>
                      <wps:cNvSpPr/>
                      <wps:spPr>
                        <a:xfrm>
                          <a:off x="3296139" y="17963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700" y="0"/>
                              </a:moveTo>
                              <a:lnTo>
                                <a:pt x="12700" y="13"/>
                              </a:lnTo>
                              <a:lnTo>
                                <a:pt x="19139" y="23546"/>
                              </a:lnTo>
                              <a:lnTo>
                                <a:pt x="25387" y="23546"/>
                              </a:lnTo>
                              <a:lnTo>
                                <a:pt x="25375" y="23571"/>
                              </a:lnTo>
                              <a:lnTo>
                                <a:pt x="12700" y="47092"/>
                              </a:lnTo>
                              <a:lnTo>
                                <a:pt x="13" y="23571"/>
                              </a:lnTo>
                              <a:lnTo>
                                <a:pt x="0" y="23546"/>
                              </a:lnTo>
                              <a:lnTo>
                                <a:pt x="6261" y="23546"/>
                              </a:lnTo>
                              <a:lnTo>
                                <a:pt x="127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42" name="Shape 7842"/>
                      <wps:cNvSpPr/>
                      <wps:spPr>
                        <a:xfrm>
                          <a:off x="3296142" y="115964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687" y="0"/>
                              </a:moveTo>
                              <a:lnTo>
                                <a:pt x="15532" y="5271"/>
                              </a:lnTo>
                              <a:lnTo>
                                <a:pt x="25374" y="23520"/>
                              </a:lnTo>
                              <a:lnTo>
                                <a:pt x="25387" y="23520"/>
                              </a:lnTo>
                              <a:lnTo>
                                <a:pt x="25387" y="23546"/>
                              </a:lnTo>
                              <a:lnTo>
                                <a:pt x="19126" y="23546"/>
                              </a:lnTo>
                              <a:lnTo>
                                <a:pt x="12687" y="47092"/>
                              </a:lnTo>
                              <a:lnTo>
                                <a:pt x="6248" y="23546"/>
                              </a:lnTo>
                              <a:lnTo>
                                <a:pt x="0" y="23546"/>
                              </a:lnTo>
                              <a:lnTo>
                                <a:pt x="0" y="23533"/>
                              </a:lnTo>
                              <a:lnTo>
                                <a:pt x="12" y="23520"/>
                              </a:lnTo>
                              <a:lnTo>
                                <a:pt x="126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43" name="Shape 7843"/>
                      <wps:cNvSpPr/>
                      <wps:spPr>
                        <a:xfrm>
                          <a:off x="3257537" y="39215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13" y="0"/>
                              </a:lnTo>
                              <a:lnTo>
                                <a:pt x="21196" y="12090"/>
                              </a:lnTo>
                              <a:lnTo>
                                <a:pt x="21184" y="12116"/>
                              </a:lnTo>
                              <a:lnTo>
                                <a:pt x="25629" y="7671"/>
                              </a:lnTo>
                              <a:lnTo>
                                <a:pt x="25629" y="7696"/>
                              </a:lnTo>
                              <a:lnTo>
                                <a:pt x="33300" y="33299"/>
                              </a:lnTo>
                              <a:lnTo>
                                <a:pt x="28207" y="31775"/>
                              </a:lnTo>
                              <a:lnTo>
                                <a:pt x="7696" y="25629"/>
                              </a:lnTo>
                              <a:lnTo>
                                <a:pt x="7671" y="25629"/>
                              </a:lnTo>
                              <a:lnTo>
                                <a:pt x="12116" y="21184"/>
                              </a:lnTo>
                              <a:lnTo>
                                <a:pt x="12103" y="21196"/>
                              </a:lnTo>
                              <a:lnTo>
                                <a:pt x="1994" y="349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44" name="Shape 7844"/>
                      <wps:cNvSpPr/>
                      <wps:spPr>
                        <a:xfrm>
                          <a:off x="3236289" y="77806"/>
                          <a:ext cx="47091" cy="25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1" h="25400">
                              <a:moveTo>
                                <a:pt x="23545" y="0"/>
                              </a:moveTo>
                              <a:lnTo>
                                <a:pt x="23571" y="25"/>
                              </a:lnTo>
                              <a:lnTo>
                                <a:pt x="47091" y="12700"/>
                              </a:lnTo>
                              <a:lnTo>
                                <a:pt x="31724" y="20993"/>
                              </a:lnTo>
                              <a:lnTo>
                                <a:pt x="23571" y="25387"/>
                              </a:lnTo>
                              <a:lnTo>
                                <a:pt x="23545" y="25400"/>
                              </a:lnTo>
                              <a:lnTo>
                                <a:pt x="23545" y="19139"/>
                              </a:lnTo>
                              <a:lnTo>
                                <a:pt x="0" y="12700"/>
                              </a:lnTo>
                              <a:lnTo>
                                <a:pt x="23545" y="6261"/>
                              </a:lnTo>
                              <a:lnTo>
                                <a:pt x="235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45" name="Shape 7845"/>
                      <wps:cNvSpPr/>
                      <wps:spPr>
                        <a:xfrm>
                          <a:off x="3257543" y="108514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87" y="0"/>
                              </a:moveTo>
                              <a:lnTo>
                                <a:pt x="33299" y="0"/>
                              </a:lnTo>
                              <a:lnTo>
                                <a:pt x="25628" y="25590"/>
                              </a:lnTo>
                              <a:lnTo>
                                <a:pt x="25628" y="25616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10706" y="27178"/>
                              </a:lnTo>
                              <a:lnTo>
                                <a:pt x="0" y="33287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7670" y="7658"/>
                              </a:lnTo>
                              <a:lnTo>
                                <a:pt x="7696" y="7658"/>
                              </a:lnTo>
                              <a:lnTo>
                                <a:pt x="332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46" name="Shape 7846"/>
                      <wps:cNvSpPr/>
                      <wps:spPr>
                        <a:xfrm>
                          <a:off x="3334285" y="77814"/>
                          <a:ext cx="47092" cy="25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2" h="25387">
                              <a:moveTo>
                                <a:pt x="23533" y="0"/>
                              </a:moveTo>
                              <a:lnTo>
                                <a:pt x="23546" y="0"/>
                              </a:lnTo>
                              <a:lnTo>
                                <a:pt x="23546" y="6261"/>
                              </a:lnTo>
                              <a:lnTo>
                                <a:pt x="44793" y="12065"/>
                              </a:lnTo>
                              <a:lnTo>
                                <a:pt x="47092" y="12687"/>
                              </a:lnTo>
                              <a:lnTo>
                                <a:pt x="47092" y="12700"/>
                              </a:lnTo>
                              <a:lnTo>
                                <a:pt x="23546" y="19126"/>
                              </a:lnTo>
                              <a:lnTo>
                                <a:pt x="23546" y="25387"/>
                              </a:lnTo>
                              <a:lnTo>
                                <a:pt x="23533" y="25387"/>
                              </a:lnTo>
                              <a:lnTo>
                                <a:pt x="23533" y="25375"/>
                              </a:lnTo>
                              <a:lnTo>
                                <a:pt x="0" y="12700"/>
                              </a:lnTo>
                              <a:lnTo>
                                <a:pt x="13" y="12700"/>
                              </a:lnTo>
                              <a:lnTo>
                                <a:pt x="9208" y="7734"/>
                              </a:lnTo>
                              <a:lnTo>
                                <a:pt x="23521" y="13"/>
                              </a:lnTo>
                              <a:lnTo>
                                <a:pt x="235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47" name="Shape 7847"/>
                      <wps:cNvSpPr/>
                      <wps:spPr>
                        <a:xfrm>
                          <a:off x="3326825" y="108505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25603" y="7671"/>
                              </a:lnTo>
                              <a:lnTo>
                                <a:pt x="25629" y="7671"/>
                              </a:lnTo>
                              <a:lnTo>
                                <a:pt x="21209" y="12103"/>
                              </a:lnTo>
                              <a:lnTo>
                                <a:pt x="33300" y="33287"/>
                              </a:lnTo>
                              <a:lnTo>
                                <a:pt x="33300" y="33299"/>
                              </a:lnTo>
                              <a:lnTo>
                                <a:pt x="22746" y="27280"/>
                              </a:lnTo>
                              <a:lnTo>
                                <a:pt x="12103" y="21209"/>
                              </a:lnTo>
                              <a:lnTo>
                                <a:pt x="12116" y="21196"/>
                              </a:lnTo>
                              <a:lnTo>
                                <a:pt x="12103" y="21196"/>
                              </a:lnTo>
                              <a:lnTo>
                                <a:pt x="7671" y="25629"/>
                              </a:lnTo>
                              <a:lnTo>
                                <a:pt x="7671" y="256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7828" o:spid="_x0000_s1026" style="position:absolute;left:0;text-align:left;margin-left:28.5pt;margin-top:30.45pt;width:326.95pt;height:24.8pt;z-index:251658240;mso-position-horizontal-relative:page;mso-position-vertical-relative:page" coordsize="41520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">
              <v:shape id="Shape 7829" o:spid="_x0000_s1027" style="position:absolute;top:3150;width:41519;height:0;visibility:visible;mso-wrap-style:square;v-text-anchor:top" coordsize="415199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" path="m,l4151998,e" filled="f" strokeweight=".5pt">
                <v:stroke miterlimit="1" joinstyle="miter"/>
                <v:path arrowok="t" textboxrect="0,0,4151998,0"/>
              </v:shape>
              <v:rect id="Rectangle 7848" o:spid="_x0000_s1028" style="position:absolute;top:170;width:2750;height:2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" filled="f" stroked="f">
                <v:textbox inset="0,0,0,0">
                  <w:txbxContent>
                    <w:p w:rsidR="00142480" w:rsidRDefault="00371D77">
                      <w:pPr>
                        <w:spacing w:after="160" w:line="259" w:lineRule="auto"/>
                        <w:ind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Pr="00371D77">
                        <w:rPr>
                          <w:noProof/>
                          <w:sz w:val="28"/>
                        </w:rPr>
                        <w:t>50</w:t>
                      </w:r>
                      <w:r>
                        <w:rPr>
                          <w:sz w:val="28"/>
                        </w:rPr>
                        <w:fldChar w:fldCharType="end"/>
                      </w:r>
                    </w:p>
                  </w:txbxContent>
                </v:textbox>
              </v:rect>
              <v:rect id="Rectangle 7849" o:spid="_x0000_s1029" style="position:absolute;left:16093;top:865;width:20103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" filled="f" stroked="f">
                <v:textbox inset="0,0,0,0">
                  <w:txbxContent>
                    <w:p w:rsidR="00142480" w:rsidRDefault="00371D77">
                      <w:pPr>
                        <w:spacing w:after="160" w:line="259" w:lineRule="auto"/>
                        <w:ind w:right="0" w:firstLine="0"/>
                        <w:jc w:val="left"/>
                      </w:pPr>
                      <w:r>
                        <w:rPr>
                          <w:b/>
                          <w:sz w:val="14"/>
                        </w:rPr>
                        <w:t>Практические</w:t>
                      </w:r>
                      <w:r>
                        <w:rPr>
                          <w:b/>
                          <w:spacing w:val="27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sz w:val="14"/>
                        </w:rPr>
                        <w:t>рекомендации</w:t>
                      </w:r>
                    </w:p>
                  </w:txbxContent>
                </v:textbox>
              </v:rect>
              <v:shape id="Shape 7830" o:spid="_x0000_s1030" style="position:absolute;left:34609;top:240;width:379;height:1302;visibility:visible;mso-wrap-style:square;v-text-anchor:top" coordsize="37884,13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" path="m,l33401,r4483,624l37884,9205,31305,8395r-21183,l10122,59360r21564,l37884,57682r,12396l27674,67754r-17552,l10122,130150,,130150,,xe" fillcolor="black" stroked="f" strokeweight="0">
                <v:stroke miterlimit="83231f" joinstyle="miter"/>
                <v:path arrowok="t" textboxrect="0,0,37884,130150"/>
              </v:shape>
              <v:shape id="Shape 7831" o:spid="_x0000_s1031" style="position:absolute;left:34988;top:246;width:606;height:1296;visibility:visible;mso-wrap-style:square;v-text-anchor:top" coordsize="60592,129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" path="m,l15699,2184c32310,7562,38646,19947,38646,32968v,15075,-8204,25578,-24803,31686c19939,67893,25095,75335,31204,84492r29388,45034l48768,129526,26048,93852c18224,81539,13071,74859,7919,71257l,69455,,57058,19369,51815v5628,-4439,8393,-10833,8393,-18657c27762,22138,21861,13368,8849,9672l,8581,,xe" fillcolor="black" stroked="f" strokeweight="0">
                <v:stroke miterlimit="83231f" joinstyle="miter"/>
                <v:path arrowok="t" textboxrect="0,0,60592,129526"/>
              </v:shape>
              <v:shape id="Shape 7832" o:spid="_x0000_s1032" style="position:absolute;left:35674;top:240;width:1089;height:1319;visibility:visible;mso-wrap-style:square;v-text-anchor:top" coordsize="108966,13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" path="m,l10122,r,72898c10122,107061,31102,122530,54381,122530v22149,,44476,-13945,44476,-50965l98857,r10109,l108966,70993v,44666,-28055,60871,-54585,60871c25006,131864,,112408,,73279l,xe" fillcolor="black" stroked="f" strokeweight="0">
                <v:stroke miterlimit="83231f" joinstyle="miter"/>
                <v:path arrowok="t" textboxrect="0,0,108966,131864"/>
              </v:shape>
              <v:shape id="Shape 7833" o:spid="_x0000_s1033" style="position:absolute;left:36982;top:223;width:729;height:1336;visibility:visible;mso-wrap-style:square;v-text-anchor:top" coordsize="72898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" path="m37402,c47511,,57442,2680,67551,8204r,11075c54204,11646,47333,9360,38354,9360v-15646,,-27483,10681,-27483,24803c10871,68885,72898,52286,72898,97892v,20040,-16599,35687,-37795,35687c24435,133579,13157,129756,1715,122136r,-11836c16231,120802,24435,124244,34531,124244v15469,,27483,-11277,27483,-25971c62014,61252,,77483,,34531,,15265,16789,,37402,xe" fillcolor="black" stroked="f" strokeweight="0">
                <v:stroke miterlimit="83231f" joinstyle="miter"/>
                <v:path arrowok="t" textboxrect="0,0,72898,133579"/>
              </v:shape>
              <v:shape id="Shape 7834" o:spid="_x0000_s1034" style="position:absolute;left:37945;top:223;width:729;height:1336;visibility:visible;mso-wrap-style:square;v-text-anchor:top" coordsize="72898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" path="m37402,c47511,,57442,2680,67551,8204r,11075c54191,11646,47333,9360,38354,9360v-15646,,-27483,10681,-27483,24803c10871,68885,72898,52286,72898,97892v,20040,-16612,35687,-37795,35687c24422,133579,13157,129756,1715,122136r,-11836c16218,120802,24422,124244,34544,124244v15456,,27483,-11277,27483,-25971c62027,61252,,77483,,34531,,15265,16789,,37402,xe" fillcolor="black" stroked="f" strokeweight="0">
                <v:stroke miterlimit="83231f" joinstyle="miter"/>
                <v:path arrowok="t" textboxrect="0,0,72898,133579"/>
              </v:shape>
              <v:shape id="Shape 7835" o:spid="_x0000_s1035" style="position:absolute;left:38846;top:223;width:1155;height:1336;visibility:visible;mso-wrap-style:square;v-text-anchor:top" coordsize="115443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" path="m68313,v14504,,29959,3619,45796,10884l114109,21946c97891,13360,83198,9360,67742,9360v-32436,,-56871,24612,-56871,57633c10871,100571,35115,124244,69075,124244v14694,,28626,-4026,46368,-13360l115443,121374v-15075,8001,-31102,12205,-46177,12205c29578,133579,,105143,,66993,,27102,32626,,68313,xe" fillcolor="black" stroked="f" strokeweight="0">
                <v:stroke miterlimit="83231f" joinstyle="miter"/>
                <v:path arrowok="t" textboxrect="0,0,115443,133579"/>
              </v:shape>
              <v:shape id="Shape 7836" o:spid="_x0000_s1036" style="position:absolute;left:40142;top:223;width:689;height:1336;visibility:visible;mso-wrap-style:square;v-text-anchor:top" coordsize="68891,13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" path="m68694,r197,38l68891,9395,46217,13772c25259,22322,10871,42462,10871,66789v,24337,14388,44480,35346,53030l68891,124196r,9345l68694,133579c30150,133579,,104191,,66789,,29388,30150,,68694,xe" fillcolor="black" stroked="f" strokeweight="0">
                <v:stroke miterlimit="83231f" joinstyle="miter"/>
                <v:path arrowok="t" textboxrect="0,0,68891,133579"/>
              </v:shape>
              <v:shape id="Shape 7837" o:spid="_x0000_s1037" style="position:absolute;left:40831;top:223;width:689;height:1335;visibility:visible;mso-wrap-style:square;v-text-anchor:top" coordsize="68891,133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" path="m,l26939,5139c51817,15157,68891,38701,68891,66752v,28051,-17074,51594,-41952,61613l,133503r,-9345l184,124194v32639,,57836,-24994,57836,-57442c58020,34316,32823,9322,184,9322l,9358,,xe" fillcolor="black" stroked="f" strokeweight="0">
                <v:stroke miterlimit="83231f" joinstyle="miter"/>
                <v:path arrowok="t" textboxrect="0,0,68891,133503"/>
              </v:shape>
              <v:shape id="Shape 7838" o:spid="_x0000_s1038" style="position:absolute;left:32197;width:1782;height:1782;visibility:visible;mso-wrap-style:square;v-text-anchor:top" coordsize="178257,178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" path="m89129,v49225,,89128,39903,89128,89141c178257,138354,138354,178257,89129,178257,39903,178257,,138354,,89141,,39903,39903,,89129,xe" filled="f" strokeweight=".92pt">
                <v:stroke miterlimit="83231f" joinstyle="miter"/>
                <v:path arrowok="t" textboxrect="0,0,178257,178257"/>
              </v:shape>
              <v:shape id="Shape 7839" o:spid="_x0000_s1039" style="position:absolute;left:32854;top:671;width:467;height:467;visibility:visible;mso-wrap-style:square;v-text-anchor:top" coordsize="46711,4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" path="m23266,r178,c24448,12395,34315,22276,46711,23266r,178c34315,24447,24448,34315,23444,46711r-178,c22276,34315,12395,24447,,23444r,-178c12395,22276,22276,12395,23266,xe" fillcolor="#cccccb" stroked="f" strokeweight="0">
                <v:stroke miterlimit="83231f" joinstyle="miter"/>
                <v:path arrowok="t" textboxrect="0,0,46711,46711"/>
              </v:shape>
              <v:shape id="Shape 7840" o:spid="_x0000_s1040" style="position:absolute;left:33268;top:392;width:333;height:333;visibility:visible;mso-wrap-style:square;v-text-anchor:top" coordsize="33299,33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" path="m33299,l21196,21184r-12,l21196,21196r4433,4420l25629,25629r-26,l,33287,7671,7684r-13,l7671,7671r4419,4419l12116,12103r-13,-13l33299,xe" fillcolor="black" stroked="f" strokeweight="0">
                <v:stroke miterlimit="83231f" joinstyle="miter"/>
                <v:path arrowok="t" textboxrect="0,0,33299,33287"/>
              </v:shape>
              <v:shape id="Shape 7841" o:spid="_x0000_s1041" style="position:absolute;left:32961;top:179;width:254;height:471;visibility:visible;mso-wrap-style:square;v-text-anchor:top" coordsize="25387,47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" path="m12700,r,13l19139,23546r6248,l25375,23571,12700,47092,13,23571,,23546r6261,l12700,xe" fillcolor="black" stroked="f" strokeweight="0">
                <v:stroke miterlimit="83231f" joinstyle="miter"/>
                <v:path arrowok="t" textboxrect="0,0,25387,47092"/>
              </v:shape>
              <v:shape id="Shape 7842" o:spid="_x0000_s1042" style="position:absolute;left:32961;top:1159;width:254;height:471;visibility:visible;mso-wrap-style:square;v-text-anchor:top" coordsize="25387,47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" path="m12687,r2845,5271l25374,23520r13,l25387,23546r-6261,l12687,47092,6248,23546,,23546r,-13l12,23520,12687,xe" fillcolor="black" stroked="f" strokeweight="0">
                <v:stroke miterlimit="83231f" joinstyle="miter"/>
                <v:path arrowok="t" textboxrect="0,0,25387,47092"/>
              </v:shape>
              <v:shape id="Shape 7843" o:spid="_x0000_s1043" style="position:absolute;left:32575;top:392;width:333;height:333;visibility:visible;mso-wrap-style:square;v-text-anchor:top" coordsize="33300,3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" path="m,l13,,21196,12090r-12,26l25629,7671r,25l33300,33299,28207,31775,7696,25629r-25,l12116,21184r-13,12l1994,3493,,xe" fillcolor="black" stroked="f" strokeweight="0">
                <v:stroke miterlimit="83231f" joinstyle="miter"/>
                <v:path arrowok="t" textboxrect="0,0,33300,33299"/>
              </v:shape>
              <v:shape id="Shape 7844" o:spid="_x0000_s1044" style="position:absolute;left:32362;top:778;width:471;height:254;visibility:visible;mso-wrap-style:square;v-text-anchor:top" coordsize="47091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" path="m23545,r26,25l47091,12700,31724,20993r-8153,4394l23545,25400r,-6261l,12700,23545,6261,23545,xe" fillcolor="black" stroked="f" strokeweight="0">
                <v:stroke miterlimit="83231f" joinstyle="miter"/>
                <v:path arrowok="t" textboxrect="0,0,47091,25400"/>
              </v:shape>
              <v:shape id="Shape 7845" o:spid="_x0000_s1045" style="position:absolute;left:32575;top:1085;width:333;height:333;visibility:visible;mso-wrap-style:square;v-text-anchor:top" coordsize="33299,33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" path="m33287,r12,l25628,25590r,26l21184,21184r12,12l10706,27178,,33287,12090,12090r26,13l7670,7658r26,l33287,xe" fillcolor="black" stroked="f" strokeweight="0">
                <v:stroke miterlimit="83231f" joinstyle="miter"/>
                <v:path arrowok="t" textboxrect="0,0,33299,33287"/>
              </v:shape>
              <v:shape id="Shape 7846" o:spid="_x0000_s1046" style="position:absolute;left:33342;top:778;width:471;height:254;visibility:visible;mso-wrap-style:square;v-text-anchor:top" coordsize="47092,25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" path="m23533,r13,l23546,6261r21247,5804l47092,12687r,13l23546,19126r,6261l23533,25387r,-12l,12700r13,l9208,7734,23521,13,23533,xe" fillcolor="black" stroked="f" strokeweight="0">
                <v:stroke miterlimit="83231f" joinstyle="miter"/>
                <v:path arrowok="t" textboxrect="0,0,47092,25387"/>
              </v:shape>
              <v:shape id="Shape 7847" o:spid="_x0000_s1047" style="position:absolute;left:33268;top:1085;width:333;height:333;visibility:visible;mso-wrap-style:square;v-text-anchor:top" coordsize="33300,3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" path="m,l25603,7671r26,l21209,12103,33300,33287r,12l22746,27280,12103,21209r13,-13l12103,21196,7671,25629r,-26l,xe" fillcolor="black" stroked="f" strokeweight="0">
                <v:stroke miterlimit="83231f" joinstyle="miter"/>
                <v:path arrowok="t" textboxrect="0,0,33300,33299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80" w:rsidRDefault="00371D77">
    <w:pPr>
      <w:tabs>
        <w:tab w:val="center" w:pos="1205"/>
        <w:tab w:val="right" w:pos="7257"/>
      </w:tabs>
      <w:spacing w:after="0" w:line="259" w:lineRule="auto"/>
      <w:ind w:right="-68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806525</wp:posOffset>
              </wp:positionH>
              <wp:positionV relativeFrom="page">
                <wp:posOffset>702005</wp:posOffset>
              </wp:positionV>
              <wp:extent cx="4151998" cy="6350"/>
              <wp:effectExtent l="0" t="0" r="0" b="0"/>
              <wp:wrapSquare wrapText="bothSides"/>
              <wp:docPr id="7807" name="Group 78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51998" cy="6350"/>
                        <a:chOff x="0" y="0"/>
                        <a:chExt cx="4151998" cy="6350"/>
                      </a:xfrm>
                    </wpg:grpSpPr>
                    <wps:wsp>
                      <wps:cNvPr id="7808" name="Shape 7808"/>
                      <wps:cNvSpPr/>
                      <wps:spPr>
                        <a:xfrm>
                          <a:off x="0" y="0"/>
                          <a:ext cx="41519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998">
                              <a:moveTo>
                                <a:pt x="0" y="0"/>
                              </a:moveTo>
                              <a:lnTo>
                                <a:pt x="4151998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807" style="width:326.929pt;height:0.5pt;position:absolute;mso-position-horizontal-relative:page;mso-position-horizontal:absolute;margin-left:63.5059pt;mso-position-vertical-relative:page;margin-top:55.276pt;" coordsize="41519,63">
              <v:shape id="Shape 7808" style="position:absolute;width:41519;height:0;left:0;top:0;" coordsize="4151998,0" path="m0,0l4151998,0">
                <v:stroke weight="0.5pt" endcap="flat" joinstyle="miter" miterlimit="4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22"/>
      </w:rPr>
      <w:tab/>
    </w:r>
    <w:r>
      <w:rPr>
        <w:b/>
        <w:sz w:val="14"/>
      </w:rPr>
      <w:t>Версия 2020</w:t>
    </w:r>
    <w:r>
      <w:rPr>
        <w:b/>
        <w:sz w:val="14"/>
      </w:rPr>
      <w:tab/>
    </w:r>
    <w:r>
      <w:rPr>
        <w:sz w:val="18"/>
      </w:rPr>
      <w:t xml:space="preserve">ПАТОЛОГИЯ КОСТНОЙ ТКАНИ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51</w:t>
    </w:r>
    <w:r>
      <w:rPr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480" w:rsidRDefault="00371D77">
    <w:pPr>
      <w:spacing w:after="0" w:line="259" w:lineRule="auto"/>
      <w:ind w:left="-552" w:right="19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361800</wp:posOffset>
              </wp:positionH>
              <wp:positionV relativeFrom="page">
                <wp:posOffset>386907</wp:posOffset>
              </wp:positionV>
              <wp:extent cx="4152003" cy="315099"/>
              <wp:effectExtent l="0" t="0" r="0" b="0"/>
              <wp:wrapSquare wrapText="bothSides"/>
              <wp:docPr id="7760" name="Group 77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52003" cy="315099"/>
                        <a:chOff x="0" y="0"/>
                        <a:chExt cx="4152003" cy="315099"/>
                      </a:xfrm>
                    </wpg:grpSpPr>
                    <wps:wsp>
                      <wps:cNvPr id="7761" name="Shape 7761"/>
                      <wps:cNvSpPr/>
                      <wps:spPr>
                        <a:xfrm>
                          <a:off x="0" y="315099"/>
                          <a:ext cx="41519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998">
                              <a:moveTo>
                                <a:pt x="0" y="0"/>
                              </a:moveTo>
                              <a:lnTo>
                                <a:pt x="4151998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80" name="Rectangle 7780"/>
                      <wps:cNvSpPr/>
                      <wps:spPr>
                        <a:xfrm>
                          <a:off x="0" y="17057"/>
                          <a:ext cx="275019" cy="2502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42480" w:rsidRDefault="00371D77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8"/>
                              </w:rPr>
                              <w:t>50</w:t>
                            </w:r>
                            <w:r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781" name="Rectangle 7781"/>
                      <wps:cNvSpPr/>
                      <wps:spPr>
                        <a:xfrm>
                          <a:off x="1609367" y="86522"/>
                          <a:ext cx="2010266" cy="1251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142480" w:rsidRDefault="00371D77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>
                              <w:rPr>
                                <w:b/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b/>
                                <w:spacing w:val="2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762" name="Shape 7762"/>
                      <wps:cNvSpPr/>
                      <wps:spPr>
                        <a:xfrm>
                          <a:off x="3460959" y="24055"/>
                          <a:ext cx="37884" cy="130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84" h="130150">
                              <a:moveTo>
                                <a:pt x="0" y="0"/>
                              </a:moveTo>
                              <a:lnTo>
                                <a:pt x="33401" y="0"/>
                              </a:lnTo>
                              <a:lnTo>
                                <a:pt x="37884" y="624"/>
                              </a:lnTo>
                              <a:lnTo>
                                <a:pt x="37884" y="9205"/>
                              </a:lnTo>
                              <a:lnTo>
                                <a:pt x="31305" y="8395"/>
                              </a:lnTo>
                              <a:lnTo>
                                <a:pt x="10122" y="8395"/>
                              </a:lnTo>
                              <a:lnTo>
                                <a:pt x="10122" y="59360"/>
                              </a:lnTo>
                              <a:lnTo>
                                <a:pt x="31686" y="59360"/>
                              </a:lnTo>
                              <a:lnTo>
                                <a:pt x="37884" y="57682"/>
                              </a:lnTo>
                              <a:lnTo>
                                <a:pt x="37884" y="70078"/>
                              </a:lnTo>
                              <a:lnTo>
                                <a:pt x="27674" y="67754"/>
                              </a:lnTo>
                              <a:lnTo>
                                <a:pt x="10122" y="67754"/>
                              </a:lnTo>
                              <a:lnTo>
                                <a:pt x="10122" y="130150"/>
                              </a:lnTo>
                              <a:lnTo>
                                <a:pt x="0" y="1301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63" name="Shape 7763"/>
                      <wps:cNvSpPr/>
                      <wps:spPr>
                        <a:xfrm>
                          <a:off x="3498843" y="24679"/>
                          <a:ext cx="60592" cy="1295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92" h="129526">
                              <a:moveTo>
                                <a:pt x="0" y="0"/>
                              </a:moveTo>
                              <a:lnTo>
                                <a:pt x="15699" y="2184"/>
                              </a:lnTo>
                              <a:cubicBezTo>
                                <a:pt x="32310" y="7562"/>
                                <a:pt x="38646" y="19947"/>
                                <a:pt x="38646" y="32968"/>
                              </a:cubicBezTo>
                              <a:cubicBezTo>
                                <a:pt x="38646" y="48043"/>
                                <a:pt x="30442" y="58546"/>
                                <a:pt x="13843" y="64654"/>
                              </a:cubicBezTo>
                              <a:cubicBezTo>
                                <a:pt x="19939" y="67893"/>
                                <a:pt x="25095" y="75335"/>
                                <a:pt x="31204" y="84492"/>
                              </a:cubicBezTo>
                              <a:lnTo>
                                <a:pt x="60592" y="129526"/>
                              </a:lnTo>
                              <a:lnTo>
                                <a:pt x="48768" y="129526"/>
                              </a:lnTo>
                              <a:lnTo>
                                <a:pt x="26048" y="93852"/>
                              </a:lnTo>
                              <a:cubicBezTo>
                                <a:pt x="18224" y="81539"/>
                                <a:pt x="13071" y="74859"/>
                                <a:pt x="7919" y="71257"/>
                              </a:cubicBezTo>
                              <a:lnTo>
                                <a:pt x="0" y="69455"/>
                              </a:lnTo>
                              <a:lnTo>
                                <a:pt x="0" y="57058"/>
                              </a:lnTo>
                              <a:lnTo>
                                <a:pt x="19369" y="51815"/>
                              </a:lnTo>
                              <a:cubicBezTo>
                                <a:pt x="24997" y="47376"/>
                                <a:pt x="27762" y="40982"/>
                                <a:pt x="27762" y="33158"/>
                              </a:cubicBezTo>
                              <a:cubicBezTo>
                                <a:pt x="27762" y="22138"/>
                                <a:pt x="21861" y="13368"/>
                                <a:pt x="8849" y="9672"/>
                              </a:cubicBezTo>
                              <a:lnTo>
                                <a:pt x="0" y="85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64" name="Shape 7764"/>
                      <wps:cNvSpPr/>
                      <wps:spPr>
                        <a:xfrm>
                          <a:off x="3567433" y="24055"/>
                          <a:ext cx="108966" cy="131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66" h="131864">
                              <a:moveTo>
                                <a:pt x="0" y="0"/>
                              </a:moveTo>
                              <a:lnTo>
                                <a:pt x="10122" y="0"/>
                              </a:lnTo>
                              <a:lnTo>
                                <a:pt x="10122" y="72898"/>
                              </a:lnTo>
                              <a:cubicBezTo>
                                <a:pt x="10122" y="107061"/>
                                <a:pt x="31102" y="122530"/>
                                <a:pt x="54381" y="122530"/>
                              </a:cubicBezTo>
                              <a:cubicBezTo>
                                <a:pt x="76530" y="122530"/>
                                <a:pt x="98857" y="108585"/>
                                <a:pt x="98857" y="71565"/>
                              </a:cubicBezTo>
                              <a:lnTo>
                                <a:pt x="98857" y="0"/>
                              </a:lnTo>
                              <a:lnTo>
                                <a:pt x="108966" y="0"/>
                              </a:lnTo>
                              <a:lnTo>
                                <a:pt x="108966" y="70993"/>
                              </a:lnTo>
                              <a:cubicBezTo>
                                <a:pt x="108966" y="115659"/>
                                <a:pt x="80911" y="131864"/>
                                <a:pt x="54381" y="131864"/>
                              </a:cubicBezTo>
                              <a:cubicBezTo>
                                <a:pt x="25006" y="131864"/>
                                <a:pt x="0" y="112408"/>
                                <a:pt x="0" y="7327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65" name="Shape 7765"/>
                      <wps:cNvSpPr/>
                      <wps:spPr>
                        <a:xfrm>
                          <a:off x="3698269" y="22341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204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99" y="133579"/>
                                <a:pt x="35103" y="133579"/>
                              </a:cubicBezTo>
                              <a:cubicBezTo>
                                <a:pt x="24435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31" y="120802"/>
                                <a:pt x="24435" y="124244"/>
                                <a:pt x="34531" y="124244"/>
                              </a:cubicBezTo>
                              <a:cubicBezTo>
                                <a:pt x="50000" y="124244"/>
                                <a:pt x="62014" y="112967"/>
                                <a:pt x="62014" y="98273"/>
                              </a:cubicBezTo>
                              <a:cubicBezTo>
                                <a:pt x="62014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66" name="Shape 7766"/>
                      <wps:cNvSpPr/>
                      <wps:spPr>
                        <a:xfrm>
                          <a:off x="3794594" y="22341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191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86" y="133579"/>
                                <a:pt x="35103" y="133579"/>
                              </a:cubicBezTo>
                              <a:cubicBezTo>
                                <a:pt x="24422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18" y="120802"/>
                                <a:pt x="24422" y="124244"/>
                                <a:pt x="34544" y="124244"/>
                              </a:cubicBezTo>
                              <a:cubicBezTo>
                                <a:pt x="50000" y="124244"/>
                                <a:pt x="62027" y="112967"/>
                                <a:pt x="62027" y="98273"/>
                              </a:cubicBezTo>
                              <a:cubicBezTo>
                                <a:pt x="62027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67" name="Shape 7767"/>
                      <wps:cNvSpPr/>
                      <wps:spPr>
                        <a:xfrm>
                          <a:off x="3884661" y="22341"/>
                          <a:ext cx="115443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443" h="133579">
                              <a:moveTo>
                                <a:pt x="68313" y="0"/>
                              </a:moveTo>
                              <a:cubicBezTo>
                                <a:pt x="82817" y="0"/>
                                <a:pt x="98272" y="3619"/>
                                <a:pt x="114109" y="10884"/>
                              </a:cubicBezTo>
                              <a:lnTo>
                                <a:pt x="114109" y="21946"/>
                              </a:lnTo>
                              <a:cubicBezTo>
                                <a:pt x="97891" y="13360"/>
                                <a:pt x="83198" y="9360"/>
                                <a:pt x="67742" y="9360"/>
                              </a:cubicBezTo>
                              <a:cubicBezTo>
                                <a:pt x="35306" y="9360"/>
                                <a:pt x="10871" y="33972"/>
                                <a:pt x="10871" y="66993"/>
                              </a:cubicBezTo>
                              <a:cubicBezTo>
                                <a:pt x="10871" y="100571"/>
                                <a:pt x="35115" y="124244"/>
                                <a:pt x="69075" y="124244"/>
                              </a:cubicBezTo>
                              <a:cubicBezTo>
                                <a:pt x="83769" y="124244"/>
                                <a:pt x="97701" y="120218"/>
                                <a:pt x="115443" y="110884"/>
                              </a:cubicBezTo>
                              <a:lnTo>
                                <a:pt x="115443" y="121374"/>
                              </a:lnTo>
                              <a:cubicBezTo>
                                <a:pt x="100368" y="129375"/>
                                <a:pt x="84341" y="133579"/>
                                <a:pt x="69266" y="133579"/>
                              </a:cubicBezTo>
                              <a:cubicBezTo>
                                <a:pt x="29578" y="133579"/>
                                <a:pt x="0" y="105143"/>
                                <a:pt x="0" y="66993"/>
                              </a:cubicBezTo>
                              <a:cubicBezTo>
                                <a:pt x="0" y="27102"/>
                                <a:pt x="32626" y="0"/>
                                <a:pt x="683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68" name="Shape 7768"/>
                      <wps:cNvSpPr/>
                      <wps:spPr>
                        <a:xfrm>
                          <a:off x="4014220" y="22344"/>
                          <a:ext cx="68891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79">
                              <a:moveTo>
                                <a:pt x="68694" y="0"/>
                              </a:moveTo>
                              <a:lnTo>
                                <a:pt x="68891" y="38"/>
                              </a:lnTo>
                              <a:lnTo>
                                <a:pt x="68891" y="9395"/>
                              </a:lnTo>
                              <a:lnTo>
                                <a:pt x="46217" y="13772"/>
                              </a:lnTo>
                              <a:cubicBezTo>
                                <a:pt x="25259" y="22322"/>
                                <a:pt x="10871" y="42462"/>
                                <a:pt x="10871" y="66789"/>
                              </a:cubicBezTo>
                              <a:cubicBezTo>
                                <a:pt x="10871" y="91126"/>
                                <a:pt x="25259" y="111269"/>
                                <a:pt x="46217" y="119819"/>
                              </a:cubicBezTo>
                              <a:lnTo>
                                <a:pt x="68891" y="124196"/>
                              </a:lnTo>
                              <a:lnTo>
                                <a:pt x="68891" y="133541"/>
                              </a:lnTo>
                              <a:lnTo>
                                <a:pt x="68694" y="133579"/>
                              </a:lnTo>
                              <a:cubicBezTo>
                                <a:pt x="30150" y="133579"/>
                                <a:pt x="0" y="104191"/>
                                <a:pt x="0" y="66789"/>
                              </a:cubicBezTo>
                              <a:cubicBezTo>
                                <a:pt x="0" y="29388"/>
                                <a:pt x="30150" y="0"/>
                                <a:pt x="686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69" name="Shape 7769"/>
                      <wps:cNvSpPr/>
                      <wps:spPr>
                        <a:xfrm>
                          <a:off x="4083111" y="22382"/>
                          <a:ext cx="68891" cy="133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03">
                              <a:moveTo>
                                <a:pt x="0" y="0"/>
                              </a:moveTo>
                              <a:lnTo>
                                <a:pt x="26939" y="5139"/>
                              </a:lnTo>
                              <a:cubicBezTo>
                                <a:pt x="51817" y="15157"/>
                                <a:pt x="68891" y="38701"/>
                                <a:pt x="68891" y="66752"/>
                              </a:cubicBezTo>
                              <a:cubicBezTo>
                                <a:pt x="68891" y="94803"/>
                                <a:pt x="51817" y="118346"/>
                                <a:pt x="26939" y="128365"/>
                              </a:cubicBezTo>
                              <a:lnTo>
                                <a:pt x="0" y="133503"/>
                              </a:lnTo>
                              <a:lnTo>
                                <a:pt x="0" y="124158"/>
                              </a:lnTo>
                              <a:lnTo>
                                <a:pt x="184" y="124194"/>
                              </a:lnTo>
                              <a:cubicBezTo>
                                <a:pt x="32823" y="124194"/>
                                <a:pt x="58020" y="99200"/>
                                <a:pt x="58020" y="66752"/>
                              </a:cubicBezTo>
                              <a:cubicBezTo>
                                <a:pt x="58020" y="34316"/>
                                <a:pt x="32823" y="9322"/>
                                <a:pt x="184" y="9322"/>
                              </a:cubicBezTo>
                              <a:lnTo>
                                <a:pt x="0" y="9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0" name="Shape 7770"/>
                      <wps:cNvSpPr/>
                      <wps:spPr>
                        <a:xfrm>
                          <a:off x="3219701" y="0"/>
                          <a:ext cx="178257" cy="1782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57" h="178257">
                              <a:moveTo>
                                <a:pt x="89129" y="0"/>
                              </a:moveTo>
                              <a:cubicBezTo>
                                <a:pt x="138354" y="0"/>
                                <a:pt x="178257" y="39903"/>
                                <a:pt x="178257" y="89141"/>
                              </a:cubicBezTo>
                              <a:cubicBezTo>
                                <a:pt x="178257" y="138354"/>
                                <a:pt x="138354" y="178257"/>
                                <a:pt x="89129" y="178257"/>
                              </a:cubicBezTo>
                              <a:cubicBezTo>
                                <a:pt x="39903" y="178257"/>
                                <a:pt x="0" y="138354"/>
                                <a:pt x="0" y="89141"/>
                              </a:cubicBezTo>
                              <a:cubicBezTo>
                                <a:pt x="0" y="39903"/>
                                <a:pt x="39903" y="0"/>
                                <a:pt x="89129" y="0"/>
                              </a:cubicBezTo>
                              <a:close/>
                            </a:path>
                          </a:pathLst>
                        </a:custGeom>
                        <a:ln w="11684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1" name="Shape 7771"/>
                      <wps:cNvSpPr/>
                      <wps:spPr>
                        <a:xfrm>
                          <a:off x="3285479" y="67154"/>
                          <a:ext cx="46711" cy="4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46711">
                              <a:moveTo>
                                <a:pt x="23266" y="0"/>
                              </a:moveTo>
                              <a:lnTo>
                                <a:pt x="23444" y="0"/>
                              </a:lnTo>
                              <a:cubicBezTo>
                                <a:pt x="24448" y="12395"/>
                                <a:pt x="34315" y="22276"/>
                                <a:pt x="46711" y="23266"/>
                              </a:cubicBezTo>
                              <a:lnTo>
                                <a:pt x="46711" y="23444"/>
                              </a:lnTo>
                              <a:cubicBezTo>
                                <a:pt x="34315" y="24447"/>
                                <a:pt x="24448" y="34315"/>
                                <a:pt x="23444" y="46711"/>
                              </a:cubicBezTo>
                              <a:lnTo>
                                <a:pt x="23266" y="46711"/>
                              </a:lnTo>
                              <a:cubicBezTo>
                                <a:pt x="22276" y="34315"/>
                                <a:pt x="12395" y="24447"/>
                                <a:pt x="0" y="23444"/>
                              </a:cubicBezTo>
                              <a:lnTo>
                                <a:pt x="0" y="23266"/>
                              </a:lnTo>
                              <a:cubicBezTo>
                                <a:pt x="12395" y="22276"/>
                                <a:pt x="22276" y="12395"/>
                                <a:pt x="232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CCCC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2" name="Shape 7772"/>
                      <wps:cNvSpPr/>
                      <wps:spPr>
                        <a:xfrm>
                          <a:off x="3326834" y="39220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99" y="0"/>
                              </a:moveTo>
                              <a:lnTo>
                                <a:pt x="21196" y="21184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25629" y="25616"/>
                              </a:lnTo>
                              <a:lnTo>
                                <a:pt x="25629" y="25629"/>
                              </a:lnTo>
                              <a:lnTo>
                                <a:pt x="25603" y="25629"/>
                              </a:lnTo>
                              <a:lnTo>
                                <a:pt x="0" y="33287"/>
                              </a:lnTo>
                              <a:lnTo>
                                <a:pt x="7671" y="7684"/>
                              </a:lnTo>
                              <a:lnTo>
                                <a:pt x="7658" y="7684"/>
                              </a:lnTo>
                              <a:lnTo>
                                <a:pt x="7671" y="7671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12103" y="12090"/>
                              </a:lnTo>
                              <a:lnTo>
                                <a:pt x="332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3" name="Shape 7773"/>
                      <wps:cNvSpPr/>
                      <wps:spPr>
                        <a:xfrm>
                          <a:off x="3296139" y="17963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700" y="0"/>
                              </a:moveTo>
                              <a:lnTo>
                                <a:pt x="12700" y="13"/>
                              </a:lnTo>
                              <a:lnTo>
                                <a:pt x="19139" y="23546"/>
                              </a:lnTo>
                              <a:lnTo>
                                <a:pt x="25387" y="23546"/>
                              </a:lnTo>
                              <a:lnTo>
                                <a:pt x="25375" y="23571"/>
                              </a:lnTo>
                              <a:lnTo>
                                <a:pt x="12700" y="47092"/>
                              </a:lnTo>
                              <a:lnTo>
                                <a:pt x="13" y="23571"/>
                              </a:lnTo>
                              <a:lnTo>
                                <a:pt x="0" y="23546"/>
                              </a:lnTo>
                              <a:lnTo>
                                <a:pt x="6261" y="23546"/>
                              </a:lnTo>
                              <a:lnTo>
                                <a:pt x="127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4" name="Shape 7774"/>
                      <wps:cNvSpPr/>
                      <wps:spPr>
                        <a:xfrm>
                          <a:off x="3296142" y="115964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687" y="0"/>
                              </a:moveTo>
                              <a:lnTo>
                                <a:pt x="15532" y="5271"/>
                              </a:lnTo>
                              <a:lnTo>
                                <a:pt x="25374" y="23520"/>
                              </a:lnTo>
                              <a:lnTo>
                                <a:pt x="25387" y="23520"/>
                              </a:lnTo>
                              <a:lnTo>
                                <a:pt x="25387" y="23546"/>
                              </a:lnTo>
                              <a:lnTo>
                                <a:pt x="19126" y="23546"/>
                              </a:lnTo>
                              <a:lnTo>
                                <a:pt x="12687" y="47092"/>
                              </a:lnTo>
                              <a:lnTo>
                                <a:pt x="6248" y="23546"/>
                              </a:lnTo>
                              <a:lnTo>
                                <a:pt x="0" y="23546"/>
                              </a:lnTo>
                              <a:lnTo>
                                <a:pt x="0" y="23533"/>
                              </a:lnTo>
                              <a:lnTo>
                                <a:pt x="12" y="23520"/>
                              </a:lnTo>
                              <a:lnTo>
                                <a:pt x="126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5" name="Shape 7775"/>
                      <wps:cNvSpPr/>
                      <wps:spPr>
                        <a:xfrm>
                          <a:off x="3257537" y="39215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13" y="0"/>
                              </a:lnTo>
                              <a:lnTo>
                                <a:pt x="21196" y="12090"/>
                              </a:lnTo>
                              <a:lnTo>
                                <a:pt x="21184" y="12116"/>
                              </a:lnTo>
                              <a:lnTo>
                                <a:pt x="25629" y="7671"/>
                              </a:lnTo>
                              <a:lnTo>
                                <a:pt x="25629" y="7696"/>
                              </a:lnTo>
                              <a:lnTo>
                                <a:pt x="33300" y="33299"/>
                              </a:lnTo>
                              <a:lnTo>
                                <a:pt x="28207" y="31775"/>
                              </a:lnTo>
                              <a:lnTo>
                                <a:pt x="7696" y="25629"/>
                              </a:lnTo>
                              <a:lnTo>
                                <a:pt x="7671" y="25629"/>
                              </a:lnTo>
                              <a:lnTo>
                                <a:pt x="12116" y="21184"/>
                              </a:lnTo>
                              <a:lnTo>
                                <a:pt x="12103" y="21196"/>
                              </a:lnTo>
                              <a:lnTo>
                                <a:pt x="1994" y="349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6" name="Shape 7776"/>
                      <wps:cNvSpPr/>
                      <wps:spPr>
                        <a:xfrm>
                          <a:off x="3236289" y="77806"/>
                          <a:ext cx="47091" cy="25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1" h="25400">
                              <a:moveTo>
                                <a:pt x="23545" y="0"/>
                              </a:moveTo>
                              <a:lnTo>
                                <a:pt x="23571" y="25"/>
                              </a:lnTo>
                              <a:lnTo>
                                <a:pt x="47091" y="12700"/>
                              </a:lnTo>
                              <a:lnTo>
                                <a:pt x="31724" y="20993"/>
                              </a:lnTo>
                              <a:lnTo>
                                <a:pt x="23571" y="25387"/>
                              </a:lnTo>
                              <a:lnTo>
                                <a:pt x="23545" y="25400"/>
                              </a:lnTo>
                              <a:lnTo>
                                <a:pt x="23545" y="19139"/>
                              </a:lnTo>
                              <a:lnTo>
                                <a:pt x="0" y="12700"/>
                              </a:lnTo>
                              <a:lnTo>
                                <a:pt x="23545" y="6261"/>
                              </a:lnTo>
                              <a:lnTo>
                                <a:pt x="235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7" name="Shape 7777"/>
                      <wps:cNvSpPr/>
                      <wps:spPr>
                        <a:xfrm>
                          <a:off x="3257543" y="108514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87" y="0"/>
                              </a:moveTo>
                              <a:lnTo>
                                <a:pt x="33299" y="0"/>
                              </a:lnTo>
                              <a:lnTo>
                                <a:pt x="25628" y="25590"/>
                              </a:lnTo>
                              <a:lnTo>
                                <a:pt x="25628" y="25616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10706" y="27178"/>
                              </a:lnTo>
                              <a:lnTo>
                                <a:pt x="0" y="33287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7670" y="7658"/>
                              </a:lnTo>
                              <a:lnTo>
                                <a:pt x="7696" y="7658"/>
                              </a:lnTo>
                              <a:lnTo>
                                <a:pt x="332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8" name="Shape 7778"/>
                      <wps:cNvSpPr/>
                      <wps:spPr>
                        <a:xfrm>
                          <a:off x="3334285" y="77814"/>
                          <a:ext cx="47092" cy="25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2" h="25387">
                              <a:moveTo>
                                <a:pt x="23533" y="0"/>
                              </a:moveTo>
                              <a:lnTo>
                                <a:pt x="23546" y="0"/>
                              </a:lnTo>
                              <a:lnTo>
                                <a:pt x="23546" y="6261"/>
                              </a:lnTo>
                              <a:lnTo>
                                <a:pt x="44793" y="12065"/>
                              </a:lnTo>
                              <a:lnTo>
                                <a:pt x="47092" y="12687"/>
                              </a:lnTo>
                              <a:lnTo>
                                <a:pt x="47092" y="12700"/>
                              </a:lnTo>
                              <a:lnTo>
                                <a:pt x="23546" y="19126"/>
                              </a:lnTo>
                              <a:lnTo>
                                <a:pt x="23546" y="25387"/>
                              </a:lnTo>
                              <a:lnTo>
                                <a:pt x="23533" y="25387"/>
                              </a:lnTo>
                              <a:lnTo>
                                <a:pt x="23533" y="25375"/>
                              </a:lnTo>
                              <a:lnTo>
                                <a:pt x="0" y="12700"/>
                              </a:lnTo>
                              <a:lnTo>
                                <a:pt x="13" y="12700"/>
                              </a:lnTo>
                              <a:lnTo>
                                <a:pt x="9208" y="7734"/>
                              </a:lnTo>
                              <a:lnTo>
                                <a:pt x="23521" y="13"/>
                              </a:lnTo>
                              <a:lnTo>
                                <a:pt x="235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79" name="Shape 7779"/>
                      <wps:cNvSpPr/>
                      <wps:spPr>
                        <a:xfrm>
                          <a:off x="3326825" y="108505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25603" y="7671"/>
                              </a:lnTo>
                              <a:lnTo>
                                <a:pt x="25629" y="7671"/>
                              </a:lnTo>
                              <a:lnTo>
                                <a:pt x="21209" y="12103"/>
                              </a:lnTo>
                              <a:lnTo>
                                <a:pt x="33300" y="33287"/>
                              </a:lnTo>
                              <a:lnTo>
                                <a:pt x="33300" y="33299"/>
                              </a:lnTo>
                              <a:lnTo>
                                <a:pt x="22746" y="27280"/>
                              </a:lnTo>
                              <a:lnTo>
                                <a:pt x="12103" y="21209"/>
                              </a:lnTo>
                              <a:lnTo>
                                <a:pt x="12116" y="21196"/>
                              </a:lnTo>
                              <a:lnTo>
                                <a:pt x="12103" y="21196"/>
                              </a:lnTo>
                              <a:lnTo>
                                <a:pt x="7671" y="25629"/>
                              </a:lnTo>
                              <a:lnTo>
                                <a:pt x="7671" y="256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7760" style="width:326.929pt;height:24.8109pt;position:absolute;mso-position-horizontal-relative:page;mso-position-horizontal:absolute;margin-left:28.4882pt;mso-position-vertical-relative:page;margin-top:30.4651pt;" coordsize="41520,3150">
              <v:shape id="Shape 7761" style="position:absolute;width:41519;height:0;left:0;top:3150;" coordsize="4151998,0" path="m0,0l4151998,0">
                <v:stroke weight="0.5pt" endcap="flat" joinstyle="miter" miterlimit="4" on="true" color="#000000"/>
                <v:fill on="false" color="#000000" opacity="0"/>
              </v:shape>
              <v:rect id="Rectangle 7780" style="position:absolute;width:2750;height:2502;left:0;top:17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fldSimple w:instr=" PAGE   \* MERGEFORMAT ">
                        <w:r>
                          <w:rPr>
                            <w:rFonts w:cs="Calibri" w:hAnsi="Calibri" w:eastAsia="Calibri" w:ascii="Calibri"/>
                            <w:sz w:val="28"/>
                          </w:rPr>
                          <w:t xml:space="preserve">50</w:t>
                        </w:r>
                      </w:fldSimple>
                    </w:p>
                  </w:txbxContent>
                </v:textbox>
              </v:rect>
              <v:rect id="Rectangle 7781" style="position:absolute;width:20102;height:1251;left:16093;top:865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b w:val="1"/>
                          <w:sz w:val="14"/>
                        </w:rPr>
                        <w:t xml:space="preserve">Практические</w:t>
                      </w:r>
                      <w:r>
                        <w:rPr>
                          <w:rFonts w:cs="Calibri" w:hAnsi="Calibri" w:eastAsia="Calibri" w:ascii="Calibri"/>
                          <w:b w:val="1"/>
                          <w:spacing w:val="27"/>
                          <w:sz w:val="14"/>
                        </w:rPr>
                        <w:t xml:space="preserve"> </w:t>
                      </w:r>
                      <w:r>
                        <w:rPr>
                          <w:rFonts w:cs="Calibri" w:hAnsi="Calibri" w:eastAsia="Calibri" w:ascii="Calibri"/>
                          <w:b w:val="1"/>
                          <w:sz w:val="14"/>
                        </w:rPr>
                        <w:t xml:space="preserve">рекомендации</w:t>
                      </w:r>
                    </w:p>
                  </w:txbxContent>
                </v:textbox>
              </v:rect>
              <v:shape id="Shape 7762" style="position:absolute;width:378;height:1301;left:34609;top:240;" coordsize="37884,130150" path="m0,0l33401,0l37884,624l37884,9205l31305,8395l10122,8395l10122,59360l31686,59360l37884,57682l37884,70078l27674,67754l10122,67754l10122,130150l0,130150l0,0x">
                <v:stroke weight="0pt" endcap="flat" joinstyle="miter" miterlimit="10" on="false" color="#000000" opacity="0"/>
                <v:fill on="true" color="#000000"/>
              </v:shape>
              <v:shape id="Shape 7763" style="position:absolute;width:605;height:1295;left:34988;top:246;" coordsize="60592,129526" path="m0,0l15699,2184c32310,7562,38646,19947,38646,32968c38646,48043,30442,58546,13843,64654c19939,67893,25095,75335,31204,84492l60592,129526l48768,129526l26048,93852c18224,81539,13071,74859,7919,71257l0,69455l0,57058l19369,51815c24997,47376,27762,40982,27762,33158c27762,22138,21861,13368,8849,9672l0,8581l0,0x">
                <v:stroke weight="0pt" endcap="flat" joinstyle="miter" miterlimit="10" on="false" color="#000000" opacity="0"/>
                <v:fill on="true" color="#000000"/>
              </v:shape>
              <v:shape id="Shape 7764" style="position:absolute;width:1089;height:1318;left:35674;top:240;" coordsize="108966,131864" path="m0,0l10122,0l10122,72898c10122,107061,31102,122530,54381,122530c76530,122530,98857,108585,98857,71565l98857,0l108966,0l108966,70993c108966,115659,80911,131864,54381,131864c25006,131864,0,112408,0,73279l0,0x">
                <v:stroke weight="0pt" endcap="flat" joinstyle="miter" miterlimit="10" on="false" color="#000000" opacity="0"/>
                <v:fill on="true" color="#000000"/>
              </v:shape>
              <v:shape id="Shape 7765" style="position:absolute;width:728;height:1335;left:36982;top:223;" coordsize="72898,133579" path="m37402,0c47511,0,57442,2680,67551,8204l67551,19279c54204,11646,47333,9360,38354,9360c22708,9360,10871,20041,10871,34163c10871,68885,72898,52286,72898,97892c72898,117932,56299,133579,35103,133579c24435,133579,13157,129756,1715,122136l1715,110300c16231,120802,24435,124244,34531,124244c50000,124244,62014,112967,62014,98273c62014,61252,0,77483,0,34531c0,15265,16789,0,37402,0x">
                <v:stroke weight="0pt" endcap="flat" joinstyle="miter" miterlimit="10" on="false" color="#000000" opacity="0"/>
                <v:fill on="true" color="#000000"/>
              </v:shape>
              <v:shape id="Shape 7766" style="position:absolute;width:728;height:1335;left:37945;top:223;" coordsize="72898,133579" path="m37402,0c47511,0,57442,2680,67551,8204l67551,19279c54191,11646,47333,9360,38354,9360c22708,9360,10871,20041,10871,34163c10871,68885,72898,52286,72898,97892c72898,117932,56286,133579,35103,133579c24422,133579,13157,129756,1715,122136l1715,110300c16218,120802,24422,124244,34544,124244c50000,124244,62027,112967,62027,98273c62027,61252,0,77483,0,34531c0,15265,16789,0,37402,0x">
                <v:stroke weight="0pt" endcap="flat" joinstyle="miter" miterlimit="10" on="false" color="#000000" opacity="0"/>
                <v:fill on="true" color="#000000"/>
              </v:shape>
              <v:shape id="Shape 7767" style="position:absolute;width:1154;height:1335;left:38846;top:223;" coordsize="115443,133579" path="m68313,0c82817,0,98272,3619,114109,10884l114109,21946c97891,13360,83198,9360,67742,9360c35306,9360,10871,33972,10871,66993c10871,100571,35115,124244,69075,124244c83769,124244,97701,120218,115443,110884l115443,121374c100368,129375,84341,133579,69266,133579c29578,133579,0,105143,0,66993c0,27102,32626,0,68313,0x">
                <v:stroke weight="0pt" endcap="flat" joinstyle="miter" miterlimit="10" on="false" color="#000000" opacity="0"/>
                <v:fill on="true" color="#000000"/>
              </v:shape>
              <v:shape id="Shape 7768" style="position:absolute;width:688;height:1335;left:40142;top:223;" coordsize="68891,133579" path="m68694,0l68891,38l68891,9395l46217,13772c25259,22322,10871,42462,10871,66789c10871,91126,25259,111269,46217,119819l68891,124196l68891,133541l68694,133579c30150,133579,0,104191,0,66789c0,29388,30150,0,68694,0x">
                <v:stroke weight="0pt" endcap="flat" joinstyle="miter" miterlimit="10" on="false" color="#000000" opacity="0"/>
                <v:fill on="true" color="#000000"/>
              </v:shape>
              <v:shape id="Shape 7769" style="position:absolute;width:688;height:1335;left:40831;top:223;" coordsize="68891,133503" path="m0,0l26939,5139c51817,15157,68891,38701,68891,66752c68891,94803,51817,118346,26939,128365l0,133503l0,124158l184,124194c32823,124194,58020,99200,58020,66752c58020,34316,32823,9322,184,9322l0,9358l0,0x">
                <v:stroke weight="0pt" endcap="flat" joinstyle="miter" miterlimit="10" on="false" color="#000000" opacity="0"/>
                <v:fill on="true" color="#000000"/>
              </v:shape>
              <v:shape id="Shape 7770" style="position:absolute;width:1782;height:1782;left:32197;top:0;" coordsize="178257,178257" path="m89129,0c138354,0,178257,39903,178257,89141c178257,138354,138354,178257,89129,178257c39903,178257,0,138354,0,89141c0,39903,39903,0,89129,0x">
                <v:stroke weight="0.92pt" endcap="flat" joinstyle="miter" miterlimit="10" on="true" color="#000000"/>
                <v:fill on="false" color="#000000" opacity="0"/>
              </v:shape>
              <v:shape id="Shape 7771" style="position:absolute;width:467;height:467;left:32854;top:671;" coordsize="46711,46711" path="m23266,0l23444,0c24448,12395,34315,22276,46711,23266l46711,23444c34315,24447,24448,34315,23444,46711l23266,46711c22276,34315,12395,24447,0,23444l0,23266c12395,22276,22276,12395,23266,0x">
                <v:stroke weight="0pt" endcap="flat" joinstyle="miter" miterlimit="10" on="false" color="#000000" opacity="0"/>
                <v:fill on="true" color="#cccccb"/>
              </v:shape>
              <v:shape id="Shape 7772" style="position:absolute;width:332;height:332;left:33268;top:392;" coordsize="33299,33287" path="m33299,0l21196,21184l21184,21184l21196,21196l25629,25616l25629,25629l25603,25629l0,33287l7671,7684l7658,7684l7671,7671l12090,12090l12116,12103l12103,12090l33299,0x">
                <v:stroke weight="0pt" endcap="flat" joinstyle="miter" miterlimit="10" on="false" color="#000000" opacity="0"/>
                <v:fill on="true" color="#000000"/>
              </v:shape>
              <v:shape id="Shape 7773" style="position:absolute;width:253;height:470;left:32961;top:179;" coordsize="25387,47092" path="m12700,0l12700,13l19139,23546l25387,23546l25375,23571l12700,47092l13,23571l0,23546l6261,23546l12700,0x">
                <v:stroke weight="0pt" endcap="flat" joinstyle="miter" miterlimit="10" on="false" color="#000000" opacity="0"/>
                <v:fill on="true" color="#000000"/>
              </v:shape>
              <v:shape id="Shape 7774" style="position:absolute;width:253;height:470;left:32961;top:1159;" coordsize="25387,47092" path="m12687,0l15532,5271l25374,23520l25387,23520l25387,23546l19126,23546l12687,47092l6248,23546l0,23546l0,23533l12,23520l12687,0x">
                <v:stroke weight="0pt" endcap="flat" joinstyle="miter" miterlimit="10" on="false" color="#000000" opacity="0"/>
                <v:fill on="true" color="#000000"/>
              </v:shape>
              <v:shape id="Shape 7775" style="position:absolute;width:333;height:332;left:32575;top:392;" coordsize="33300,33299" path="m0,0l13,0l21196,12090l21184,12116l25629,7671l25629,7696l33300,33299l28207,31775l7696,25629l7671,25629l12116,21184l12103,21196l1994,3493l0,0x">
                <v:stroke weight="0pt" endcap="flat" joinstyle="miter" miterlimit="10" on="false" color="#000000" opacity="0"/>
                <v:fill on="true" color="#000000"/>
              </v:shape>
              <v:shape id="Shape 7776" style="position:absolute;width:470;height:254;left:32362;top:778;" coordsize="47091,25400" path="m23545,0l23571,25l47091,12700l31724,20993l23571,25387l23545,25400l23545,19139l0,12700l23545,6261l23545,0x">
                <v:stroke weight="0pt" endcap="flat" joinstyle="miter" miterlimit="10" on="false" color="#000000" opacity="0"/>
                <v:fill on="true" color="#000000"/>
              </v:shape>
              <v:shape id="Shape 7777" style="position:absolute;width:332;height:332;left:32575;top:1085;" coordsize="33299,33287" path="m33287,0l33299,0l25628,25590l25628,25616l21184,21184l21196,21196l10706,27178l0,33287l12090,12090l12116,12103l7670,7658l7696,7658l33287,0x">
                <v:stroke weight="0pt" endcap="flat" joinstyle="miter" miterlimit="10" on="false" color="#000000" opacity="0"/>
                <v:fill on="true" color="#000000"/>
              </v:shape>
              <v:shape id="Shape 7778" style="position:absolute;width:470;height:253;left:33342;top:778;" coordsize="47092,25387" path="m23533,0l23546,0l23546,6261l44793,12065l47092,12687l47092,12700l23546,19126l23546,25387l23533,25387l23533,25375l0,12700l13,12700l9208,7734l23521,13l23533,0x">
                <v:stroke weight="0pt" endcap="flat" joinstyle="miter" miterlimit="10" on="false" color="#000000" opacity="0"/>
                <v:fill on="true" color="#000000"/>
              </v:shape>
              <v:shape id="Shape 7779" style="position:absolute;width:333;height:332;left:33268;top:1085;" coordsize="33300,33299" path="m0,0l25603,7671l25629,7671l21209,12103l33300,33287l33300,33299l22746,27280l12103,21209l12116,21196l12103,21196l7671,25629l7671,25603l0,0x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5CF6"/>
    <w:multiLevelType w:val="hybridMultilevel"/>
    <w:tmpl w:val="142671AE"/>
    <w:lvl w:ilvl="0" w:tplc="9F10BDD0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B4CAA7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C46144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63E82E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1902A7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48CD2B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EC4861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4FA47D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C92872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BC76C2"/>
    <w:multiLevelType w:val="hybridMultilevel"/>
    <w:tmpl w:val="76448AC2"/>
    <w:lvl w:ilvl="0" w:tplc="A0FC7F70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11879A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0F6EF8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C94A27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82E948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CA380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0B076E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66A344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44E21E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0C3502"/>
    <w:multiLevelType w:val="hybridMultilevel"/>
    <w:tmpl w:val="9CAE5A32"/>
    <w:lvl w:ilvl="0" w:tplc="C9CC0E22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56EF9C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BBA552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80A2BE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4D4683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158752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F7E5DE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174336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A0A757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0A0A8C"/>
    <w:multiLevelType w:val="hybridMultilevel"/>
    <w:tmpl w:val="7F52E186"/>
    <w:lvl w:ilvl="0" w:tplc="80EC5D58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94C93E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FF07C0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C2E10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1FA0F8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AD2FE3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CFCD60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98A49F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188E5E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43E517F"/>
    <w:multiLevelType w:val="hybridMultilevel"/>
    <w:tmpl w:val="6E3453EA"/>
    <w:lvl w:ilvl="0" w:tplc="A08499FE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47C114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CE4EFC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CB0640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41260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FD8D30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F0DB0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88EE24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CAE63B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C5721F"/>
    <w:multiLevelType w:val="hybridMultilevel"/>
    <w:tmpl w:val="ABE05124"/>
    <w:lvl w:ilvl="0" w:tplc="4564A128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AF8C79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548882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7A48E7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FD2B4A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69E9B4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512465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AF8D99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AFE73E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irrorMargins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80"/>
    <w:rsid w:val="00142480"/>
    <w:rsid w:val="0037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0B28C5E-F5E8-4855-9847-50D4280C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7" w:line="268" w:lineRule="auto"/>
      <w:ind w:right="42" w:firstLine="274"/>
      <w:jc w:val="both"/>
    </w:pPr>
    <w:rPr>
      <w:rFonts w:ascii="Calibri" w:eastAsia="Calibri" w:hAnsi="Calibri" w:cs="Calibri"/>
      <w:color w:val="000000"/>
      <w:sz w:val="16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1"/>
      <w:outlineLvl w:val="0"/>
    </w:pPr>
    <w:rPr>
      <w:rFonts w:ascii="Calibri" w:eastAsia="Calibri" w:hAnsi="Calibri" w:cs="Calibri"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74"/>
      <w:ind w:left="10" w:hanging="10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000000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13"/>
      <w:ind w:left="10" w:hanging="10"/>
      <w:outlineLvl w:val="3"/>
    </w:pPr>
    <w:rPr>
      <w:rFonts w:ascii="Calibri" w:eastAsia="Calibri" w:hAnsi="Calibri" w:cs="Calibri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Pr>
      <w:rFonts w:ascii="Calibri" w:eastAsia="Calibri" w:hAnsi="Calibri" w:cs="Calibri"/>
      <w:b/>
      <w:color w:val="000000"/>
      <w:sz w:val="20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000000"/>
      <w:sz w:val="22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4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3276</Words>
  <Characters>18674</Characters>
  <Application>Microsoft Office Word</Application>
  <DocSecurity>4</DocSecurity>
  <Lines>155</Lines>
  <Paragraphs>43</Paragraphs>
  <ScaleCrop>false</ScaleCrop>
  <Company/>
  <LinksUpToDate>false</LinksUpToDate>
  <CharactersWithSpaces>21907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ОСТЕОМОДИФИЦИРУЮЩИХ АГЕНТОВ (ОМА) ДЛЯ ПРОФИЛАКТИКИ И ЛЕЧЕНИЯ ПАТОЛОГИИ КОСТНОЙ ТКАНИ ПРИ ЗЛОКАЧЕСТВЕННЫХ НОВООБРАЗОВАНИЯХ</dc:title>
  <dc:subject>ИСПОЛЬЗОВАНИЕ ОСТЕОМОДИФИЦИРУЮЩИХ АГЕНТОВ (ОМА) ДЛЯ ПРОФИЛАКТИКИ И ЛЕЧЕНИЯ ПАТОЛОГИИ КОСТНОЙ ТКАНИ ПРИ ЗЛОКАЧЕСТВЕННЫХ НОВООБРАЗОВАНИЯХ</dc:subject>
  <dc:creator>Багрова С.Г., Копп М.В., Кутукова С.И., Манзюк Л.В., Семиглазова Т.Ю.</dc:creator>
  <cp:keywords>остеомодифицирующие агенты, метастазы в кости, остеопороз, бисфосфонаты, золедроновая кислота, деносумаб</cp:keywords>
  <cp:lastModifiedBy>word</cp:lastModifiedBy>
  <cp:revision>2</cp:revision>
  <dcterms:created xsi:type="dcterms:W3CDTF">2025-06-02T07:03:00Z</dcterms:created>
  <dcterms:modified xsi:type="dcterms:W3CDTF">2025-06-02T07:03:00Z</dcterms:modified>
</cp:coreProperties>
</file>