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111" w:rsidRDefault="000472C8">
      <w:pPr>
        <w:spacing w:after="0" w:line="273" w:lineRule="auto"/>
        <w:ind w:left="3496" w:right="1335" w:hanging="615"/>
        <w:jc w:val="left"/>
      </w:pPr>
      <w:bookmarkStart w:id="0" w:name="_GoBack"/>
      <w:bookmarkEnd w:id="0"/>
      <w:r>
        <w:rPr>
          <w:sz w:val="24"/>
        </w:rPr>
        <w:t xml:space="preserve">МИНИСТЕРСТВО ЗДРАВООХРАНЕНИЯ РОССИЙСКОЙ ФЕДЕРАЦИИ </w:t>
      </w:r>
      <w:r>
        <w:rPr>
          <w:noProof/>
        </w:rPr>
        <w:drawing>
          <wp:inline distT="0" distB="0" distL="0" distR="0">
            <wp:extent cx="6098" cy="9147"/>
            <wp:effectExtent l="0" t="0" r="0" b="0"/>
            <wp:docPr id="1366" name="Picture 1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" name="Picture 13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111" w:rsidRDefault="000472C8">
      <w:pPr>
        <w:spacing w:after="619" w:line="259" w:lineRule="auto"/>
        <w:ind w:right="202" w:firstLine="0"/>
        <w:jc w:val="center"/>
      </w:pPr>
      <w:r>
        <w:rPr>
          <w:sz w:val="20"/>
        </w:rPr>
        <w:t>(МИНЗДРАВ РОССИИ)</w:t>
      </w:r>
    </w:p>
    <w:p w:rsidR="00842111" w:rsidRDefault="000472C8">
      <w:pPr>
        <w:pStyle w:val="Heading1"/>
      </w:pPr>
      <w:r>
        <w:t>———.И-Р-И-КАЗ</w:t>
      </w:r>
    </w:p>
    <w:p w:rsidR="00842111" w:rsidRDefault="000472C8">
      <w:pPr>
        <w:spacing w:after="10" w:line="259" w:lineRule="auto"/>
        <w:ind w:left="480" w:right="0" w:firstLine="0"/>
        <w:jc w:val="left"/>
      </w:pPr>
      <w:r>
        <w:rPr>
          <w:noProof/>
        </w:rPr>
        <w:drawing>
          <wp:inline distT="0" distB="0" distL="0" distR="0">
            <wp:extent cx="5942933" cy="1588461"/>
            <wp:effectExtent l="0" t="0" r="0" b="0"/>
            <wp:docPr id="27247" name="Picture 272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47" name="Picture 2724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2933" cy="1588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111" w:rsidRDefault="000472C8">
      <w:pPr>
        <w:spacing w:after="652" w:line="224" w:lineRule="auto"/>
        <w:ind w:left="10" w:right="7" w:hanging="10"/>
        <w:jc w:val="center"/>
      </w:pPr>
      <w:r>
        <w:rPr>
          <w:sz w:val="30"/>
        </w:rPr>
        <w:t>Об утверждении порядка создания и деятельности врачебной комиссии медицинской организации</w:t>
      </w:r>
    </w:p>
    <w:p w:rsidR="00842111" w:rsidRDefault="000472C8">
      <w:pPr>
        <w:ind w:left="24" w:right="288"/>
      </w:pPr>
      <w:r>
        <w:t>В соответствии с пунктом 4 части 2 статьи 14 Федерального закона от 21 ноября 2011 г. № 323-ФЗ «Об основах охраны здоровья граждан в Российской Федерации» и подпунктом 5.2.16 пункта 5 Положения о Министерстве здравоохранения Российской Федерации, утвержден</w:t>
      </w:r>
      <w:r>
        <w:t>ного постановлением Правительства Российской Федерации от 19 июня 2012 г. № 608, п р и к а з ы в а ю:</w:t>
      </w:r>
    </w:p>
    <w:p w:rsidR="00842111" w:rsidRDefault="000472C8">
      <w:pPr>
        <w:ind w:left="19" w:right="298"/>
      </w:pPr>
      <w:r>
        <w:t>1. Утвердить прилагаемый порядок создания и деятельности врачебной комиссии медицинской организации. 2. Признать утратившими силу:</w:t>
      </w:r>
    </w:p>
    <w:p w:rsidR="00842111" w:rsidRDefault="000472C8">
      <w:pPr>
        <w:ind w:left="5" w:right="298"/>
      </w:pPr>
      <w:r>
        <w:t>приказ Министерства здр</w:t>
      </w:r>
      <w:r>
        <w:t xml:space="preserve">авоохранения и социального развития Российской Федерации от 5 мая 2012 г. № 502н «Об утверждении порядка создания </w:t>
      </w:r>
      <w:r>
        <w:rPr>
          <w:noProof/>
        </w:rPr>
        <w:drawing>
          <wp:inline distT="0" distB="0" distL="0" distR="0">
            <wp:extent cx="3049" cy="3049"/>
            <wp:effectExtent l="0" t="0" r="0" b="0"/>
            <wp:docPr id="1369" name="Picture 13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" name="Picture 136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и деятельности врачебной комиссии медицинской организации» (зарегистрирован Министерством юстиции Российской Федерации 9 июня 2012 г., регист</w:t>
      </w:r>
      <w:r>
        <w:t xml:space="preserve">рационный № 24516); приказ Министерства здравоохранения Российской Федерации от 2 декабря 2013 г. № 886н «О внесении изменений в Порядок создания и деятельности врачебной комиссии медицинской организации, утвержденный приказом Министерства здравоохранения </w:t>
      </w:r>
      <w:r>
        <w:t>и социального развития Российской Федерации от 5 мая 2012 г. № 502н, и в Порядок назначения и выписывания лекарственных препаратов, утвержденный приказом Министерства здравоохранения Российской Федерации от 20 декабря 2012 г. № 1175н» (зарегистрирован Мини</w:t>
      </w:r>
      <w:r>
        <w:t>стерством юстиции Российской Федерации 23 декабря 2013 г., регистрационный № 30714).</w:t>
      </w:r>
    </w:p>
    <w:p w:rsidR="00842111" w:rsidRDefault="000472C8">
      <w:pPr>
        <w:spacing w:after="643"/>
        <w:ind w:right="14" w:firstLine="547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2302162</wp:posOffset>
            </wp:positionH>
            <wp:positionV relativeFrom="paragraph">
              <wp:posOffset>242308</wp:posOffset>
            </wp:positionV>
            <wp:extent cx="1509365" cy="1125033"/>
            <wp:effectExtent l="0" t="0" r="0" b="0"/>
            <wp:wrapSquare wrapText="bothSides"/>
            <wp:docPr id="1583" name="Picture 15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" name="Picture 158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9365" cy="1125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З. Настоящий приказ вступает в силу с 1 сентября 2025 г. и действует до 1 сентября 2031 г.</w:t>
      </w:r>
    </w:p>
    <w:p w:rsidR="00842111" w:rsidRDefault="000472C8">
      <w:pPr>
        <w:ind w:right="14" w:firstLine="0"/>
      </w:pPr>
      <w:r>
        <w:t xml:space="preserve">МинистрМ.А. Мурашко </w:t>
      </w:r>
      <w:r>
        <w:t>УТВЕРЖДЕН приказом Министерства здравоохранения</w:t>
      </w:r>
    </w:p>
    <w:p w:rsidR="00842111" w:rsidRDefault="000472C8">
      <w:pPr>
        <w:spacing w:after="461"/>
        <w:ind w:left="6238" w:right="379" w:firstLine="499"/>
      </w:pPr>
      <w:r>
        <w:t xml:space="preserve">Российской </w:t>
      </w:r>
      <w:r>
        <w:t>Федерации от « Дев.“ 2025 г• №</w:t>
      </w:r>
      <w:r>
        <w:rPr>
          <w:noProof/>
        </w:rPr>
        <w:drawing>
          <wp:inline distT="0" distB="0" distL="0" distR="0">
            <wp:extent cx="487875" cy="167688"/>
            <wp:effectExtent l="0" t="0" r="0" b="0"/>
            <wp:docPr id="3322" name="Picture 33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2" name="Picture 33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7875" cy="167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111" w:rsidRDefault="000472C8">
      <w:pPr>
        <w:spacing w:after="348" w:line="224" w:lineRule="auto"/>
        <w:ind w:left="901" w:right="1054" w:hanging="10"/>
        <w:jc w:val="center"/>
      </w:pPr>
      <w:r>
        <w:rPr>
          <w:sz w:val="30"/>
        </w:rPr>
        <w:t>Порядок создания и деятельности врачебной комиссии медицинской организации</w:t>
      </w:r>
    </w:p>
    <w:p w:rsidR="00842111" w:rsidRDefault="000472C8">
      <w:pPr>
        <w:numPr>
          <w:ilvl w:val="0"/>
          <w:numId w:val="1"/>
        </w:numPr>
        <w:spacing w:after="41"/>
        <w:ind w:right="153"/>
      </w:pPr>
      <w:r>
        <w:t>Врачебная комиссия медицинской организации (далее — врачебная комиссия) создается в медицинской организации в целях совершенствования организации оказания медицинской помощи, принятия решений в наиболее сложных и конфликтных случаях по вопросам профилактик</w:t>
      </w:r>
      <w:r>
        <w:t>и, диагностики, лечения и медицинской реабилитации, определения трудоспособности граждан и профессиональной пригодности некоторых категорий работников, осуществления оценки качества, обоснованности и эффективности лечебно-диагностических мероприятий, в том</w:t>
      </w:r>
      <w:r>
        <w:t xml:space="preserve"> числе назначения лекарственных препаратов для медицинского применения (далее лекарственные препараты), обеспечения назначения и коррекции лечения в целях учета данных пациентов при обеспечении лекарственными препаратами, трансплантации (пересадки) органов</w:t>
      </w:r>
      <w:r>
        <w:t xml:space="preserve"> и тканей человека, медицинской реабилитации, а также принятия решения по иным медицинским вопросам </w:t>
      </w:r>
      <w:r>
        <w:rPr>
          <w:vertAlign w:val="superscript"/>
        </w:rPr>
        <w:t>1</w:t>
      </w:r>
      <w:r>
        <w:rPr>
          <w:noProof/>
        </w:rPr>
        <w:drawing>
          <wp:inline distT="0" distB="0" distL="0" distR="0">
            <wp:extent cx="21344" cy="21342"/>
            <wp:effectExtent l="0" t="0" r="0" b="0"/>
            <wp:docPr id="3323" name="Picture 33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3" name="Picture 332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344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111" w:rsidRDefault="000472C8">
      <w:pPr>
        <w:numPr>
          <w:ilvl w:val="0"/>
          <w:numId w:val="1"/>
        </w:numPr>
        <w:ind w:right="153"/>
      </w:pPr>
      <w:r>
        <w:t>В своей деятельности врачебная комиссия руководствуется Конституцией Российской Федерации, федеральными законами, указами и распоряжениями</w:t>
      </w:r>
    </w:p>
    <w:p w:rsidR="00842111" w:rsidRDefault="000472C8">
      <w:pPr>
        <w:ind w:left="139" w:right="293" w:firstLine="5"/>
      </w:pPr>
      <w:r>
        <w:t>Президента Рос</w:t>
      </w:r>
      <w:r>
        <w:t xml:space="preserve">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включая настоящий Порядок, законами и иными нормативными правовыми актами субъектов Российской </w:t>
      </w:r>
      <w:r>
        <w:t>Федерации, а также муниципальными правовыми актами.</w:t>
      </w:r>
    </w:p>
    <w:p w:rsidR="00842111" w:rsidRDefault="000472C8">
      <w:pPr>
        <w:ind w:left="144" w:right="14"/>
      </w:pPr>
      <w:r>
        <w:t>З. Врачебная комиссия создается на основании приказа руководителя медицинской организации.</w:t>
      </w:r>
    </w:p>
    <w:p w:rsidR="00842111" w:rsidRDefault="000472C8">
      <w:pPr>
        <w:numPr>
          <w:ilvl w:val="0"/>
          <w:numId w:val="2"/>
        </w:numPr>
        <w:ind w:right="14"/>
      </w:pPr>
      <w:r>
        <w:t>По решению руководителя медицинской организации в составе врачебной комиссии могут формироваться подкомиссии врач</w:t>
      </w:r>
      <w:r>
        <w:t>ебной комиссии.</w:t>
      </w:r>
    </w:p>
    <w:p w:rsidR="00842111" w:rsidRDefault="000472C8">
      <w:pPr>
        <w:numPr>
          <w:ilvl w:val="0"/>
          <w:numId w:val="2"/>
        </w:numPr>
        <w:ind w:right="14"/>
      </w:pPr>
      <w:r>
        <w:t xml:space="preserve">Положение о врачебной комиссии (подкомиссии врачебной комиссии), регламентирующее цели, задачи и функции врачебной комиссии (подкомиссий врачебной комиссии), порядок работы, учета и представления отчетности по итогам деятельности, и состав </w:t>
      </w:r>
      <w:r>
        <w:t>врачебной комиссии (подкомиссий врачебной комиссии) утверждаются руководителем медицинской организации.</w:t>
      </w:r>
    </w:p>
    <w:p w:rsidR="00842111" w:rsidRDefault="000472C8">
      <w:pPr>
        <w:numPr>
          <w:ilvl w:val="0"/>
          <w:numId w:val="2"/>
        </w:numPr>
        <w:spacing w:after="420"/>
        <w:ind w:right="14"/>
      </w:pPr>
      <w:r>
        <w:t>Врачебная комиссия (подкомиссия врачебной комиссии) состоит из председателя, одного или двух заместителей председателя и иных членов</w:t>
      </w:r>
    </w:p>
    <w:p w:rsidR="00842111" w:rsidRDefault="000472C8">
      <w:pPr>
        <w:spacing w:before="32" w:after="259" w:line="254" w:lineRule="auto"/>
        <w:ind w:left="139" w:right="207" w:firstLine="153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85377</wp:posOffset>
                </wp:positionH>
                <wp:positionV relativeFrom="paragraph">
                  <wp:posOffset>-102938</wp:posOffset>
                </wp:positionV>
                <wp:extent cx="1826480" cy="12195"/>
                <wp:effectExtent l="0" t="0" r="0" b="0"/>
                <wp:wrapNone/>
                <wp:docPr id="27250" name="Group 27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6480" cy="12195"/>
                          <a:chOff x="0" y="0"/>
                          <a:chExt cx="1826480" cy="12195"/>
                        </a:xfrm>
                      </wpg:grpSpPr>
                      <wps:wsp>
                        <wps:cNvPr id="27249" name="Shape 27249"/>
                        <wps:cNvSpPr/>
                        <wps:spPr>
                          <a:xfrm>
                            <a:off x="0" y="0"/>
                            <a:ext cx="1826480" cy="12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480" h="12195">
                                <a:moveTo>
                                  <a:pt x="0" y="6097"/>
                                </a:moveTo>
                                <a:lnTo>
                                  <a:pt x="1826480" y="6097"/>
                                </a:lnTo>
                              </a:path>
                            </a:pathLst>
                          </a:custGeom>
                          <a:ln w="1219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250" style="width:143.817pt;height:0.960205pt;position:absolute;z-index:-2147483648;mso-position-horizontal-relative:text;mso-position-horizontal:absolute;margin-left:6.72257pt;mso-position-vertical-relative:text;margin-top:-8.10541pt;" coordsize="18264,121">
                <v:shape id="Shape 27249" style="position:absolute;width:18264;height:121;left:0;top:0;" coordsize="1826480,12195" path="m0,6097l1826480,6097">
                  <v:stroke weight="0.960205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rPr>
          <w:sz w:val="20"/>
        </w:rPr>
        <w:t xml:space="preserve">Часть 2 статьи 48 </w:t>
      </w:r>
      <w:r>
        <w:rPr>
          <w:sz w:val="20"/>
        </w:rPr>
        <w:t>Федерального закона от 21 ноября 2011 г. № 323-ФЗ «Об основах охраны здоровья граждан в Российской Федерации».</w:t>
      </w:r>
    </w:p>
    <w:p w:rsidR="00842111" w:rsidRDefault="000472C8">
      <w:pPr>
        <w:ind w:left="287" w:right="14" w:firstLine="0"/>
      </w:pPr>
      <w:r>
        <w:t>комиссии. Минимальное количество членов врачебной комиссии (подкомиссии врачебной комиссии) составляет З человека с учетом председателя и замести</w:t>
      </w:r>
      <w:r>
        <w:t>теля председателя.</w:t>
      </w:r>
    </w:p>
    <w:p w:rsidR="00842111" w:rsidRDefault="000472C8">
      <w:pPr>
        <w:numPr>
          <w:ilvl w:val="0"/>
          <w:numId w:val="2"/>
        </w:numPr>
        <w:ind w:right="14"/>
      </w:pPr>
      <w:r>
        <w:t>Председателем врачебной комиссии назначается руководитель медицинской организации или заместитель руководителя медицинской организации, в должностные обязанности которого входит решение вопросов, отнесенных к компетенции врачебной комисс</w:t>
      </w:r>
      <w:r>
        <w:t>ии.</w:t>
      </w:r>
    </w:p>
    <w:p w:rsidR="00842111" w:rsidRDefault="000472C8">
      <w:pPr>
        <w:numPr>
          <w:ilvl w:val="0"/>
          <w:numId w:val="2"/>
        </w:numPr>
        <w:ind w:right="14"/>
      </w:pPr>
      <w:r>
        <w:t>Председателем подкомиссии врачебной комиссии назначается руководитель медицинской организации, или заместитель руководителя медицинской организации, или руководитель структурного подразделения медицинской организации, в должностные обязанности которого</w:t>
      </w:r>
      <w:r>
        <w:t xml:space="preserve"> входит решение вопросов, отнесенных к компетенции подкомиссии врачебной комиссии.</w:t>
      </w:r>
    </w:p>
    <w:p w:rsidR="00842111" w:rsidRDefault="000472C8">
      <w:pPr>
        <w:ind w:left="287" w:right="14" w:firstLine="466"/>
      </w:pPr>
      <w:r>
        <w:rPr>
          <w:noProof/>
        </w:rPr>
        <w:drawing>
          <wp:inline distT="0" distB="0" distL="0" distR="0">
            <wp:extent cx="12197" cy="12195"/>
            <wp:effectExtent l="0" t="0" r="0" b="0"/>
            <wp:docPr id="5133" name="Picture 5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3" name="Picture 513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9. В состав врачебной комиссии и подкомиссий врачебной комиссии могут включаться руководители структурных подразделений медицинской организации, врачи из числа медицинских</w:t>
      </w:r>
      <w:r>
        <w:t xml:space="preserve"> работников медицинской организации, в которой создается врачебная комиссия, а также врачи из числа медицинских работников иных медицинских организаций.</w:t>
      </w:r>
    </w:p>
    <w:p w:rsidR="00842111" w:rsidRDefault="000472C8">
      <w:pPr>
        <w:numPr>
          <w:ilvl w:val="0"/>
          <w:numId w:val="3"/>
        </w:numPr>
        <w:spacing w:after="25"/>
        <w:ind w:right="14"/>
      </w:pPr>
      <w:r>
        <w:t>Организационное обеспечение деятельности врачебной комиссии (подкомиссии врачебной комиссии) осуществляется медицинским работником или иным работником медицинской организации (далее — секретарь врачебной комиссии (подкомиссии врачебной комиссии).</w:t>
      </w:r>
    </w:p>
    <w:p w:rsidR="00842111" w:rsidRDefault="000472C8">
      <w:pPr>
        <w:numPr>
          <w:ilvl w:val="0"/>
          <w:numId w:val="3"/>
        </w:numPr>
        <w:spacing w:after="35"/>
        <w:ind w:right="14"/>
      </w:pPr>
      <w:r>
        <w:t>Секретарь</w:t>
      </w:r>
      <w:r>
        <w:t xml:space="preserve"> врачебной комиссии (подкомиссии врачебной комиссии) осуществляет следующие функции:</w:t>
      </w:r>
    </w:p>
    <w:p w:rsidR="00842111" w:rsidRDefault="000472C8">
      <w:pPr>
        <w:numPr>
          <w:ilvl w:val="0"/>
          <w:numId w:val="4"/>
        </w:numPr>
        <w:spacing w:after="0" w:line="259" w:lineRule="auto"/>
        <w:ind w:right="12"/>
      </w:pPr>
      <w:r>
        <w:t>составление планов-графиков</w:t>
      </w:r>
      <w:r>
        <w:tab/>
        <w:t>заседаний врачебной</w:t>
      </w:r>
      <w:r>
        <w:tab/>
        <w:t>комиссии</w:t>
      </w:r>
    </w:p>
    <w:p w:rsidR="00842111" w:rsidRDefault="000472C8">
      <w:pPr>
        <w:ind w:left="287" w:right="14" w:firstLine="0"/>
      </w:pPr>
      <w:r>
        <w:t>(подкомиссии врачебной комиссии);</w:t>
      </w:r>
    </w:p>
    <w:p w:rsidR="00842111" w:rsidRDefault="000472C8">
      <w:pPr>
        <w:numPr>
          <w:ilvl w:val="0"/>
          <w:numId w:val="4"/>
        </w:numPr>
        <w:spacing w:after="29"/>
        <w:ind w:right="12"/>
      </w:pPr>
      <w:r>
        <w:t>подготовка материалов для заседания врачебной комиссии (подкомиссии врачебной ко</w:t>
      </w:r>
      <w:r>
        <w:t>миссии);</w:t>
      </w:r>
    </w:p>
    <w:p w:rsidR="00842111" w:rsidRDefault="000472C8">
      <w:pPr>
        <w:spacing w:after="27"/>
        <w:ind w:left="287" w:right="14"/>
      </w:pPr>
      <w:r>
        <w:t>З) уведомление членов врачебной комиссии (подкомиссии врачебной комиссии) о дате и времени проведения заседания врачебной комиссии (подкомиссии врачебной комиссии);</w:t>
      </w:r>
    </w:p>
    <w:p w:rsidR="00842111" w:rsidRDefault="000472C8">
      <w:pPr>
        <w:numPr>
          <w:ilvl w:val="0"/>
          <w:numId w:val="5"/>
        </w:numPr>
        <w:ind w:right="14"/>
      </w:pPr>
      <w:r>
        <w:t>оформление протоколов врачебной комиссии (подкомиссии врачебной комиссии);</w:t>
      </w:r>
    </w:p>
    <w:p w:rsidR="00842111" w:rsidRDefault="000472C8">
      <w:pPr>
        <w:numPr>
          <w:ilvl w:val="0"/>
          <w:numId w:val="5"/>
        </w:numPr>
        <w:ind w:right="14"/>
      </w:pPr>
      <w:r>
        <w:t>внесение решения врачебной комиссии (подкомиссии врачебной комиссии) в медицинскую документацию пациента;</w:t>
      </w:r>
    </w:p>
    <w:p w:rsidR="00842111" w:rsidRDefault="000472C8">
      <w:pPr>
        <w:numPr>
          <w:ilvl w:val="0"/>
          <w:numId w:val="5"/>
        </w:numPr>
        <w:ind w:right="14"/>
      </w:pPr>
      <w:r>
        <w:t>ведение журнала врачебной комиссии (подкомиссии врачебной комиссии) на бумажном носителе и (или) в форме электронного документа, в котором указываются</w:t>
      </w:r>
      <w:r>
        <w:t xml:space="preserve"> дата, время проведения и фиксируются принятые решения врачебной комиссии (подкомиссии врачебной комиссии);</w:t>
      </w:r>
    </w:p>
    <w:p w:rsidR="00842111" w:rsidRDefault="000472C8">
      <w:pPr>
        <w:numPr>
          <w:ilvl w:val="0"/>
          <w:numId w:val="5"/>
        </w:numPr>
        <w:ind w:right="14"/>
      </w:pPr>
      <w:r>
        <w:t>организация хранения материалов деятельности врачебной комиссии (подкомиссии врачебной комиссии).</w:t>
      </w:r>
    </w:p>
    <w:p w:rsidR="00842111" w:rsidRDefault="000472C8">
      <w:pPr>
        <w:numPr>
          <w:ilvl w:val="0"/>
          <w:numId w:val="6"/>
        </w:numPr>
        <w:ind w:right="14"/>
      </w:pPr>
      <w:r>
        <w:t>Заседания врачебной комиссии (подкомиссии врачебно</w:t>
      </w:r>
      <w:r>
        <w:t>й комиссии) проводятся не реже одного раза в месяц на основании планов-графиков, утверждаемых руководителем медицинской организации.</w:t>
      </w:r>
      <w:r>
        <w:rPr>
          <w:noProof/>
        </w:rPr>
        <w:drawing>
          <wp:inline distT="0" distB="0" distL="0" distR="0">
            <wp:extent cx="9144" cy="6096"/>
            <wp:effectExtent l="0" t="0" r="0" b="0"/>
            <wp:docPr id="27252" name="Picture 27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52" name="Picture 2725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111" w:rsidRDefault="000472C8">
      <w:pPr>
        <w:numPr>
          <w:ilvl w:val="0"/>
          <w:numId w:val="6"/>
        </w:numPr>
        <w:ind w:right="14"/>
      </w:pPr>
      <w:r>
        <w:t>По решению председателя врачебной комиссии (подкомиссии врачебной комиссии), согласованному с руководителем медицинской ор</w:t>
      </w:r>
      <w:r>
        <w:t>ганизации (уполномоченным заместителем руководителя медицинской организации), могут проводиться внеплановые заседания врачебной комиссии (подкомиссии врачебной комиссии).</w:t>
      </w:r>
    </w:p>
    <w:p w:rsidR="00842111" w:rsidRDefault="000472C8">
      <w:pPr>
        <w:numPr>
          <w:ilvl w:val="0"/>
          <w:numId w:val="6"/>
        </w:numPr>
        <w:ind w:right="14"/>
      </w:pPr>
      <w:r>
        <w:t>Заседание врачебной комиссии (подкомиссии врачебной комиссии) считается правомочным п</w:t>
      </w:r>
      <w:r>
        <w:t>ри наличии кворума, который составляет не менее двух третей состава врачебной комиссии (подкомиссии врачебной комиссии).</w:t>
      </w:r>
    </w:p>
    <w:p w:rsidR="00842111" w:rsidRDefault="000472C8">
      <w:pPr>
        <w:ind w:left="287" w:right="14"/>
      </w:pPr>
      <w:r>
        <w:t>Решение врачебной комиссии (подкомиссии врачебной комиссии) считается принятым, если его поддержало не менее двух третей членов врачебн</w:t>
      </w:r>
      <w:r>
        <w:t>ой комиссии (подкомиссии врачебной комиссии), присутствующих на заседании врачебной комиссии (подкомиссии врачебной комиссии).</w:t>
      </w:r>
    </w:p>
    <w:p w:rsidR="00842111" w:rsidRDefault="000472C8">
      <w:pPr>
        <w:numPr>
          <w:ilvl w:val="0"/>
          <w:numId w:val="6"/>
        </w:numPr>
        <w:ind w:right="14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701040</wp:posOffset>
            </wp:positionH>
            <wp:positionV relativeFrom="page">
              <wp:posOffset>3947160</wp:posOffset>
            </wp:positionV>
            <wp:extent cx="3048" cy="6097"/>
            <wp:effectExtent l="0" t="0" r="0" b="0"/>
            <wp:wrapSquare wrapText="bothSides"/>
            <wp:docPr id="7039" name="Picture 7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9" name="Picture 703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7421880</wp:posOffset>
            </wp:positionH>
            <wp:positionV relativeFrom="page">
              <wp:posOffset>6211825</wp:posOffset>
            </wp:positionV>
            <wp:extent cx="6097" cy="3048"/>
            <wp:effectExtent l="0" t="0" r="0" b="0"/>
            <wp:wrapSquare wrapText="bothSides"/>
            <wp:docPr id="7040" name="Picture 7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0" name="Picture 704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Решение врачебной комиссии (подкомиссии врачебной комиссии) оформляется протоколом на бумажном носителе, подписываемом присутст</w:t>
      </w:r>
      <w:r>
        <w:t>вовавшими на заседании членами врачебной комиссии (подкомиссии врачебной комиссии), или формируется в форме электронного документа, подписанного усиленными квалифицированными электронными подписями указанных лиц, в срок, не превышающий трех рабочих дней со</w:t>
      </w:r>
      <w:r>
        <w:t xml:space="preserve"> дня проведения заседания врачебной комиссии (подкомиссии врачебной комиссии), который содержит следующие сведения:</w:t>
      </w:r>
    </w:p>
    <w:p w:rsidR="00842111" w:rsidRDefault="000472C8">
      <w:pPr>
        <w:numPr>
          <w:ilvl w:val="0"/>
          <w:numId w:val="7"/>
        </w:numPr>
        <w:ind w:right="14"/>
      </w:pPr>
      <w:r>
        <w:t>дата проведения заседания врачебной комиссии (подкомиссии врачебной комиссии);</w:t>
      </w:r>
    </w:p>
    <w:p w:rsidR="00842111" w:rsidRDefault="000472C8">
      <w:pPr>
        <w:numPr>
          <w:ilvl w:val="0"/>
          <w:numId w:val="7"/>
        </w:numPr>
        <w:ind w:right="14"/>
      </w:pPr>
      <w:r>
        <w:t>список членов врачебной комиссии (подкомиссии врачебной комиссии), присутствовавших на заседании врачебной комиссии (подкомиссии врачебной комиссии);</w:t>
      </w:r>
    </w:p>
    <w:p w:rsidR="00842111" w:rsidRDefault="000472C8">
      <w:pPr>
        <w:numPr>
          <w:ilvl w:val="0"/>
          <w:numId w:val="7"/>
        </w:numPr>
        <w:ind w:right="14"/>
      </w:pPr>
      <w:r>
        <w:t>перечень обсуждавшихся на заседании врачебной комиссии (подкомиссии врачебной комиссии) вопросов;</w:t>
      </w:r>
    </w:p>
    <w:p w:rsidR="00842111" w:rsidRDefault="000472C8">
      <w:pPr>
        <w:numPr>
          <w:ilvl w:val="0"/>
          <w:numId w:val="7"/>
        </w:numPr>
        <w:ind w:right="14"/>
      </w:pPr>
      <w:r>
        <w:t xml:space="preserve">решение </w:t>
      </w:r>
      <w:r>
        <w:t>врачебной комиссии (подкомиссии врачебной комиссии) и его обоснование;</w:t>
      </w:r>
    </w:p>
    <w:p w:rsidR="00842111" w:rsidRDefault="000472C8">
      <w:pPr>
        <w:numPr>
          <w:ilvl w:val="0"/>
          <w:numId w:val="7"/>
        </w:numPr>
        <w:ind w:right="14"/>
      </w:pPr>
      <w:r>
        <w:t xml:space="preserve">сведения об индивидуальной непереносимости взаимозаменяемых лекарственных препаратов (при принятии врачебной комиссией (подкомиссией врачебной комиссии) решения, указанного в подпункте </w:t>
      </w:r>
      <w:r>
        <w:t>8 пункта 20 настоящего Порядка.</w:t>
      </w:r>
    </w:p>
    <w:p w:rsidR="00842111" w:rsidRDefault="000472C8">
      <w:pPr>
        <w:numPr>
          <w:ilvl w:val="0"/>
          <w:numId w:val="8"/>
        </w:numPr>
        <w:ind w:right="14"/>
      </w:pPr>
      <w:r>
        <w:t>Выписка из протокола врачебной комиссии (подкомиссии врачебной комиссии) выдается пациенту и (или) его законному представителю либо иному лицу, указанному пациентом или его законным представителем в письменном согласии на ра</w:t>
      </w:r>
      <w:r>
        <w:t>зглашение сведений, составляющих врачебную тайну, или информированном добровольном согласии на медицинское вмешательство (далее — иное лицо), по запросу, направленному в том числе в электронной форме, на бумажном носителе и (или) в форме электронного докум</w:t>
      </w:r>
      <w:r>
        <w:t>ента в срок, не превышающий трех рабочих дней со дня поступления в медицинскую организацию указанного запроса.</w:t>
      </w:r>
    </w:p>
    <w:p w:rsidR="00842111" w:rsidRDefault="000472C8">
      <w:pPr>
        <w:numPr>
          <w:ilvl w:val="0"/>
          <w:numId w:val="8"/>
        </w:numPr>
        <w:ind w:right="14"/>
      </w:pPr>
      <w:r>
        <w:t>Протоколы врачебной комиссии (подкомиссии врачебной комиссии) подлежат хранению в течение десяти лет.</w:t>
      </w:r>
    </w:p>
    <w:p w:rsidR="00842111" w:rsidRDefault="000472C8">
      <w:pPr>
        <w:numPr>
          <w:ilvl w:val="0"/>
          <w:numId w:val="8"/>
        </w:numPr>
        <w:ind w:right="14"/>
      </w:pPr>
      <w:r>
        <w:t>Председатель врачебной комиссии ежекварталь</w:t>
      </w:r>
      <w:r>
        <w:t>но, а также по итогам года представляет руководителю медицинской организации письменный отчет о деятельности врачебной комиссии и подкомиссий врачебной комиссии.</w:t>
      </w:r>
      <w:r>
        <w:rPr>
          <w:noProof/>
        </w:rPr>
        <w:drawing>
          <wp:inline distT="0" distB="0" distL="0" distR="0">
            <wp:extent cx="9147" cy="12192"/>
            <wp:effectExtent l="0" t="0" r="0" b="0"/>
            <wp:docPr id="27255" name="Picture 272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55" name="Picture 2725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7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111" w:rsidRDefault="000472C8">
      <w:pPr>
        <w:numPr>
          <w:ilvl w:val="0"/>
          <w:numId w:val="8"/>
        </w:numPr>
        <w:ind w:right="14"/>
      </w:pPr>
      <w:r>
        <w:t>Контроль за деятельностью врачебной комиссии и подкомиссий врачебной комиссии осуществляет ру</w:t>
      </w:r>
      <w:r>
        <w:t>ководитель медицинской организации.</w:t>
      </w:r>
    </w:p>
    <w:p w:rsidR="00842111" w:rsidRDefault="000472C8">
      <w:pPr>
        <w:numPr>
          <w:ilvl w:val="0"/>
          <w:numId w:val="8"/>
        </w:numPr>
        <w:ind w:right="14"/>
      </w:pPr>
      <w:r>
        <w:t>Врачебная комиссия может осуществлять следующие функции:</w:t>
      </w:r>
    </w:p>
    <w:p w:rsidR="00842111" w:rsidRDefault="000472C8">
      <w:pPr>
        <w:numPr>
          <w:ilvl w:val="0"/>
          <w:numId w:val="9"/>
        </w:numPr>
        <w:ind w:right="14"/>
      </w:pPr>
      <w:r>
        <w:t>принятие решений по вопросам совершенствования организации оказания медицинской помощи населению на основе внедрения системы менеджмента качества;</w:t>
      </w:r>
    </w:p>
    <w:p w:rsidR="00842111" w:rsidRDefault="000472C8">
      <w:pPr>
        <w:numPr>
          <w:ilvl w:val="0"/>
          <w:numId w:val="9"/>
        </w:numPr>
        <w:ind w:right="14"/>
      </w:pPr>
      <w:r>
        <w:t>принятие решений</w:t>
      </w:r>
      <w:r>
        <w:t xml:space="preserve"> по вопросам определения подходов к внедрению в медицинской организации технологий, направленных на рациональное использование времени пациента и медицинского работника, обеспечения комфортности условий предоставления медицинских услуг;</w:t>
      </w:r>
    </w:p>
    <w:p w:rsidR="00842111" w:rsidRDefault="000472C8">
      <w:pPr>
        <w:ind w:left="287" w:right="14"/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7430968</wp:posOffset>
            </wp:positionH>
            <wp:positionV relativeFrom="page">
              <wp:posOffset>4553712</wp:posOffset>
            </wp:positionV>
            <wp:extent cx="6098" cy="6097"/>
            <wp:effectExtent l="0" t="0" r="0" b="0"/>
            <wp:wrapSquare wrapText="bothSides"/>
            <wp:docPr id="9060" name="Picture 9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0" name="Picture 906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551910</wp:posOffset>
            </wp:positionH>
            <wp:positionV relativeFrom="page">
              <wp:posOffset>5672328</wp:posOffset>
            </wp:positionV>
            <wp:extent cx="15246" cy="3048"/>
            <wp:effectExtent l="0" t="0" r="0" b="0"/>
            <wp:wrapSquare wrapText="bothSides"/>
            <wp:docPr id="9061" name="Picture 9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1" name="Picture 9061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6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З) принятие решен</w:t>
      </w:r>
      <w:r>
        <w:t>ий по вопросам профилактики, диагностики, лечения, медицинской реабилитации, в том числе санаторно-курортного лечения, проведения медицинских экспертиз, медицинских осмотров и медицинских освидетельствований, определения профессиональной пригодности некото</w:t>
      </w:r>
      <w:r>
        <w:t>рых категорий работников и связи заболевания с профессией в случаях, установленных законодательством Российской Федерации, в наиболее сложных и конфликтных случаях, требующих комиссионного рассмотрения;</w:t>
      </w:r>
    </w:p>
    <w:p w:rsidR="00842111" w:rsidRDefault="000472C8">
      <w:pPr>
        <w:numPr>
          <w:ilvl w:val="0"/>
          <w:numId w:val="10"/>
        </w:numPr>
        <w:ind w:right="14"/>
      </w:pPr>
      <w:r>
        <w:t>определение трудоспособности граждан в случаях, устан</w:t>
      </w:r>
      <w:r>
        <w:t>овленных законодательством Российской Федерации;</w:t>
      </w:r>
    </w:p>
    <w:p w:rsidR="00842111" w:rsidRDefault="000472C8">
      <w:pPr>
        <w:numPr>
          <w:ilvl w:val="0"/>
          <w:numId w:val="10"/>
        </w:numPr>
        <w:ind w:right="14"/>
      </w:pPr>
      <w:r>
        <w:t>продление листков нетрудоспособности в случаях, установленных законодательством Российской Федерации;</w:t>
      </w:r>
    </w:p>
    <w:p w:rsidR="00842111" w:rsidRDefault="000472C8">
      <w:pPr>
        <w:numPr>
          <w:ilvl w:val="0"/>
          <w:numId w:val="10"/>
        </w:numPr>
        <w:ind w:right="14"/>
      </w:pPr>
      <w:r>
        <w:t>принятие решения о направлении пациента на медико-социальную экспертизу в соответствии с законодательство</w:t>
      </w:r>
      <w:r>
        <w:t>м Российской Федерации;</w:t>
      </w:r>
    </w:p>
    <w:p w:rsidR="00842111" w:rsidRDefault="000472C8">
      <w:pPr>
        <w:numPr>
          <w:ilvl w:val="0"/>
          <w:numId w:val="10"/>
        </w:numPr>
        <w:ind w:right="14"/>
      </w:pPr>
      <w:r>
        <w:t>оценка качества, обоснованности и эффективности лечебно-диагностических мероприятий, в том числе назначения лекарственных препаратов;</w:t>
      </w:r>
    </w:p>
    <w:p w:rsidR="00842111" w:rsidRDefault="000472C8">
      <w:pPr>
        <w:numPr>
          <w:ilvl w:val="0"/>
          <w:numId w:val="10"/>
        </w:numPr>
        <w:ind w:right="14"/>
      </w:pPr>
      <w:r>
        <w:t>принятие решения о назначении и применении лекарственных препаратов, медицинских изделий и специал</w:t>
      </w:r>
      <w:r>
        <w:t>изированных продуктов лечебного питания, не входящих в соответствующий стандарт медицинской помощи или не предусмотренных соответствующей клинической рекомендацией, либо по торговым наименованиям при наличии медицинских показаний (индивидуальной непереноси</w:t>
      </w:r>
      <w:r>
        <w:t>мости, по жизненным показаниям);</w:t>
      </w:r>
    </w:p>
    <w:p w:rsidR="00842111" w:rsidRDefault="000472C8">
      <w:pPr>
        <w:numPr>
          <w:ilvl w:val="0"/>
          <w:numId w:val="10"/>
        </w:numPr>
        <w:ind w:right="14"/>
      </w:pPr>
      <w:r>
        <w:t xml:space="preserve">вынесение заключения о необходимости незамедлительного обеспечения конкретного гражданина с тяжелым жизнеугрожающим и хроническим заболеванием, в том числе редким (орфанным) заболеванием, который получал поддержку в рамках </w:t>
      </w:r>
      <w:r>
        <w:t>деятельности Фонда поддержки детей с тяжелыми жизнеугрожающими и хроническими заболеваниями, в том числе редкими</w:t>
      </w:r>
    </w:p>
    <w:p w:rsidR="00842111" w:rsidRDefault="00842111">
      <w:pPr>
        <w:sectPr w:rsidR="00842111">
          <w:headerReference w:type="even" r:id="rId19"/>
          <w:headerReference w:type="default" r:id="rId20"/>
          <w:headerReference w:type="first" r:id="rId21"/>
          <w:pgSz w:w="11981" w:h="16834"/>
          <w:pgMar w:top="1163" w:right="293" w:bottom="1101" w:left="1148" w:header="720" w:footer="720" w:gutter="0"/>
          <w:pgNumType w:start="0"/>
          <w:cols w:space="720"/>
          <w:titlePg/>
        </w:sectPr>
      </w:pPr>
    </w:p>
    <w:p w:rsidR="00842111" w:rsidRDefault="000472C8">
      <w:pPr>
        <w:ind w:right="14" w:firstLine="5"/>
      </w:pPr>
      <w:r>
        <w:t>(орфанными) заболеваниями, «Круг добра» (далее — Фонд) до достижения им 18-летнего возраста и обеспечение оказания поддержки которому осуществляется Фондом в течение одного года после достижения им 18-летнего возраста, либо групп таких граждан (далее — дет</w:t>
      </w:r>
      <w:r>
        <w:t>и с орфанными заболеваниями) лекарственным препаратом из резерва лекарственных препаратов, включенных в перечни для закупок, в целях незамедлительного обеспечения неопределенной группы детей с орфанными заболеваниями;</w:t>
      </w:r>
    </w:p>
    <w:p w:rsidR="00842111" w:rsidRDefault="000472C8">
      <w:pPr>
        <w:numPr>
          <w:ilvl w:val="0"/>
          <w:numId w:val="10"/>
        </w:numPr>
        <w:ind w:right="14"/>
      </w:pPr>
      <w:r>
        <w:t>принятие решения о необходимости назна</w:t>
      </w:r>
      <w:r>
        <w:t>чения лекарственных препаратов, не входящих в перечень жизненно необходимых и важнейших лекарственных препаратов (при оказании медицинской помощи в рамках программы государственных гарантий бесплатного оказания гражданам медицинской помощи);</w:t>
      </w:r>
    </w:p>
    <w:p w:rsidR="00842111" w:rsidRDefault="000472C8">
      <w:pPr>
        <w:ind w:left="19" w:right="14"/>
      </w:pPr>
      <w:r>
        <w:t xml:space="preserve">1 1) в случае </w:t>
      </w:r>
      <w:r>
        <w:t>принятия решения о назначении не зарегистрированного в Российской Федерации лекарственного препарата, определение порядка его применения на основе или с учетом инструкции по применению (дозировки, способа введения и применения, режима дозирования, продолжи</w:t>
      </w:r>
      <w:r>
        <w:t>тельности лечения и обоснования назначения лекарственного препарата), включая наблюдение за пациентом, применяющим такой препарат;</w:t>
      </w:r>
    </w:p>
    <w:p w:rsidR="00842111" w:rsidRDefault="000472C8">
      <w:pPr>
        <w:numPr>
          <w:ilvl w:val="0"/>
          <w:numId w:val="11"/>
        </w:numPr>
        <w:ind w:right="14"/>
      </w:pPr>
      <w:r>
        <w:t>принятие решения о назначении незарегистрированных в Российской Федерации медицинских изделий при наличии медицинских показан</w:t>
      </w:r>
      <w:r>
        <w:t>ий (по жизненным показаниям);</w:t>
      </w:r>
    </w:p>
    <w:p w:rsidR="00842111" w:rsidRDefault="000472C8">
      <w:pPr>
        <w:numPr>
          <w:ilvl w:val="0"/>
          <w:numId w:val="11"/>
        </w:numPr>
        <w:ind w:right="14"/>
      </w:pPr>
      <w:r>
        <w:t>принятие решения о направлении сообщений в Федеральную службу по надзору сфере здравоохранения в целях осуществления мониторинга безопасности лекарственных препаратов о выявленных случаях побочных действий, не указанных в инст</w:t>
      </w:r>
      <w:r>
        <w:t>рукции по применению лекарственного препарата, серьезных нежелательных реакций и непредвиденных нежелательных реакций при применении лекарственных препаратов, в том числе послуживших основанием для назначения лекарственных препаратов в соответствии с подпу</w:t>
      </w:r>
      <w:r>
        <w:t>нктом 8 настоящего пункта;</w:t>
      </w:r>
    </w:p>
    <w:p w:rsidR="00842111" w:rsidRDefault="000472C8">
      <w:pPr>
        <w:numPr>
          <w:ilvl w:val="0"/>
          <w:numId w:val="11"/>
        </w:numPr>
        <w:ind w:right="14"/>
      </w:pPr>
      <w:r>
        <w:t>принятие решения по вопросам назначения и коррекции лечения в целях учета данных пациентов при обеспечении лекарственными препаратами в соответствии с законодательством Российской Федерации;</w:t>
      </w:r>
    </w:p>
    <w:p w:rsidR="00842111" w:rsidRDefault="000472C8">
      <w:pPr>
        <w:numPr>
          <w:ilvl w:val="0"/>
          <w:numId w:val="11"/>
        </w:numPr>
        <w:ind w:right="14"/>
      </w:pPr>
      <w:r>
        <w:t>принятие решения о назначении лекарств</w:t>
      </w:r>
      <w:r>
        <w:t>енных препаратов в случаях и в порядке, которые установлены нормативными правовыми актами Российской Федерации и субъектов Российской Федерации, устанавливающими порядок назначения и выписывания лекарственных препаратов, включая наркотические лекарственные</w:t>
      </w:r>
      <w:r>
        <w:t xml:space="preserve"> препараты и психотропные лекарственные препараты, а также лекарственных препаратов, обеспечение которыми осуществляется в соответствии со стандартами медицинской помощи по рецептам врача (фельдшера) при оказании государственной социальной помощи в виде на</w:t>
      </w:r>
      <w:r>
        <w:t>бора социальных услуг; 16) принятие решения о назначении отдельному пациенту биомедицинского клеточного продукта, предназначенного для исполнения индивидуального медицинского назначения биомедицинского клеточного продукта, специально произведенного для отд</w:t>
      </w:r>
      <w:r>
        <w:t>ельного пациента непосредственно в медицинской организации, в которой применяется данный биомедицинский клеточный продукт (далее индивидуальный биомедицинский клеточный продукт), и которой предоставлено разрешение на производство и применение индивидуально</w:t>
      </w:r>
      <w:r>
        <w:t>го биомедицинского клеточного продукта;</w:t>
      </w:r>
    </w:p>
    <w:p w:rsidR="00842111" w:rsidRDefault="000472C8">
      <w:pPr>
        <w:numPr>
          <w:ilvl w:val="0"/>
          <w:numId w:val="12"/>
        </w:numPr>
        <w:ind w:right="14"/>
      </w:pPr>
      <w:r>
        <w:t>принятие решения о применении биотехнологического лекарственного препарата, предназначенного для применения в соответствии с индивидуальным медицинским назначением и специально изготовленного для конкретного пациента непосредственно в медицинской организац</w:t>
      </w:r>
      <w:r>
        <w:t>ии, в которой применяется такой биотехнологический лекарственный препарат, имеющий в своем составе соединения, синтезированные по результатам генетических исследований материала, полученного от пациента, для которого изготовлен такой биотехнологический лек</w:t>
      </w:r>
      <w:r>
        <w:t>арственнйй препарат (далее индивидуальный биотехнологический лекарственный препарат), при наличии у указанной медицинской организации разрешения на применение индивидуального биотехнологического лекарственного препарата;</w:t>
      </w:r>
    </w:p>
    <w:p w:rsidR="00842111" w:rsidRDefault="000472C8">
      <w:pPr>
        <w:numPr>
          <w:ilvl w:val="0"/>
          <w:numId w:val="12"/>
        </w:numPr>
        <w:spacing w:after="35"/>
        <w:ind w:right="14"/>
      </w:pPr>
      <w:r>
        <w:t>проведение отбора пациентов в соотв</w:t>
      </w:r>
      <w:r>
        <w:t>етствии с порядком организации оказания высокотехнологичной медицинской помощи с применением единой государственной информационной системы в сфере здравоохранения2.</w:t>
      </w:r>
    </w:p>
    <w:p w:rsidR="00842111" w:rsidRDefault="000472C8">
      <w:pPr>
        <w:numPr>
          <w:ilvl w:val="0"/>
          <w:numId w:val="12"/>
        </w:numPr>
        <w:ind w:right="14"/>
      </w:pP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7476706</wp:posOffset>
            </wp:positionH>
            <wp:positionV relativeFrom="page">
              <wp:posOffset>1633728</wp:posOffset>
            </wp:positionV>
            <wp:extent cx="3049" cy="6096"/>
            <wp:effectExtent l="0" t="0" r="0" b="0"/>
            <wp:wrapSquare wrapText="bothSides"/>
            <wp:docPr id="13356" name="Picture 133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6" name="Picture 1335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выдача заключения о нуждаемости ветерана в обеспечении протезами (кроме зубных протезов), </w:t>
      </w:r>
      <w:r>
        <w:t>протезно-ортопедическими изделиями в соответствии с Правилами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утвержденными п</w:t>
      </w:r>
      <w:r>
        <w:t>остановлением Правительства Российской Федерации от 7 апреля 2008 г. № 240;</w:t>
      </w:r>
    </w:p>
    <w:p w:rsidR="00842111" w:rsidRDefault="000472C8">
      <w:pPr>
        <w:numPr>
          <w:ilvl w:val="0"/>
          <w:numId w:val="12"/>
        </w:numPr>
        <w:ind w:right="14"/>
      </w:pPr>
      <w:r>
        <w:t>осуществление медицинского освидетельствования подозреваемых или обвиняемых в совершении преступлений, в отношении которых избрана мера пресечения в виде заключения под стражу, на предмет наличия у них тяжелого заболевания, включенного в перечень тяжелых з</w:t>
      </w:r>
      <w:r>
        <w:t>аболеваний, препятствующих содержанию под стражей подозреваемых или обвиняемых в совершении преступлений, утвержденный постановлением Правительства Российской Федерации от 14 января 2011 г. № З;</w:t>
      </w:r>
    </w:p>
    <w:p w:rsidR="00842111" w:rsidRDefault="000472C8">
      <w:pPr>
        <w:numPr>
          <w:ilvl w:val="0"/>
          <w:numId w:val="12"/>
        </w:numPr>
        <w:ind w:right="14"/>
      </w:pPr>
      <w:r>
        <w:t>проведение обязательного психиатрического освидетельствования</w:t>
      </w:r>
      <w:r>
        <w:t>;</w:t>
      </w:r>
    </w:p>
    <w:p w:rsidR="00842111" w:rsidRDefault="000472C8">
      <w:pPr>
        <w:numPr>
          <w:ilvl w:val="0"/>
          <w:numId w:val="12"/>
        </w:numPr>
        <w:ind w:right="14"/>
      </w:pPr>
      <w:r>
        <w:t>выдача справки об отсутствии медицинских противопоказаний для работы с использованием сведений, составляющих государственную тайну;</w:t>
      </w:r>
    </w:p>
    <w:p w:rsidR="00842111" w:rsidRDefault="000472C8">
      <w:pPr>
        <w:numPr>
          <w:ilvl w:val="0"/>
          <w:numId w:val="12"/>
        </w:numPr>
        <w:ind w:right="14"/>
      </w:pPr>
      <w:r>
        <w:t>вынесение медицинского заключения о том, что при изъятии органов и тканей для трансплантации (пересадки) у живого донора е</w:t>
      </w:r>
      <w:r>
        <w:t>го здоровью не будет причинен значительный вред;</w:t>
      </w:r>
    </w:p>
    <w:p w:rsidR="00842111" w:rsidRDefault="000472C8">
      <w:pPr>
        <w:numPr>
          <w:ilvl w:val="0"/>
          <w:numId w:val="12"/>
        </w:numPr>
        <w:spacing w:after="527"/>
        <w:ind w:right="14"/>
      </w:pPr>
      <w:r>
        <w:t>взаимодействие в работе по вопросам, относящимся к компетенции врачебной комиссии, с территориальными фондами обязательного медицинского страхования, Фондом пенсионного и социального страхования Российской</w:t>
      </w:r>
    </w:p>
    <w:p w:rsidR="00842111" w:rsidRDefault="000472C8">
      <w:pPr>
        <w:spacing w:after="259" w:line="254" w:lineRule="auto"/>
        <w:ind w:left="29" w:right="-8" w:firstLine="153"/>
        <w:jc w:val="left"/>
      </w:pPr>
      <w:r>
        <w:rPr>
          <w:sz w:val="20"/>
        </w:rPr>
        <w:t>Ч</w:t>
      </w:r>
      <w:r>
        <w:rPr>
          <w:sz w:val="20"/>
        </w:rPr>
        <w:t>асть 8 статьи 34 Федерального закона от 21 ноября 2011 г. № 323-ФЗ «Об основах охраны здоровья граждан в Российской Федерации».</w:t>
      </w:r>
    </w:p>
    <w:p w:rsidR="00842111" w:rsidRDefault="000472C8">
      <w:pPr>
        <w:ind w:left="25" w:right="14" w:firstLine="0"/>
      </w:pPr>
      <w:r>
        <w:t>Федерации, территориальными органами Федеральной службы по надзору в сфере здравоохранения и Федеральной службы по надзору в сфе</w:t>
      </w:r>
      <w:r>
        <w:t>ре защиты прав потребителей и благополучия человека, федеральными учреждениями медикосоциальной экспертизы, со страховыми медицинскими организациями, иными органами и организациями;</w:t>
      </w:r>
    </w:p>
    <w:p w:rsidR="00842111" w:rsidRDefault="000472C8">
      <w:pPr>
        <w:numPr>
          <w:ilvl w:val="0"/>
          <w:numId w:val="12"/>
        </w:numPr>
        <w:ind w:right="14"/>
      </w:pPr>
      <w:r>
        <w:t>иные функции, предусмотренные федеральными законами, нормативными правовым</w:t>
      </w:r>
      <w:r>
        <w:t>и актами Президента Российской Федерации, Правительства Российской Федерации, федеральных органов исполнительной власти и органов государственной власти субъектов Российской Федерации.</w:t>
      </w:r>
    </w:p>
    <w:p w:rsidR="00842111" w:rsidRDefault="000472C8">
      <w:pPr>
        <w:ind w:left="34" w:right="14"/>
      </w:pPr>
      <w:r>
        <w:t xml:space="preserve">21. По решению руководителя медицинской организации врачебная комиссия </w:t>
      </w:r>
      <w:r>
        <w:t>может осуществлять следующие функции:</w:t>
      </w:r>
    </w:p>
    <w:p w:rsidR="00842111" w:rsidRDefault="000472C8">
      <w:pPr>
        <w:numPr>
          <w:ilvl w:val="0"/>
          <w:numId w:val="13"/>
        </w:numPr>
        <w:ind w:right="14"/>
      </w:pPr>
      <w:r>
        <w:t xml:space="preserve">разработка и внедрение мероприятий, направленных на повышение качества лечебно-диагностической работы, в том числе предупреждение и устранение нарушений в процессе диагностики и лечения пациентов, снижение показателей </w:t>
      </w:r>
      <w:r>
        <w:t>заболеваемости, смертности, больничной летальности и инвалидности;</w:t>
      </w:r>
    </w:p>
    <w:p w:rsidR="00842111" w:rsidRDefault="000472C8">
      <w:pPr>
        <w:numPr>
          <w:ilvl w:val="0"/>
          <w:numId w:val="13"/>
        </w:numPr>
        <w:ind w:right="14"/>
      </w:pPr>
      <w:r>
        <w:t xml:space="preserve">определение подходов и возможности применения в медицинской организации современных методов профилактики, диагностики, лечения и медицинской реабилитации с учетом международной медицинской </w:t>
      </w:r>
      <w:r>
        <w:t>практики;</w:t>
      </w:r>
    </w:p>
    <w:p w:rsidR="00842111" w:rsidRDefault="000472C8">
      <w:pPr>
        <w:numPr>
          <w:ilvl w:val="0"/>
          <w:numId w:val="13"/>
        </w:numPr>
        <w:ind w:right="14"/>
      </w:pP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304923</wp:posOffset>
            </wp:positionH>
            <wp:positionV relativeFrom="page">
              <wp:posOffset>4544568</wp:posOffset>
            </wp:positionV>
            <wp:extent cx="6098" cy="6097"/>
            <wp:effectExtent l="0" t="0" r="0" b="0"/>
            <wp:wrapSquare wrapText="bothSides"/>
            <wp:docPr id="15300" name="Picture 153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0" name="Picture 15300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оценка проведения медицинскими работниками консультаций с применением телемедицинских технологий, анализ своевременности и качества их проведения;</w:t>
      </w:r>
    </w:p>
    <w:p w:rsidR="00842111" w:rsidRDefault="000472C8">
      <w:pPr>
        <w:numPr>
          <w:ilvl w:val="0"/>
          <w:numId w:val="13"/>
        </w:numPr>
        <w:spacing w:after="36"/>
        <w:ind w:right="14"/>
      </w:pPr>
      <w:r>
        <w:t>анализ заболеваемости, в том числе матерей и новорожденных, внутрибольничными инфекциями, разработ</w:t>
      </w:r>
      <w:r>
        <w:t>ка и реализация мероприятий по профилактике заболеваемости внутрибольничными инфекциями;</w:t>
      </w:r>
    </w:p>
    <w:p w:rsidR="00842111" w:rsidRDefault="000472C8">
      <w:pPr>
        <w:numPr>
          <w:ilvl w:val="0"/>
          <w:numId w:val="13"/>
        </w:numPr>
        <w:ind w:right="14"/>
      </w:pPr>
      <w:r>
        <w:t>организация и проведение внутреннего контроля качества и безопасности медицинской деятельности;</w:t>
      </w:r>
    </w:p>
    <w:p w:rsidR="00842111" w:rsidRDefault="000472C8">
      <w:pPr>
        <w:numPr>
          <w:ilvl w:val="0"/>
          <w:numId w:val="13"/>
        </w:numPr>
        <w:ind w:right="14"/>
      </w:pPr>
      <w:r>
        <w:t>организационно-методическая поддержка учета нежелательных событий при о</w:t>
      </w:r>
      <w:r>
        <w:t>существлении медицинской деятельности медицинской организацией (фактов и обстоятельств, создающих угрозу причинения или повлекших причинение вреда жизни и здоровью граждан и (или) медицинских работников, а также приведших к удлинению сроков оказания медици</w:t>
      </w:r>
      <w:r>
        <w:t>нской помощи);</w:t>
      </w:r>
    </w:p>
    <w:p w:rsidR="00842111" w:rsidRDefault="000472C8">
      <w:pPr>
        <w:spacing w:after="27"/>
        <w:ind w:left="53" w:right="14" w:firstLine="101"/>
      </w:pPr>
      <w:r>
        <w:rPr>
          <w:noProof/>
        </w:rPr>
        <w:drawing>
          <wp:inline distT="0" distB="0" distL="0" distR="0">
            <wp:extent cx="6098" cy="6097"/>
            <wp:effectExtent l="0" t="0" r="0" b="0"/>
            <wp:docPr id="15301" name="Picture 15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1" name="Picture 15301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7) разработка организационно-методических материалов по работе медицинской организации и доведение их до сведения медицинских работников;</w:t>
      </w:r>
    </w:p>
    <w:p w:rsidR="00842111" w:rsidRDefault="000472C8">
      <w:pPr>
        <w:numPr>
          <w:ilvl w:val="0"/>
          <w:numId w:val="14"/>
        </w:numPr>
        <w:ind w:right="14"/>
      </w:pPr>
      <w:r>
        <w:t>организация информационно-образовательных мероприятий для медицинских работников по ведению форм статистического учета и отчетности в сфере здравоохранения;</w:t>
      </w:r>
    </w:p>
    <w:p w:rsidR="00842111" w:rsidRDefault="000472C8">
      <w:pPr>
        <w:numPr>
          <w:ilvl w:val="0"/>
          <w:numId w:val="14"/>
        </w:numPr>
        <w:ind w:right="14"/>
      </w:pPr>
      <w:r>
        <w:t>иные функции, не противоречащие законодательству Российской Федерации.</w:t>
      </w:r>
    </w:p>
    <w:p w:rsidR="00842111" w:rsidRDefault="000472C8">
      <w:pPr>
        <w:ind w:left="63" w:right="14"/>
      </w:pPr>
      <w:r>
        <w:t>22. Врачебная комиссия медиц</w:t>
      </w:r>
      <w:r>
        <w:t>инской организации, подведомственной федеральному органу исполнительной власти, и врачебная комиссия краевой (республиканской, областной, окружной) больницы, являющейся ведущей многопрофильной медицинской организацией на территории субъекта Российской Феде</w:t>
      </w:r>
      <w:r>
        <w:t xml:space="preserve">рации, подведомственной исполнительному органу субъекта Российской Федерации в сфере охраны здоровья, помимо осуществления функций, указанных в пунктах 20 и 21 настоящего Порядка, принимает решение о назначении не зарегистрированных в Российской Федерации </w:t>
      </w:r>
      <w:r>
        <w:t>лекарственных препаратов в случаях:</w:t>
      </w:r>
    </w:p>
    <w:p w:rsidR="00842111" w:rsidRDefault="000472C8">
      <w:pPr>
        <w:numPr>
          <w:ilvl w:val="0"/>
          <w:numId w:val="15"/>
        </w:numPr>
        <w:ind w:right="14"/>
      </w:pPr>
      <w:r>
        <w:t>отсутствия зарегистрированных в Российской Федерации аналогов лекарственных препаратов;</w:t>
      </w:r>
    </w:p>
    <w:p w:rsidR="00842111" w:rsidRDefault="000472C8">
      <w:pPr>
        <w:numPr>
          <w:ilvl w:val="0"/>
          <w:numId w:val="15"/>
        </w:numPr>
        <w:ind w:right="14"/>
      </w:pPr>
      <w:r>
        <w:t>отсутствия эффекта от проводимой терапии и прогрессирующем ухудшении состояния здоровья пациента;</w:t>
      </w:r>
    </w:p>
    <w:p w:rsidR="00842111" w:rsidRDefault="000472C8">
      <w:pPr>
        <w:ind w:left="20" w:right="14"/>
      </w:pPr>
      <w:r>
        <w:t>З) отсутствия альтернативных (неме</w:t>
      </w:r>
      <w:r>
        <w:t>дикаментозных) методов профилактики, лечения и медицинской реабилитации;</w:t>
      </w:r>
      <w:r>
        <w:rPr>
          <w:noProof/>
        </w:rPr>
        <w:drawing>
          <wp:inline distT="0" distB="0" distL="0" distR="0">
            <wp:extent cx="3049" cy="12192"/>
            <wp:effectExtent l="0" t="0" r="0" b="0"/>
            <wp:docPr id="16182" name="Picture 16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2" name="Picture 16182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111" w:rsidRDefault="000472C8">
      <w:pPr>
        <w:ind w:left="25" w:right="14"/>
      </w:pPr>
      <w:r>
        <w:t>4) наличия индивидуальной непереносимости зарегистрированных в Российской Федерации аналогов лекарственных препаратов.</w:t>
      </w:r>
    </w:p>
    <w:sectPr w:rsidR="00842111">
      <w:headerReference w:type="even" r:id="rId25"/>
      <w:headerReference w:type="default" r:id="rId26"/>
      <w:headerReference w:type="first" r:id="rId27"/>
      <w:pgSz w:w="11981" w:h="16834"/>
      <w:pgMar w:top="1154" w:right="274" w:bottom="1148" w:left="1392" w:header="33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472C8">
      <w:pPr>
        <w:spacing w:after="0" w:line="240" w:lineRule="auto"/>
      </w:pPr>
      <w:r>
        <w:separator/>
      </w:r>
    </w:p>
  </w:endnote>
  <w:endnote w:type="continuationSeparator" w:id="0">
    <w:p w:rsidR="00000000" w:rsidRDefault="00047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472C8">
      <w:pPr>
        <w:spacing w:after="0" w:line="240" w:lineRule="auto"/>
      </w:pPr>
      <w:r>
        <w:separator/>
      </w:r>
    </w:p>
  </w:footnote>
  <w:footnote w:type="continuationSeparator" w:id="0">
    <w:p w:rsidR="00000000" w:rsidRDefault="00047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111" w:rsidRDefault="000472C8">
    <w:pPr>
      <w:spacing w:after="0" w:line="259" w:lineRule="auto"/>
      <w:ind w:left="163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111" w:rsidRDefault="00842111">
    <w:pPr>
      <w:spacing w:after="16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111" w:rsidRDefault="00842111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111" w:rsidRDefault="000472C8">
    <w:pPr>
      <w:spacing w:after="0" w:line="259" w:lineRule="auto"/>
      <w:ind w:right="1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111" w:rsidRDefault="000472C8">
    <w:pPr>
      <w:spacing w:after="0" w:line="259" w:lineRule="auto"/>
      <w:ind w:right="10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111" w:rsidRDefault="000472C8">
    <w:pPr>
      <w:spacing w:after="0" w:line="259" w:lineRule="auto"/>
      <w:ind w:right="100" w:firstLine="0"/>
      <w:jc w:val="center"/>
    </w:pPr>
    <w:r>
      <w:fldChar w:fldCharType="begin"/>
    </w:r>
    <w:r>
      <w:instrText xml:space="preserve"> PAGE</w:instrText>
    </w:r>
    <w:r>
      <w:instrText xml:space="preserve">   \* MERGEFORMAT </w:instrText>
    </w:r>
    <w:r>
      <w:fldChar w:fldCharType="separate"/>
    </w:r>
    <w:r>
      <w:rPr>
        <w:sz w:val="30"/>
      </w:rPr>
      <w:t>2</w:t>
    </w:r>
    <w:r>
      <w:rPr>
        <w:sz w:val="3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4408"/>
    <w:multiLevelType w:val="hybridMultilevel"/>
    <w:tmpl w:val="622EE21E"/>
    <w:lvl w:ilvl="0" w:tplc="3E2A2924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CE6DFCC">
      <w:start w:val="1"/>
      <w:numFmt w:val="lowerLetter"/>
      <w:lvlText w:val="%2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50C9C44">
      <w:start w:val="1"/>
      <w:numFmt w:val="lowerRoman"/>
      <w:lvlText w:val="%3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A446E74">
      <w:start w:val="1"/>
      <w:numFmt w:val="decimal"/>
      <w:lvlText w:val="%4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512A57A">
      <w:start w:val="1"/>
      <w:numFmt w:val="lowerLetter"/>
      <w:lvlText w:val="%5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C7A973A">
      <w:start w:val="1"/>
      <w:numFmt w:val="lowerRoman"/>
      <w:lvlText w:val="%6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046C746">
      <w:start w:val="1"/>
      <w:numFmt w:val="decimal"/>
      <w:lvlText w:val="%7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3506C8C">
      <w:start w:val="1"/>
      <w:numFmt w:val="lowerLetter"/>
      <w:lvlText w:val="%8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59C1AD4">
      <w:start w:val="1"/>
      <w:numFmt w:val="lowerRoman"/>
      <w:lvlText w:val="%9"/>
      <w:lvlJc w:val="left"/>
      <w:pPr>
        <w:ind w:left="6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BD79D5"/>
    <w:multiLevelType w:val="hybridMultilevel"/>
    <w:tmpl w:val="4FCA4BC2"/>
    <w:lvl w:ilvl="0" w:tplc="DA0EF0A6">
      <w:start w:val="4"/>
      <w:numFmt w:val="decimal"/>
      <w:lvlText w:val="%1)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A470DE">
      <w:start w:val="1"/>
      <w:numFmt w:val="lowerLetter"/>
      <w:lvlText w:val="%2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DA571A">
      <w:start w:val="1"/>
      <w:numFmt w:val="lowerRoman"/>
      <w:lvlText w:val="%3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BACBEA">
      <w:start w:val="1"/>
      <w:numFmt w:val="decimal"/>
      <w:lvlText w:val="%4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7C63EA">
      <w:start w:val="1"/>
      <w:numFmt w:val="lowerLetter"/>
      <w:lvlText w:val="%5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D0D942">
      <w:start w:val="1"/>
      <w:numFmt w:val="lowerRoman"/>
      <w:lvlText w:val="%6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0E6836">
      <w:start w:val="1"/>
      <w:numFmt w:val="decimal"/>
      <w:lvlText w:val="%7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E8D748">
      <w:start w:val="1"/>
      <w:numFmt w:val="lowerLetter"/>
      <w:lvlText w:val="%8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A2707A">
      <w:start w:val="1"/>
      <w:numFmt w:val="lowerRoman"/>
      <w:lvlText w:val="%9"/>
      <w:lvlJc w:val="left"/>
      <w:pPr>
        <w:ind w:left="6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A11147"/>
    <w:multiLevelType w:val="hybridMultilevel"/>
    <w:tmpl w:val="FDCC30A2"/>
    <w:lvl w:ilvl="0" w:tplc="07220C8A">
      <w:start w:val="1"/>
      <w:numFmt w:val="decimal"/>
      <w:lvlText w:val="%1)"/>
      <w:lvlJc w:val="left"/>
      <w:pPr>
        <w:ind w:left="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FEE0A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2613CE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EC4C8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047B20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3C014C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CA8410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0C5DD8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5C4EC8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5648A6"/>
    <w:multiLevelType w:val="hybridMultilevel"/>
    <w:tmpl w:val="91480F5A"/>
    <w:lvl w:ilvl="0" w:tplc="61B282F8">
      <w:start w:val="16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287446">
      <w:start w:val="1"/>
      <w:numFmt w:val="lowerLetter"/>
      <w:lvlText w:val="%2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10E4E6">
      <w:start w:val="1"/>
      <w:numFmt w:val="lowerRoman"/>
      <w:lvlText w:val="%3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789774">
      <w:start w:val="1"/>
      <w:numFmt w:val="decimal"/>
      <w:lvlText w:val="%4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8C6EE8">
      <w:start w:val="1"/>
      <w:numFmt w:val="lowerLetter"/>
      <w:lvlText w:val="%5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B687E6">
      <w:start w:val="1"/>
      <w:numFmt w:val="lowerRoman"/>
      <w:lvlText w:val="%6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A20208">
      <w:start w:val="1"/>
      <w:numFmt w:val="decimal"/>
      <w:lvlText w:val="%7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10CB8C">
      <w:start w:val="1"/>
      <w:numFmt w:val="lowerLetter"/>
      <w:lvlText w:val="%8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B298A6">
      <w:start w:val="1"/>
      <w:numFmt w:val="lowerRoman"/>
      <w:lvlText w:val="%9"/>
      <w:lvlJc w:val="left"/>
      <w:pPr>
        <w:ind w:left="6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EC7E57"/>
    <w:multiLevelType w:val="hybridMultilevel"/>
    <w:tmpl w:val="53DC857C"/>
    <w:lvl w:ilvl="0" w:tplc="5D6A4502">
      <w:start w:val="4"/>
      <w:numFmt w:val="decimal"/>
      <w:lvlText w:val="%1.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04CCC6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F27A22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747E5E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AAAE4C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8E8136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B03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8C07FE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228F2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B344CFD"/>
    <w:multiLevelType w:val="hybridMultilevel"/>
    <w:tmpl w:val="B044A1B8"/>
    <w:lvl w:ilvl="0" w:tplc="AD1A5262">
      <w:start w:val="12"/>
      <w:numFmt w:val="decimal"/>
      <w:lvlText w:val="%1)"/>
      <w:lvlJc w:val="left"/>
      <w:pPr>
        <w:ind w:left="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90FD4A">
      <w:start w:val="1"/>
      <w:numFmt w:val="lowerLetter"/>
      <w:lvlText w:val="%2"/>
      <w:lvlJc w:val="left"/>
      <w:pPr>
        <w:ind w:left="1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3672AE">
      <w:start w:val="1"/>
      <w:numFmt w:val="lowerRoman"/>
      <w:lvlText w:val="%3"/>
      <w:lvlJc w:val="left"/>
      <w:pPr>
        <w:ind w:left="2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32AB90">
      <w:start w:val="1"/>
      <w:numFmt w:val="decimal"/>
      <w:lvlText w:val="%4"/>
      <w:lvlJc w:val="left"/>
      <w:pPr>
        <w:ind w:left="3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A2B0A">
      <w:start w:val="1"/>
      <w:numFmt w:val="lowerLetter"/>
      <w:lvlText w:val="%5"/>
      <w:lvlJc w:val="left"/>
      <w:pPr>
        <w:ind w:left="4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C20516">
      <w:start w:val="1"/>
      <w:numFmt w:val="lowerRoman"/>
      <w:lvlText w:val="%6"/>
      <w:lvlJc w:val="left"/>
      <w:pPr>
        <w:ind w:left="4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99E8AC2">
      <w:start w:val="1"/>
      <w:numFmt w:val="decimal"/>
      <w:lvlText w:val="%7"/>
      <w:lvlJc w:val="left"/>
      <w:pPr>
        <w:ind w:left="5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CA904A">
      <w:start w:val="1"/>
      <w:numFmt w:val="lowerLetter"/>
      <w:lvlText w:val="%8"/>
      <w:lvlJc w:val="left"/>
      <w:pPr>
        <w:ind w:left="6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640B6E">
      <w:start w:val="1"/>
      <w:numFmt w:val="lowerRoman"/>
      <w:lvlText w:val="%9"/>
      <w:lvlJc w:val="left"/>
      <w:pPr>
        <w:ind w:left="6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DC54D7D"/>
    <w:multiLevelType w:val="hybridMultilevel"/>
    <w:tmpl w:val="DD0A82F6"/>
    <w:lvl w:ilvl="0" w:tplc="908E37CE">
      <w:start w:val="12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165578">
      <w:start w:val="1"/>
      <w:numFmt w:val="lowerLetter"/>
      <w:lvlText w:val="%2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CA120A">
      <w:start w:val="1"/>
      <w:numFmt w:val="lowerRoman"/>
      <w:lvlText w:val="%3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C618F0">
      <w:start w:val="1"/>
      <w:numFmt w:val="decimal"/>
      <w:lvlText w:val="%4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D6DCE2">
      <w:start w:val="1"/>
      <w:numFmt w:val="lowerLetter"/>
      <w:lvlText w:val="%5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3E268A">
      <w:start w:val="1"/>
      <w:numFmt w:val="lowerRoman"/>
      <w:lvlText w:val="%6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16D552">
      <w:start w:val="1"/>
      <w:numFmt w:val="decimal"/>
      <w:lvlText w:val="%7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5227D8">
      <w:start w:val="1"/>
      <w:numFmt w:val="lowerLetter"/>
      <w:lvlText w:val="%8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74AFEC">
      <w:start w:val="1"/>
      <w:numFmt w:val="lowerRoman"/>
      <w:lvlText w:val="%9"/>
      <w:lvlJc w:val="left"/>
      <w:pPr>
        <w:ind w:left="6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F6070C"/>
    <w:multiLevelType w:val="hybridMultilevel"/>
    <w:tmpl w:val="081C5540"/>
    <w:lvl w:ilvl="0" w:tplc="EC1A4BBE">
      <w:start w:val="1"/>
      <w:numFmt w:val="decimal"/>
      <w:lvlText w:val="%1)"/>
      <w:lvlJc w:val="left"/>
      <w:pPr>
        <w:ind w:left="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30C7DDA">
      <w:start w:val="1"/>
      <w:numFmt w:val="lowerLetter"/>
      <w:lvlText w:val="%2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A84629D0">
      <w:start w:val="1"/>
      <w:numFmt w:val="lowerRoman"/>
      <w:lvlText w:val="%3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A80EB3E">
      <w:start w:val="1"/>
      <w:numFmt w:val="decimal"/>
      <w:lvlText w:val="%4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EC23334">
      <w:start w:val="1"/>
      <w:numFmt w:val="lowerLetter"/>
      <w:lvlText w:val="%5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A488EDE">
      <w:start w:val="1"/>
      <w:numFmt w:val="lowerRoman"/>
      <w:lvlText w:val="%6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D26D31E">
      <w:start w:val="1"/>
      <w:numFmt w:val="decimal"/>
      <w:lvlText w:val="%7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26AD004">
      <w:start w:val="1"/>
      <w:numFmt w:val="lowerLetter"/>
      <w:lvlText w:val="%8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546F8A0">
      <w:start w:val="1"/>
      <w:numFmt w:val="lowerRoman"/>
      <w:lvlText w:val="%9"/>
      <w:lvlJc w:val="left"/>
      <w:pPr>
        <w:ind w:left="6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0AE59F1"/>
    <w:multiLevelType w:val="hybridMultilevel"/>
    <w:tmpl w:val="5B1A5C3A"/>
    <w:lvl w:ilvl="0" w:tplc="7FA2D08A">
      <w:start w:val="1"/>
      <w:numFmt w:val="decimal"/>
      <w:lvlText w:val="%1)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501CEE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146D2C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7A1C68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4646E8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46C3E2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32B2CE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FA1F70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BCAB92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4D72FA"/>
    <w:multiLevelType w:val="hybridMultilevel"/>
    <w:tmpl w:val="516AE20E"/>
    <w:lvl w:ilvl="0" w:tplc="B0D67518">
      <w:start w:val="4"/>
      <w:numFmt w:val="decimal"/>
      <w:lvlText w:val="%1)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486E0A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7A2468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DE15DE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C2AA20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2A7AF6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748CC2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02AF8E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FEDBD2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B9A6B59"/>
    <w:multiLevelType w:val="hybridMultilevel"/>
    <w:tmpl w:val="2C7ACA26"/>
    <w:lvl w:ilvl="0" w:tplc="B11C290A">
      <w:start w:val="1"/>
      <w:numFmt w:val="decimal"/>
      <w:lvlText w:val="%1)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CC9D08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320AF0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36E3AC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1EF8C6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1017B8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8A6AAC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3CC446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763CEA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20A77CD"/>
    <w:multiLevelType w:val="hybridMultilevel"/>
    <w:tmpl w:val="7EF05B8E"/>
    <w:lvl w:ilvl="0" w:tplc="E690A1DE">
      <w:start w:val="8"/>
      <w:numFmt w:val="decimal"/>
      <w:lvlText w:val="%1)"/>
      <w:lvlJc w:val="left"/>
      <w:pPr>
        <w:ind w:left="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8482E2">
      <w:start w:val="1"/>
      <w:numFmt w:val="lowerLetter"/>
      <w:lvlText w:val="%2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260D12">
      <w:start w:val="1"/>
      <w:numFmt w:val="lowerRoman"/>
      <w:lvlText w:val="%3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F0E3B6">
      <w:start w:val="1"/>
      <w:numFmt w:val="decimal"/>
      <w:lvlText w:val="%4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98056A">
      <w:start w:val="1"/>
      <w:numFmt w:val="lowerLetter"/>
      <w:lvlText w:val="%5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70A972">
      <w:start w:val="1"/>
      <w:numFmt w:val="lowerRoman"/>
      <w:lvlText w:val="%6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580326">
      <w:start w:val="1"/>
      <w:numFmt w:val="decimal"/>
      <w:lvlText w:val="%7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0C41FA">
      <w:start w:val="1"/>
      <w:numFmt w:val="lowerLetter"/>
      <w:lvlText w:val="%8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4E0C3C">
      <w:start w:val="1"/>
      <w:numFmt w:val="lowerRoman"/>
      <w:lvlText w:val="%9"/>
      <w:lvlJc w:val="left"/>
      <w:pPr>
        <w:ind w:left="6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A637A3"/>
    <w:multiLevelType w:val="hybridMultilevel"/>
    <w:tmpl w:val="47B077D2"/>
    <w:lvl w:ilvl="0" w:tplc="304E9124">
      <w:start w:val="1"/>
      <w:numFmt w:val="decimal"/>
      <w:lvlText w:val="%1)"/>
      <w:lvlJc w:val="left"/>
      <w:pPr>
        <w:ind w:left="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26C32A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A6AAD4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4C8D14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786194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E4BD6C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E0E2AA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BC3770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C456AC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54C2423"/>
    <w:multiLevelType w:val="hybridMultilevel"/>
    <w:tmpl w:val="3C145F22"/>
    <w:lvl w:ilvl="0" w:tplc="0394B1AC">
      <w:start w:val="10"/>
      <w:numFmt w:val="decimal"/>
      <w:lvlText w:val="%1.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583BCA">
      <w:start w:val="1"/>
      <w:numFmt w:val="lowerLetter"/>
      <w:lvlText w:val="%2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FCD0E4">
      <w:start w:val="1"/>
      <w:numFmt w:val="lowerRoman"/>
      <w:lvlText w:val="%3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9EA024">
      <w:start w:val="1"/>
      <w:numFmt w:val="decimal"/>
      <w:lvlText w:val="%4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62E2E4">
      <w:start w:val="1"/>
      <w:numFmt w:val="lowerLetter"/>
      <w:lvlText w:val="%5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14FB10">
      <w:start w:val="1"/>
      <w:numFmt w:val="lowerRoman"/>
      <w:lvlText w:val="%6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2C0B2C">
      <w:start w:val="1"/>
      <w:numFmt w:val="decimal"/>
      <w:lvlText w:val="%7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E2278A">
      <w:start w:val="1"/>
      <w:numFmt w:val="lowerLetter"/>
      <w:lvlText w:val="%8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8ED644">
      <w:start w:val="1"/>
      <w:numFmt w:val="lowerRoman"/>
      <w:lvlText w:val="%9"/>
      <w:lvlJc w:val="left"/>
      <w:pPr>
        <w:ind w:left="6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BC924AD"/>
    <w:multiLevelType w:val="hybridMultilevel"/>
    <w:tmpl w:val="509AB778"/>
    <w:lvl w:ilvl="0" w:tplc="1DF0C892">
      <w:start w:val="17"/>
      <w:numFmt w:val="decimal"/>
      <w:lvlText w:val="%1)"/>
      <w:lvlJc w:val="left"/>
      <w:pPr>
        <w:ind w:left="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AE8A44">
      <w:start w:val="1"/>
      <w:numFmt w:val="lowerLetter"/>
      <w:lvlText w:val="%2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F871F0">
      <w:start w:val="1"/>
      <w:numFmt w:val="lowerRoman"/>
      <w:lvlText w:val="%3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DE1746">
      <w:start w:val="1"/>
      <w:numFmt w:val="decimal"/>
      <w:lvlText w:val="%4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0A8E4A">
      <w:start w:val="1"/>
      <w:numFmt w:val="lowerLetter"/>
      <w:lvlText w:val="%5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EC7520">
      <w:start w:val="1"/>
      <w:numFmt w:val="lowerRoman"/>
      <w:lvlText w:val="%6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800C30">
      <w:start w:val="1"/>
      <w:numFmt w:val="decimal"/>
      <w:lvlText w:val="%7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BA3EEC">
      <w:start w:val="1"/>
      <w:numFmt w:val="lowerLetter"/>
      <w:lvlText w:val="%8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7EBDBC">
      <w:start w:val="1"/>
      <w:numFmt w:val="lowerRoman"/>
      <w:lvlText w:val="%9"/>
      <w:lvlJc w:val="left"/>
      <w:pPr>
        <w:ind w:left="6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7"/>
  </w:num>
  <w:num w:numId="5">
    <w:abstractNumId w:val="9"/>
  </w:num>
  <w:num w:numId="6">
    <w:abstractNumId w:val="6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5"/>
  </w:num>
  <w:num w:numId="12">
    <w:abstractNumId w:val="14"/>
  </w:num>
  <w:num w:numId="13">
    <w:abstractNumId w:val="2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111"/>
    <w:rsid w:val="000472C8"/>
    <w:rsid w:val="0084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E96BE94-9473-42A5-A23D-C108338D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1" w:lineRule="auto"/>
      <w:ind w:right="855" w:firstLine="71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right="855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4.jpg"/><Relationship Id="rId28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3.jpg"/><Relationship Id="rId27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3045</Words>
  <Characters>17357</Characters>
  <Application>Microsoft Office Word</Application>
  <DocSecurity>4</DocSecurity>
  <Lines>144</Lines>
  <Paragraphs>40</Paragraphs>
  <ScaleCrop>false</ScaleCrop>
  <Company/>
  <LinksUpToDate>false</LinksUpToDate>
  <CharactersWithSpaces>20362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2025-05-19T08:12:00Z</dcterms:created>
  <dcterms:modified xsi:type="dcterms:W3CDTF">2025-05-19T08:12:00Z</dcterms:modified>
</cp:coreProperties>
</file>