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6F5A4C" w:rsidRDefault="00730F7D">
      <w:pPr>
        <w:spacing w:after="791" w:line="241" w:lineRule="auto"/>
        <w:ind w:left="10" w:right="227" w:firstLine="1"/>
        <w:jc w:val="both"/>
      </w:pPr>
      <w:r>
        <w:rPr>
          <w:noProof/>
        </w:rPr>
        <mc:AlternateContent>
          <mc:Choice Requires="wpg">
            <w:drawing>
              <wp:anchor distT="0" distB="0" distL="114300" distR="114300" simplePos="0" relativeHeight="251658240" behindDoc="0" locked="0" layoutInCell="1" allowOverlap="1">
                <wp:simplePos x="0" y="0"/>
                <wp:positionH relativeFrom="column">
                  <wp:posOffset>5339969</wp:posOffset>
                </wp:positionH>
                <wp:positionV relativeFrom="paragraph">
                  <wp:posOffset>20032</wp:posOffset>
                </wp:positionV>
                <wp:extent cx="791992" cy="277787"/>
                <wp:effectExtent l="0" t="0" r="0" b="0"/>
                <wp:wrapSquare wrapText="bothSides"/>
                <wp:docPr id="43290" name="Group 43290"/>
                <wp:cNvGraphicFramePr/>
                <a:graphic xmlns:a="http://schemas.openxmlformats.org/drawingml/2006/main">
                  <a:graphicData uri="http://schemas.microsoft.com/office/word/2010/wordprocessingGroup">
                    <wpg:wgp>
                      <wpg:cNvGrpSpPr/>
                      <wpg:grpSpPr>
                        <a:xfrm>
                          <a:off x="0" y="0"/>
                          <a:ext cx="791992" cy="277787"/>
                          <a:chOff x="0" y="0"/>
                          <a:chExt cx="791992" cy="277787"/>
                        </a:xfrm>
                      </wpg:grpSpPr>
                      <wps:wsp>
                        <wps:cNvPr id="140" name="Shape 140"/>
                        <wps:cNvSpPr/>
                        <wps:spPr>
                          <a:xfrm>
                            <a:off x="0" y="0"/>
                            <a:ext cx="791992" cy="277787"/>
                          </a:xfrm>
                          <a:custGeom>
                            <a:avLst/>
                            <a:gdLst/>
                            <a:ahLst/>
                            <a:cxnLst/>
                            <a:rect l="0" t="0" r="0" b="0"/>
                            <a:pathLst>
                              <a:path w="791992" h="277787">
                                <a:moveTo>
                                  <a:pt x="14028" y="0"/>
                                </a:moveTo>
                                <a:lnTo>
                                  <a:pt x="777959" y="0"/>
                                </a:lnTo>
                                <a:cubicBezTo>
                                  <a:pt x="785668" y="0"/>
                                  <a:pt x="791992" y="6299"/>
                                  <a:pt x="791992" y="14008"/>
                                </a:cubicBezTo>
                                <a:lnTo>
                                  <a:pt x="791992" y="263779"/>
                                </a:lnTo>
                                <a:cubicBezTo>
                                  <a:pt x="791992" y="267633"/>
                                  <a:pt x="790411" y="271139"/>
                                  <a:pt x="787866" y="273680"/>
                                </a:cubicBezTo>
                                <a:lnTo>
                                  <a:pt x="777988" y="277787"/>
                                </a:lnTo>
                                <a:lnTo>
                                  <a:pt x="13999" y="277787"/>
                                </a:lnTo>
                                <a:lnTo>
                                  <a:pt x="4116" y="273680"/>
                                </a:lnTo>
                                <a:lnTo>
                                  <a:pt x="0" y="263792"/>
                                </a:lnTo>
                                <a:lnTo>
                                  <a:pt x="0" y="13995"/>
                                </a:lnTo>
                                <a:lnTo>
                                  <a:pt x="4116" y="4113"/>
                                </a:lnTo>
                                <a:cubicBezTo>
                                  <a:pt x="6659" y="1575"/>
                                  <a:pt x="10168" y="0"/>
                                  <a:pt x="1402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 name="Shape 141"/>
                        <wps:cNvSpPr/>
                        <wps:spPr>
                          <a:xfrm>
                            <a:off x="8770" y="8770"/>
                            <a:ext cx="774446" cy="260261"/>
                          </a:xfrm>
                          <a:custGeom>
                            <a:avLst/>
                            <a:gdLst/>
                            <a:ahLst/>
                            <a:cxnLst/>
                            <a:rect l="0" t="0" r="0" b="0"/>
                            <a:pathLst>
                              <a:path w="774446" h="260261">
                                <a:moveTo>
                                  <a:pt x="5258" y="0"/>
                                </a:moveTo>
                                <a:lnTo>
                                  <a:pt x="769188" y="0"/>
                                </a:lnTo>
                                <a:cubicBezTo>
                                  <a:pt x="772033" y="0"/>
                                  <a:pt x="774446" y="2413"/>
                                  <a:pt x="774446" y="5232"/>
                                </a:cubicBezTo>
                                <a:lnTo>
                                  <a:pt x="774446" y="255003"/>
                                </a:lnTo>
                                <a:cubicBezTo>
                                  <a:pt x="774446" y="257848"/>
                                  <a:pt x="772033" y="260261"/>
                                  <a:pt x="769188" y="260261"/>
                                </a:cubicBezTo>
                                <a:lnTo>
                                  <a:pt x="5258" y="260261"/>
                                </a:lnTo>
                                <a:cubicBezTo>
                                  <a:pt x="2413" y="260261"/>
                                  <a:pt x="0" y="257848"/>
                                  <a:pt x="0" y="255003"/>
                                </a:cubicBezTo>
                                <a:lnTo>
                                  <a:pt x="0" y="5232"/>
                                </a:lnTo>
                                <a:cubicBezTo>
                                  <a:pt x="0" y="2413"/>
                                  <a:pt x="2413" y="0"/>
                                  <a:pt x="5258" y="0"/>
                                </a:cubicBezTo>
                                <a:close/>
                              </a:path>
                            </a:pathLst>
                          </a:custGeom>
                          <a:ln w="0" cap="flat">
                            <a:miter lim="127000"/>
                          </a:ln>
                        </wps:spPr>
                        <wps:style>
                          <a:lnRef idx="0">
                            <a:srgbClr val="000000">
                              <a:alpha val="0"/>
                            </a:srgbClr>
                          </a:lnRef>
                          <a:fillRef idx="1">
                            <a:srgbClr val="DADAD9"/>
                          </a:fillRef>
                          <a:effectRef idx="0">
                            <a:scrgbClr r="0" g="0" b="0"/>
                          </a:effectRef>
                          <a:fontRef idx="none"/>
                        </wps:style>
                        <wps:bodyPr/>
                      </wps:wsp>
                      <wps:wsp>
                        <wps:cNvPr id="55085" name="Shape 55085"/>
                        <wps:cNvSpPr/>
                        <wps:spPr>
                          <a:xfrm>
                            <a:off x="5702" y="194082"/>
                            <a:ext cx="782295" cy="78892"/>
                          </a:xfrm>
                          <a:custGeom>
                            <a:avLst/>
                            <a:gdLst/>
                            <a:ahLst/>
                            <a:cxnLst/>
                            <a:rect l="0" t="0" r="0" b="0"/>
                            <a:pathLst>
                              <a:path w="782295" h="78892">
                                <a:moveTo>
                                  <a:pt x="0" y="0"/>
                                </a:moveTo>
                                <a:lnTo>
                                  <a:pt x="782295" y="0"/>
                                </a:lnTo>
                                <a:lnTo>
                                  <a:pt x="782295" y="78892"/>
                                </a:lnTo>
                                <a:lnTo>
                                  <a:pt x="0" y="788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3" name="Shape 143"/>
                        <wps:cNvSpPr/>
                        <wps:spPr>
                          <a:xfrm>
                            <a:off x="16080" y="8987"/>
                            <a:ext cx="240474" cy="240487"/>
                          </a:xfrm>
                          <a:custGeom>
                            <a:avLst/>
                            <a:gdLst/>
                            <a:ahLst/>
                            <a:cxnLst/>
                            <a:rect l="0" t="0" r="0" b="0"/>
                            <a:pathLst>
                              <a:path w="240474" h="240487">
                                <a:moveTo>
                                  <a:pt x="120243" y="0"/>
                                </a:moveTo>
                                <a:cubicBezTo>
                                  <a:pt x="186652" y="0"/>
                                  <a:pt x="240474" y="53835"/>
                                  <a:pt x="240474" y="120244"/>
                                </a:cubicBezTo>
                                <a:cubicBezTo>
                                  <a:pt x="240474" y="186639"/>
                                  <a:pt x="186652" y="240487"/>
                                  <a:pt x="120243" y="240487"/>
                                </a:cubicBezTo>
                                <a:cubicBezTo>
                                  <a:pt x="53822" y="240487"/>
                                  <a:pt x="0" y="186639"/>
                                  <a:pt x="0" y="120244"/>
                                </a:cubicBezTo>
                                <a:cubicBezTo>
                                  <a:pt x="0" y="53835"/>
                                  <a:pt x="53822" y="0"/>
                                  <a:pt x="120243" y="0"/>
                                </a:cubicBezTo>
                                <a:close/>
                              </a:path>
                            </a:pathLst>
                          </a:custGeom>
                          <a:ln w="0" cap="flat">
                            <a:miter lim="127000"/>
                          </a:ln>
                        </wps:spPr>
                        <wps:style>
                          <a:lnRef idx="0">
                            <a:srgbClr val="000000">
                              <a:alpha val="0"/>
                            </a:srgbClr>
                          </a:lnRef>
                          <a:fillRef idx="1">
                            <a:srgbClr val="DADAD9"/>
                          </a:fillRef>
                          <a:effectRef idx="0">
                            <a:scrgbClr r="0" g="0" b="0"/>
                          </a:effectRef>
                          <a:fontRef idx="none"/>
                        </wps:style>
                        <wps:bodyPr/>
                      </wps:wsp>
                      <wps:wsp>
                        <wps:cNvPr id="144" name="Shape 144"/>
                        <wps:cNvSpPr/>
                        <wps:spPr>
                          <a:xfrm>
                            <a:off x="268388" y="21424"/>
                            <a:ext cx="152883" cy="152895"/>
                          </a:xfrm>
                          <a:custGeom>
                            <a:avLst/>
                            <a:gdLst/>
                            <a:ahLst/>
                            <a:cxnLst/>
                            <a:rect l="0" t="0" r="0" b="0"/>
                            <a:pathLst>
                              <a:path w="152883" h="152895">
                                <a:moveTo>
                                  <a:pt x="76441" y="0"/>
                                </a:moveTo>
                                <a:cubicBezTo>
                                  <a:pt x="118656" y="0"/>
                                  <a:pt x="152883" y="34226"/>
                                  <a:pt x="152883" y="76454"/>
                                </a:cubicBezTo>
                                <a:cubicBezTo>
                                  <a:pt x="152883" y="118669"/>
                                  <a:pt x="118656" y="152895"/>
                                  <a:pt x="76441" y="152895"/>
                                </a:cubicBezTo>
                                <a:cubicBezTo>
                                  <a:pt x="34227" y="152895"/>
                                  <a:pt x="0" y="118669"/>
                                  <a:pt x="0" y="76454"/>
                                </a:cubicBezTo>
                                <a:cubicBezTo>
                                  <a:pt x="0" y="34226"/>
                                  <a:pt x="34227" y="0"/>
                                  <a:pt x="76441"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5" name="Shape 145"/>
                        <wps:cNvSpPr/>
                        <wps:spPr>
                          <a:xfrm>
                            <a:off x="31383" y="24291"/>
                            <a:ext cx="209867" cy="209868"/>
                          </a:xfrm>
                          <a:custGeom>
                            <a:avLst/>
                            <a:gdLst/>
                            <a:ahLst/>
                            <a:cxnLst/>
                            <a:rect l="0" t="0" r="0" b="0"/>
                            <a:pathLst>
                              <a:path w="209867" h="209868">
                                <a:moveTo>
                                  <a:pt x="104940" y="0"/>
                                </a:moveTo>
                                <a:cubicBezTo>
                                  <a:pt x="162903" y="0"/>
                                  <a:pt x="209867" y="46977"/>
                                  <a:pt x="209867" y="104940"/>
                                </a:cubicBezTo>
                                <a:cubicBezTo>
                                  <a:pt x="209867" y="162890"/>
                                  <a:pt x="162903" y="209868"/>
                                  <a:pt x="104940" y="209868"/>
                                </a:cubicBezTo>
                                <a:cubicBezTo>
                                  <a:pt x="46977" y="209868"/>
                                  <a:pt x="0" y="162890"/>
                                  <a:pt x="0" y="104940"/>
                                </a:cubicBezTo>
                                <a:cubicBezTo>
                                  <a:pt x="0" y="46977"/>
                                  <a:pt x="46977" y="0"/>
                                  <a:pt x="10494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6" name="Shape 146"/>
                        <wps:cNvSpPr/>
                        <wps:spPr>
                          <a:xfrm>
                            <a:off x="437474" y="21424"/>
                            <a:ext cx="152896" cy="152895"/>
                          </a:xfrm>
                          <a:custGeom>
                            <a:avLst/>
                            <a:gdLst/>
                            <a:ahLst/>
                            <a:cxnLst/>
                            <a:rect l="0" t="0" r="0" b="0"/>
                            <a:pathLst>
                              <a:path w="152896" h="152895">
                                <a:moveTo>
                                  <a:pt x="76441" y="0"/>
                                </a:moveTo>
                                <a:cubicBezTo>
                                  <a:pt x="118656" y="0"/>
                                  <a:pt x="152896" y="34226"/>
                                  <a:pt x="152896" y="76454"/>
                                </a:cubicBezTo>
                                <a:cubicBezTo>
                                  <a:pt x="152896" y="118669"/>
                                  <a:pt x="118656" y="152895"/>
                                  <a:pt x="76441" y="152895"/>
                                </a:cubicBezTo>
                                <a:cubicBezTo>
                                  <a:pt x="34227" y="152895"/>
                                  <a:pt x="0" y="118669"/>
                                  <a:pt x="0" y="76454"/>
                                </a:cubicBezTo>
                                <a:cubicBezTo>
                                  <a:pt x="0" y="34226"/>
                                  <a:pt x="34227" y="0"/>
                                  <a:pt x="76441"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7" name="Shape 147"/>
                        <wps:cNvSpPr/>
                        <wps:spPr>
                          <a:xfrm>
                            <a:off x="607042" y="21424"/>
                            <a:ext cx="152882" cy="152895"/>
                          </a:xfrm>
                          <a:custGeom>
                            <a:avLst/>
                            <a:gdLst/>
                            <a:ahLst/>
                            <a:cxnLst/>
                            <a:rect l="0" t="0" r="0" b="0"/>
                            <a:pathLst>
                              <a:path w="152882" h="152895">
                                <a:moveTo>
                                  <a:pt x="76441" y="0"/>
                                </a:moveTo>
                                <a:cubicBezTo>
                                  <a:pt x="118656" y="0"/>
                                  <a:pt x="152882" y="34226"/>
                                  <a:pt x="152882" y="76454"/>
                                </a:cubicBezTo>
                                <a:cubicBezTo>
                                  <a:pt x="152882" y="118669"/>
                                  <a:pt x="118656" y="152895"/>
                                  <a:pt x="76441" y="152895"/>
                                </a:cubicBezTo>
                                <a:cubicBezTo>
                                  <a:pt x="34227" y="152895"/>
                                  <a:pt x="0" y="118669"/>
                                  <a:pt x="0" y="76454"/>
                                </a:cubicBezTo>
                                <a:cubicBezTo>
                                  <a:pt x="0" y="34226"/>
                                  <a:pt x="34227" y="0"/>
                                  <a:pt x="76441"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8" name="Shape 148"/>
                        <wps:cNvSpPr/>
                        <wps:spPr>
                          <a:xfrm>
                            <a:off x="282239" y="35277"/>
                            <a:ext cx="125171" cy="125184"/>
                          </a:xfrm>
                          <a:custGeom>
                            <a:avLst/>
                            <a:gdLst/>
                            <a:ahLst/>
                            <a:cxnLst/>
                            <a:rect l="0" t="0" r="0" b="0"/>
                            <a:pathLst>
                              <a:path w="125171" h="125184">
                                <a:moveTo>
                                  <a:pt x="62585" y="0"/>
                                </a:moveTo>
                                <a:cubicBezTo>
                                  <a:pt x="97155" y="0"/>
                                  <a:pt x="125171" y="28016"/>
                                  <a:pt x="125171" y="62598"/>
                                </a:cubicBezTo>
                                <a:cubicBezTo>
                                  <a:pt x="125171" y="97168"/>
                                  <a:pt x="97155" y="125184"/>
                                  <a:pt x="62585" y="125184"/>
                                </a:cubicBezTo>
                                <a:cubicBezTo>
                                  <a:pt x="28016" y="125184"/>
                                  <a:pt x="0" y="97168"/>
                                  <a:pt x="0" y="62598"/>
                                </a:cubicBezTo>
                                <a:cubicBezTo>
                                  <a:pt x="0" y="28016"/>
                                  <a:pt x="28016" y="0"/>
                                  <a:pt x="6258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49" name="Shape 149"/>
                        <wps:cNvSpPr/>
                        <wps:spPr>
                          <a:xfrm>
                            <a:off x="50406" y="43316"/>
                            <a:ext cx="171831" cy="171818"/>
                          </a:xfrm>
                          <a:custGeom>
                            <a:avLst/>
                            <a:gdLst/>
                            <a:ahLst/>
                            <a:cxnLst/>
                            <a:rect l="0" t="0" r="0" b="0"/>
                            <a:pathLst>
                              <a:path w="171831" h="171818">
                                <a:moveTo>
                                  <a:pt x="85915" y="0"/>
                                </a:moveTo>
                                <a:cubicBezTo>
                                  <a:pt x="133363" y="0"/>
                                  <a:pt x="171831" y="38456"/>
                                  <a:pt x="171831" y="85915"/>
                                </a:cubicBezTo>
                                <a:cubicBezTo>
                                  <a:pt x="171831" y="133363"/>
                                  <a:pt x="133363" y="171818"/>
                                  <a:pt x="85915" y="171818"/>
                                </a:cubicBezTo>
                                <a:cubicBezTo>
                                  <a:pt x="38468" y="171818"/>
                                  <a:pt x="0" y="133363"/>
                                  <a:pt x="0" y="85915"/>
                                </a:cubicBezTo>
                                <a:cubicBezTo>
                                  <a:pt x="0" y="38456"/>
                                  <a:pt x="38468" y="0"/>
                                  <a:pt x="8591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0" name="Shape 150"/>
                        <wps:cNvSpPr/>
                        <wps:spPr>
                          <a:xfrm>
                            <a:off x="451339" y="35277"/>
                            <a:ext cx="125171" cy="125184"/>
                          </a:xfrm>
                          <a:custGeom>
                            <a:avLst/>
                            <a:gdLst/>
                            <a:ahLst/>
                            <a:cxnLst/>
                            <a:rect l="0" t="0" r="0" b="0"/>
                            <a:pathLst>
                              <a:path w="125171" h="125184">
                                <a:moveTo>
                                  <a:pt x="62573" y="0"/>
                                </a:moveTo>
                                <a:cubicBezTo>
                                  <a:pt x="97155" y="0"/>
                                  <a:pt x="125171" y="28016"/>
                                  <a:pt x="125171" y="62598"/>
                                </a:cubicBezTo>
                                <a:cubicBezTo>
                                  <a:pt x="125171" y="97168"/>
                                  <a:pt x="97155" y="125184"/>
                                  <a:pt x="62573" y="125184"/>
                                </a:cubicBezTo>
                                <a:cubicBezTo>
                                  <a:pt x="28016" y="125184"/>
                                  <a:pt x="0" y="97168"/>
                                  <a:pt x="0" y="62598"/>
                                </a:cubicBezTo>
                                <a:cubicBezTo>
                                  <a:pt x="0" y="28016"/>
                                  <a:pt x="28016" y="0"/>
                                  <a:pt x="62573"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1" name="Shape 151"/>
                        <wps:cNvSpPr/>
                        <wps:spPr>
                          <a:xfrm>
                            <a:off x="620886" y="35277"/>
                            <a:ext cx="125184" cy="125184"/>
                          </a:xfrm>
                          <a:custGeom>
                            <a:avLst/>
                            <a:gdLst/>
                            <a:ahLst/>
                            <a:cxnLst/>
                            <a:rect l="0" t="0" r="0" b="0"/>
                            <a:pathLst>
                              <a:path w="125184" h="125184">
                                <a:moveTo>
                                  <a:pt x="62599" y="0"/>
                                </a:moveTo>
                                <a:cubicBezTo>
                                  <a:pt x="97168" y="0"/>
                                  <a:pt x="125184" y="28016"/>
                                  <a:pt x="125184" y="62598"/>
                                </a:cubicBezTo>
                                <a:cubicBezTo>
                                  <a:pt x="125184" y="97168"/>
                                  <a:pt x="97168" y="125184"/>
                                  <a:pt x="62599" y="125184"/>
                                </a:cubicBezTo>
                                <a:cubicBezTo>
                                  <a:pt x="28042" y="125184"/>
                                  <a:pt x="0" y="97168"/>
                                  <a:pt x="0" y="62598"/>
                                </a:cubicBezTo>
                                <a:cubicBezTo>
                                  <a:pt x="0" y="28016"/>
                                  <a:pt x="28042" y="0"/>
                                  <a:pt x="62599"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2" name="Shape 152"/>
                        <wps:cNvSpPr/>
                        <wps:spPr>
                          <a:xfrm>
                            <a:off x="326390" y="73960"/>
                            <a:ext cx="37109" cy="73317"/>
                          </a:xfrm>
                          <a:custGeom>
                            <a:avLst/>
                            <a:gdLst/>
                            <a:ahLst/>
                            <a:cxnLst/>
                            <a:rect l="0" t="0" r="0" b="0"/>
                            <a:pathLst>
                              <a:path w="37109" h="73317">
                                <a:moveTo>
                                  <a:pt x="7747" y="0"/>
                                </a:moveTo>
                                <a:lnTo>
                                  <a:pt x="29121" y="0"/>
                                </a:lnTo>
                                <a:cubicBezTo>
                                  <a:pt x="37109" y="0"/>
                                  <a:pt x="36398" y="5448"/>
                                  <a:pt x="36398" y="7099"/>
                                </a:cubicBezTo>
                                <a:lnTo>
                                  <a:pt x="36398" y="36652"/>
                                </a:lnTo>
                                <a:lnTo>
                                  <a:pt x="29121" y="36652"/>
                                </a:lnTo>
                                <a:lnTo>
                                  <a:pt x="29121" y="73317"/>
                                </a:lnTo>
                                <a:lnTo>
                                  <a:pt x="6579" y="73317"/>
                                </a:lnTo>
                                <a:lnTo>
                                  <a:pt x="6579" y="37147"/>
                                </a:lnTo>
                                <a:lnTo>
                                  <a:pt x="0" y="37147"/>
                                </a:lnTo>
                                <a:lnTo>
                                  <a:pt x="0" y="7734"/>
                                </a:lnTo>
                                <a:cubicBezTo>
                                  <a:pt x="0" y="1626"/>
                                  <a:pt x="3061" y="0"/>
                                  <a:pt x="7747"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 name="Shape 153"/>
                        <wps:cNvSpPr/>
                        <wps:spPr>
                          <a:xfrm>
                            <a:off x="333687" y="48994"/>
                            <a:ext cx="21818" cy="21844"/>
                          </a:xfrm>
                          <a:custGeom>
                            <a:avLst/>
                            <a:gdLst/>
                            <a:ahLst/>
                            <a:cxnLst/>
                            <a:rect l="0" t="0" r="0" b="0"/>
                            <a:pathLst>
                              <a:path w="21818" h="21844">
                                <a:moveTo>
                                  <a:pt x="10897" y="0"/>
                                </a:moveTo>
                                <a:cubicBezTo>
                                  <a:pt x="16942" y="0"/>
                                  <a:pt x="21818" y="4902"/>
                                  <a:pt x="21818" y="10922"/>
                                </a:cubicBezTo>
                                <a:cubicBezTo>
                                  <a:pt x="21818" y="16942"/>
                                  <a:pt x="16942" y="21844"/>
                                  <a:pt x="10897" y="21844"/>
                                </a:cubicBezTo>
                                <a:cubicBezTo>
                                  <a:pt x="4902" y="21844"/>
                                  <a:pt x="0" y="16942"/>
                                  <a:pt x="0" y="10922"/>
                                </a:cubicBezTo>
                                <a:cubicBezTo>
                                  <a:pt x="0" y="4902"/>
                                  <a:pt x="4902" y="0"/>
                                  <a:pt x="10897"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4" name="Shape 154"/>
                        <wps:cNvSpPr/>
                        <wps:spPr>
                          <a:xfrm>
                            <a:off x="448180" y="62404"/>
                            <a:ext cx="134392" cy="71450"/>
                          </a:xfrm>
                          <a:custGeom>
                            <a:avLst/>
                            <a:gdLst/>
                            <a:ahLst/>
                            <a:cxnLst/>
                            <a:rect l="0" t="0" r="0" b="0"/>
                            <a:pathLst>
                              <a:path w="134392" h="71450">
                                <a:moveTo>
                                  <a:pt x="6160" y="0"/>
                                </a:moveTo>
                                <a:lnTo>
                                  <a:pt x="134392" y="57747"/>
                                </a:lnTo>
                                <a:lnTo>
                                  <a:pt x="128219" y="71450"/>
                                </a:lnTo>
                                <a:lnTo>
                                  <a:pt x="0" y="13703"/>
                                </a:lnTo>
                                <a:lnTo>
                                  <a:pt x="616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5" name="Shape 155"/>
                        <wps:cNvSpPr/>
                        <wps:spPr>
                          <a:xfrm>
                            <a:off x="305237" y="209846"/>
                            <a:ext cx="18116" cy="51130"/>
                          </a:xfrm>
                          <a:custGeom>
                            <a:avLst/>
                            <a:gdLst/>
                            <a:ahLst/>
                            <a:cxnLst/>
                            <a:rect l="0" t="0" r="0" b="0"/>
                            <a:pathLst>
                              <a:path w="18116" h="51130">
                                <a:moveTo>
                                  <a:pt x="14211" y="0"/>
                                </a:moveTo>
                                <a:lnTo>
                                  <a:pt x="18116" y="827"/>
                                </a:lnTo>
                                <a:lnTo>
                                  <a:pt x="18116" y="7465"/>
                                </a:lnTo>
                                <a:lnTo>
                                  <a:pt x="15151" y="6782"/>
                                </a:lnTo>
                                <a:cubicBezTo>
                                  <a:pt x="12306" y="6782"/>
                                  <a:pt x="10655" y="6934"/>
                                  <a:pt x="9627" y="7163"/>
                                </a:cubicBezTo>
                                <a:lnTo>
                                  <a:pt x="9627" y="20930"/>
                                </a:lnTo>
                                <a:lnTo>
                                  <a:pt x="14592" y="20930"/>
                                </a:lnTo>
                                <a:lnTo>
                                  <a:pt x="18116" y="20022"/>
                                </a:lnTo>
                                <a:lnTo>
                                  <a:pt x="18116" y="28395"/>
                                </a:lnTo>
                                <a:lnTo>
                                  <a:pt x="14453" y="27572"/>
                                </a:lnTo>
                                <a:lnTo>
                                  <a:pt x="9627" y="27572"/>
                                </a:lnTo>
                                <a:lnTo>
                                  <a:pt x="9627" y="43967"/>
                                </a:lnTo>
                                <a:cubicBezTo>
                                  <a:pt x="10884" y="44196"/>
                                  <a:pt x="12548" y="44196"/>
                                  <a:pt x="14757" y="44196"/>
                                </a:cubicBezTo>
                                <a:lnTo>
                                  <a:pt x="18116" y="43443"/>
                                </a:lnTo>
                                <a:lnTo>
                                  <a:pt x="18116" y="50534"/>
                                </a:lnTo>
                                <a:lnTo>
                                  <a:pt x="11912" y="51130"/>
                                </a:lnTo>
                                <a:cubicBezTo>
                                  <a:pt x="6553" y="51130"/>
                                  <a:pt x="2515" y="50749"/>
                                  <a:pt x="0" y="50457"/>
                                </a:cubicBezTo>
                                <a:lnTo>
                                  <a:pt x="0" y="1143"/>
                                </a:lnTo>
                                <a:cubicBezTo>
                                  <a:pt x="3061" y="521"/>
                                  <a:pt x="8687" y="0"/>
                                  <a:pt x="14211"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 name="Shape 156"/>
                        <wps:cNvSpPr/>
                        <wps:spPr>
                          <a:xfrm>
                            <a:off x="323353" y="210674"/>
                            <a:ext cx="18676" cy="49706"/>
                          </a:xfrm>
                          <a:custGeom>
                            <a:avLst/>
                            <a:gdLst/>
                            <a:ahLst/>
                            <a:cxnLst/>
                            <a:rect l="0" t="0" r="0" b="0"/>
                            <a:pathLst>
                              <a:path w="18676" h="49706">
                                <a:moveTo>
                                  <a:pt x="0" y="0"/>
                                </a:moveTo>
                                <a:lnTo>
                                  <a:pt x="11259" y="2386"/>
                                </a:lnTo>
                                <a:cubicBezTo>
                                  <a:pt x="14574" y="4253"/>
                                  <a:pt x="16783" y="7529"/>
                                  <a:pt x="16783" y="11847"/>
                                </a:cubicBezTo>
                                <a:cubicBezTo>
                                  <a:pt x="16783" y="16470"/>
                                  <a:pt x="13710" y="20648"/>
                                  <a:pt x="7944" y="22655"/>
                                </a:cubicBezTo>
                                <a:lnTo>
                                  <a:pt x="7944" y="22883"/>
                                </a:lnTo>
                                <a:cubicBezTo>
                                  <a:pt x="13557" y="24217"/>
                                  <a:pt x="18676" y="28395"/>
                                  <a:pt x="18676" y="35253"/>
                                </a:cubicBezTo>
                                <a:cubicBezTo>
                                  <a:pt x="18676" y="39711"/>
                                  <a:pt x="16618" y="43216"/>
                                  <a:pt x="13634" y="45667"/>
                                </a:cubicBezTo>
                                <a:cubicBezTo>
                                  <a:pt x="11735" y="47198"/>
                                  <a:pt x="9227" y="48356"/>
                                  <a:pt x="5967" y="49133"/>
                                </a:cubicBezTo>
                                <a:lnTo>
                                  <a:pt x="0" y="49706"/>
                                </a:lnTo>
                                <a:lnTo>
                                  <a:pt x="0" y="42616"/>
                                </a:lnTo>
                                <a:lnTo>
                                  <a:pt x="4909" y="41516"/>
                                </a:lnTo>
                                <a:cubicBezTo>
                                  <a:pt x="7090" y="40203"/>
                                  <a:pt x="8490" y="38117"/>
                                  <a:pt x="8490" y="35025"/>
                                </a:cubicBezTo>
                                <a:cubicBezTo>
                                  <a:pt x="8490" y="32078"/>
                                  <a:pt x="7128" y="30008"/>
                                  <a:pt x="4928" y="28675"/>
                                </a:cubicBezTo>
                                <a:lnTo>
                                  <a:pt x="0" y="27567"/>
                                </a:lnTo>
                                <a:lnTo>
                                  <a:pt x="0" y="19195"/>
                                </a:lnTo>
                                <a:lnTo>
                                  <a:pt x="4287" y="18091"/>
                                </a:lnTo>
                                <a:cubicBezTo>
                                  <a:pt x="6064" y="16819"/>
                                  <a:pt x="6991" y="15016"/>
                                  <a:pt x="6991" y="12888"/>
                                </a:cubicBezTo>
                                <a:cubicBezTo>
                                  <a:pt x="6991" y="10507"/>
                                  <a:pt x="6045" y="8774"/>
                                  <a:pt x="4328" y="7635"/>
                                </a:cubicBezTo>
                                <a:lnTo>
                                  <a:pt x="0" y="6638"/>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7" name="Shape 157"/>
                        <wps:cNvSpPr/>
                        <wps:spPr>
                          <a:xfrm>
                            <a:off x="343219" y="210217"/>
                            <a:ext cx="44234" cy="50229"/>
                          </a:xfrm>
                          <a:custGeom>
                            <a:avLst/>
                            <a:gdLst/>
                            <a:ahLst/>
                            <a:cxnLst/>
                            <a:rect l="0" t="0" r="0" b="0"/>
                            <a:pathLst>
                              <a:path w="44234" h="50229">
                                <a:moveTo>
                                  <a:pt x="0" y="0"/>
                                </a:moveTo>
                                <a:lnTo>
                                  <a:pt x="11138" y="0"/>
                                </a:lnTo>
                                <a:lnTo>
                                  <a:pt x="17450" y="12890"/>
                                </a:lnTo>
                                <a:cubicBezTo>
                                  <a:pt x="19279" y="16624"/>
                                  <a:pt x="20612" y="19456"/>
                                  <a:pt x="22123" y="22885"/>
                                </a:cubicBezTo>
                                <a:lnTo>
                                  <a:pt x="22276" y="22885"/>
                                </a:lnTo>
                                <a:cubicBezTo>
                                  <a:pt x="23533" y="19672"/>
                                  <a:pt x="25032" y="16548"/>
                                  <a:pt x="26848" y="12890"/>
                                </a:cubicBezTo>
                                <a:lnTo>
                                  <a:pt x="33262" y="0"/>
                                </a:lnTo>
                                <a:lnTo>
                                  <a:pt x="44234" y="0"/>
                                </a:lnTo>
                                <a:lnTo>
                                  <a:pt x="26531" y="29070"/>
                                </a:lnTo>
                                <a:lnTo>
                                  <a:pt x="26531" y="50229"/>
                                </a:lnTo>
                                <a:lnTo>
                                  <a:pt x="16828" y="50229"/>
                                </a:lnTo>
                                <a:lnTo>
                                  <a:pt x="16828" y="29299"/>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8" name="Shape 158"/>
                        <wps:cNvSpPr/>
                        <wps:spPr>
                          <a:xfrm>
                            <a:off x="469683" y="210217"/>
                            <a:ext cx="40259" cy="50229"/>
                          </a:xfrm>
                          <a:custGeom>
                            <a:avLst/>
                            <a:gdLst/>
                            <a:ahLst/>
                            <a:cxnLst/>
                            <a:rect l="0" t="0" r="0" b="0"/>
                            <a:pathLst>
                              <a:path w="40259" h="50229">
                                <a:moveTo>
                                  <a:pt x="0" y="0"/>
                                </a:moveTo>
                                <a:lnTo>
                                  <a:pt x="10605" y="0"/>
                                </a:lnTo>
                                <a:lnTo>
                                  <a:pt x="23711" y="21539"/>
                                </a:lnTo>
                                <a:cubicBezTo>
                                  <a:pt x="27013" y="27140"/>
                                  <a:pt x="30023" y="32944"/>
                                  <a:pt x="32359" y="38379"/>
                                </a:cubicBezTo>
                                <a:lnTo>
                                  <a:pt x="32512" y="38379"/>
                                </a:lnTo>
                                <a:cubicBezTo>
                                  <a:pt x="31839" y="31674"/>
                                  <a:pt x="31686" y="25184"/>
                                  <a:pt x="31686" y="17501"/>
                                </a:cubicBezTo>
                                <a:lnTo>
                                  <a:pt x="31686" y="0"/>
                                </a:lnTo>
                                <a:lnTo>
                                  <a:pt x="40259" y="0"/>
                                </a:lnTo>
                                <a:lnTo>
                                  <a:pt x="40259" y="50229"/>
                                </a:lnTo>
                                <a:lnTo>
                                  <a:pt x="30620" y="50229"/>
                                </a:lnTo>
                                <a:lnTo>
                                  <a:pt x="17387" y="28092"/>
                                </a:lnTo>
                                <a:cubicBezTo>
                                  <a:pt x="14148" y="22581"/>
                                  <a:pt x="10846" y="16472"/>
                                  <a:pt x="8357" y="10808"/>
                                </a:cubicBezTo>
                                <a:lnTo>
                                  <a:pt x="8051" y="10884"/>
                                </a:lnTo>
                                <a:cubicBezTo>
                                  <a:pt x="8433" y="17374"/>
                                  <a:pt x="8586" y="24003"/>
                                  <a:pt x="8586" y="32271"/>
                                </a:cubicBezTo>
                                <a:lnTo>
                                  <a:pt x="8586" y="50229"/>
                                </a:lnTo>
                                <a:lnTo>
                                  <a:pt x="0" y="50229"/>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9" name="Shape 159"/>
                        <wps:cNvSpPr/>
                        <wps:spPr>
                          <a:xfrm>
                            <a:off x="517179" y="209409"/>
                            <a:ext cx="39421" cy="51867"/>
                          </a:xfrm>
                          <a:custGeom>
                            <a:avLst/>
                            <a:gdLst/>
                            <a:ahLst/>
                            <a:cxnLst/>
                            <a:rect l="0" t="0" r="0" b="0"/>
                            <a:pathLst>
                              <a:path w="39421" h="51867">
                                <a:moveTo>
                                  <a:pt x="27166" y="0"/>
                                </a:moveTo>
                                <a:cubicBezTo>
                                  <a:pt x="33262" y="0"/>
                                  <a:pt x="37541" y="1257"/>
                                  <a:pt x="39421" y="2235"/>
                                </a:cubicBezTo>
                                <a:lnTo>
                                  <a:pt x="37478" y="9550"/>
                                </a:lnTo>
                                <a:cubicBezTo>
                                  <a:pt x="35052" y="8496"/>
                                  <a:pt x="31674" y="7595"/>
                                  <a:pt x="27534" y="7595"/>
                                </a:cubicBezTo>
                                <a:cubicBezTo>
                                  <a:pt x="17234" y="7595"/>
                                  <a:pt x="9779" y="14008"/>
                                  <a:pt x="9779" y="26073"/>
                                </a:cubicBezTo>
                                <a:cubicBezTo>
                                  <a:pt x="9779" y="37173"/>
                                  <a:pt x="16243" y="44183"/>
                                  <a:pt x="27457" y="44183"/>
                                </a:cubicBezTo>
                                <a:cubicBezTo>
                                  <a:pt x="31141" y="44183"/>
                                  <a:pt x="35052" y="43434"/>
                                  <a:pt x="37541" y="42405"/>
                                </a:cubicBezTo>
                                <a:lnTo>
                                  <a:pt x="39053" y="49619"/>
                                </a:lnTo>
                                <a:cubicBezTo>
                                  <a:pt x="36868" y="50673"/>
                                  <a:pt x="32055" y="51867"/>
                                  <a:pt x="25895" y="51867"/>
                                </a:cubicBezTo>
                                <a:cubicBezTo>
                                  <a:pt x="9779" y="51867"/>
                                  <a:pt x="0" y="41859"/>
                                  <a:pt x="0" y="26530"/>
                                </a:cubicBezTo>
                                <a:cubicBezTo>
                                  <a:pt x="0" y="9982"/>
                                  <a:pt x="11659" y="0"/>
                                  <a:pt x="27166"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60" name="Shape 160"/>
                        <wps:cNvSpPr/>
                        <wps:spPr>
                          <a:xfrm>
                            <a:off x="638418" y="210217"/>
                            <a:ext cx="40259" cy="50229"/>
                          </a:xfrm>
                          <a:custGeom>
                            <a:avLst/>
                            <a:gdLst/>
                            <a:ahLst/>
                            <a:cxnLst/>
                            <a:rect l="0" t="0" r="0" b="0"/>
                            <a:pathLst>
                              <a:path w="40259" h="50229">
                                <a:moveTo>
                                  <a:pt x="0" y="0"/>
                                </a:moveTo>
                                <a:lnTo>
                                  <a:pt x="10617" y="0"/>
                                </a:lnTo>
                                <a:lnTo>
                                  <a:pt x="23711" y="21539"/>
                                </a:lnTo>
                                <a:cubicBezTo>
                                  <a:pt x="27013" y="27140"/>
                                  <a:pt x="30023" y="32944"/>
                                  <a:pt x="32359" y="38379"/>
                                </a:cubicBezTo>
                                <a:lnTo>
                                  <a:pt x="32512" y="38379"/>
                                </a:lnTo>
                                <a:cubicBezTo>
                                  <a:pt x="31826" y="31674"/>
                                  <a:pt x="31686" y="25184"/>
                                  <a:pt x="31686" y="17501"/>
                                </a:cubicBezTo>
                                <a:lnTo>
                                  <a:pt x="31686" y="0"/>
                                </a:lnTo>
                                <a:lnTo>
                                  <a:pt x="40259" y="0"/>
                                </a:lnTo>
                                <a:lnTo>
                                  <a:pt x="40259" y="50229"/>
                                </a:lnTo>
                                <a:lnTo>
                                  <a:pt x="30645" y="50229"/>
                                </a:lnTo>
                                <a:lnTo>
                                  <a:pt x="17387" y="28092"/>
                                </a:lnTo>
                                <a:cubicBezTo>
                                  <a:pt x="14148" y="22581"/>
                                  <a:pt x="10846" y="16472"/>
                                  <a:pt x="8357" y="10808"/>
                                </a:cubicBezTo>
                                <a:lnTo>
                                  <a:pt x="8051" y="10884"/>
                                </a:lnTo>
                                <a:cubicBezTo>
                                  <a:pt x="8433" y="17374"/>
                                  <a:pt x="8586" y="24003"/>
                                  <a:pt x="8586" y="32271"/>
                                </a:cubicBezTo>
                                <a:lnTo>
                                  <a:pt x="8586" y="50229"/>
                                </a:lnTo>
                                <a:lnTo>
                                  <a:pt x="0" y="50229"/>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61" name="Shape 161"/>
                        <wps:cNvSpPr/>
                        <wps:spPr>
                          <a:xfrm>
                            <a:off x="688560" y="209851"/>
                            <a:ext cx="21203" cy="51118"/>
                          </a:xfrm>
                          <a:custGeom>
                            <a:avLst/>
                            <a:gdLst/>
                            <a:ahLst/>
                            <a:cxnLst/>
                            <a:rect l="0" t="0" r="0" b="0"/>
                            <a:pathLst>
                              <a:path w="21203" h="51118">
                                <a:moveTo>
                                  <a:pt x="14605" y="0"/>
                                </a:moveTo>
                                <a:lnTo>
                                  <a:pt x="21203" y="1881"/>
                                </a:lnTo>
                                <a:lnTo>
                                  <a:pt x="21203" y="9151"/>
                                </a:lnTo>
                                <a:lnTo>
                                  <a:pt x="15430" y="7150"/>
                                </a:lnTo>
                                <a:cubicBezTo>
                                  <a:pt x="12522" y="7150"/>
                                  <a:pt x="10502" y="7391"/>
                                  <a:pt x="9169" y="7671"/>
                                </a:cubicBezTo>
                                <a:lnTo>
                                  <a:pt x="9169" y="43663"/>
                                </a:lnTo>
                                <a:cubicBezTo>
                                  <a:pt x="10426" y="43891"/>
                                  <a:pt x="12370" y="43891"/>
                                  <a:pt x="14236" y="43891"/>
                                </a:cubicBezTo>
                                <a:lnTo>
                                  <a:pt x="21203" y="41474"/>
                                </a:lnTo>
                                <a:lnTo>
                                  <a:pt x="21203" y="48451"/>
                                </a:lnTo>
                                <a:lnTo>
                                  <a:pt x="12370" y="51118"/>
                                </a:lnTo>
                                <a:cubicBezTo>
                                  <a:pt x="7086" y="51118"/>
                                  <a:pt x="3060" y="50825"/>
                                  <a:pt x="0" y="50444"/>
                                </a:cubicBezTo>
                                <a:lnTo>
                                  <a:pt x="0" y="1041"/>
                                </a:lnTo>
                                <a:cubicBezTo>
                                  <a:pt x="4102" y="457"/>
                                  <a:pt x="9169" y="0"/>
                                  <a:pt x="1460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62" name="Shape 162"/>
                        <wps:cNvSpPr/>
                        <wps:spPr>
                          <a:xfrm>
                            <a:off x="709763" y="211732"/>
                            <a:ext cx="21723" cy="46570"/>
                          </a:xfrm>
                          <a:custGeom>
                            <a:avLst/>
                            <a:gdLst/>
                            <a:ahLst/>
                            <a:cxnLst/>
                            <a:rect l="0" t="0" r="0" b="0"/>
                            <a:pathLst>
                              <a:path w="21723" h="46570">
                                <a:moveTo>
                                  <a:pt x="0" y="0"/>
                                </a:moveTo>
                                <a:lnTo>
                                  <a:pt x="13810" y="3936"/>
                                </a:lnTo>
                                <a:cubicBezTo>
                                  <a:pt x="18738" y="7873"/>
                                  <a:pt x="21723" y="13918"/>
                                  <a:pt x="21723" y="22414"/>
                                </a:cubicBezTo>
                                <a:cubicBezTo>
                                  <a:pt x="21723" y="31431"/>
                                  <a:pt x="18662" y="38048"/>
                                  <a:pt x="13887" y="42379"/>
                                </a:cubicBezTo>
                                <a:lnTo>
                                  <a:pt x="0" y="46570"/>
                                </a:lnTo>
                                <a:lnTo>
                                  <a:pt x="0" y="39594"/>
                                </a:lnTo>
                                <a:lnTo>
                                  <a:pt x="7000" y="37165"/>
                                </a:lnTo>
                                <a:cubicBezTo>
                                  <a:pt x="10261" y="33924"/>
                                  <a:pt x="12033" y="29082"/>
                                  <a:pt x="12033" y="22719"/>
                                </a:cubicBezTo>
                                <a:cubicBezTo>
                                  <a:pt x="12071" y="17201"/>
                                  <a:pt x="10486" y="12839"/>
                                  <a:pt x="7458" y="9856"/>
                                </a:cubicBezTo>
                                <a:lnTo>
                                  <a:pt x="0" y="7270"/>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63" name="Shape 163"/>
                        <wps:cNvSpPr/>
                        <wps:spPr>
                          <a:xfrm>
                            <a:off x="488190" y="62220"/>
                            <a:ext cx="55220" cy="70025"/>
                          </a:xfrm>
                          <a:custGeom>
                            <a:avLst/>
                            <a:gdLst/>
                            <a:ahLst/>
                            <a:cxnLst/>
                            <a:rect l="0" t="0" r="0" b="0"/>
                            <a:pathLst>
                              <a:path w="55220" h="70025">
                                <a:moveTo>
                                  <a:pt x="23100" y="71"/>
                                </a:moveTo>
                                <a:cubicBezTo>
                                  <a:pt x="26260" y="0"/>
                                  <a:pt x="29788" y="702"/>
                                  <a:pt x="35700" y="1686"/>
                                </a:cubicBezTo>
                                <a:cubicBezTo>
                                  <a:pt x="44171" y="3096"/>
                                  <a:pt x="47447" y="8265"/>
                                  <a:pt x="47447" y="8265"/>
                                </a:cubicBezTo>
                                <a:lnTo>
                                  <a:pt x="39942" y="16951"/>
                                </a:lnTo>
                                <a:cubicBezTo>
                                  <a:pt x="39942" y="16951"/>
                                  <a:pt x="35243" y="13205"/>
                                  <a:pt x="26734" y="13205"/>
                                </a:cubicBezTo>
                                <a:cubicBezTo>
                                  <a:pt x="19380" y="13205"/>
                                  <a:pt x="16688" y="16011"/>
                                  <a:pt x="16688" y="18602"/>
                                </a:cubicBezTo>
                                <a:cubicBezTo>
                                  <a:pt x="16688" y="21193"/>
                                  <a:pt x="19279" y="22361"/>
                                  <a:pt x="23038" y="24000"/>
                                </a:cubicBezTo>
                                <a:cubicBezTo>
                                  <a:pt x="26798" y="25651"/>
                                  <a:pt x="31941" y="27543"/>
                                  <a:pt x="37364" y="28927"/>
                                </a:cubicBezTo>
                                <a:cubicBezTo>
                                  <a:pt x="42761" y="30337"/>
                                  <a:pt x="48387" y="34338"/>
                                  <a:pt x="50635" y="38236"/>
                                </a:cubicBezTo>
                                <a:cubicBezTo>
                                  <a:pt x="52883" y="42110"/>
                                  <a:pt x="55220" y="37614"/>
                                  <a:pt x="51448" y="50784"/>
                                </a:cubicBezTo>
                                <a:cubicBezTo>
                                  <a:pt x="47689" y="63929"/>
                                  <a:pt x="40881" y="70025"/>
                                  <a:pt x="23737" y="70025"/>
                                </a:cubicBezTo>
                                <a:cubicBezTo>
                                  <a:pt x="6592" y="70025"/>
                                  <a:pt x="0" y="59928"/>
                                  <a:pt x="0" y="59928"/>
                                </a:cubicBezTo>
                                <a:lnTo>
                                  <a:pt x="9652" y="51483"/>
                                </a:lnTo>
                                <a:cubicBezTo>
                                  <a:pt x="9652" y="51483"/>
                                  <a:pt x="15049" y="57820"/>
                                  <a:pt x="25730" y="57820"/>
                                </a:cubicBezTo>
                                <a:cubicBezTo>
                                  <a:pt x="36424" y="57820"/>
                                  <a:pt x="37123" y="52435"/>
                                  <a:pt x="37123" y="50543"/>
                                </a:cubicBezTo>
                                <a:cubicBezTo>
                                  <a:pt x="37123" y="48650"/>
                                  <a:pt x="37592" y="41361"/>
                                  <a:pt x="37592" y="41361"/>
                                </a:cubicBezTo>
                                <a:cubicBezTo>
                                  <a:pt x="37592" y="41361"/>
                                  <a:pt x="3073" y="27289"/>
                                  <a:pt x="2591" y="19771"/>
                                </a:cubicBezTo>
                                <a:cubicBezTo>
                                  <a:pt x="2121" y="12265"/>
                                  <a:pt x="8243" y="5216"/>
                                  <a:pt x="12700" y="3096"/>
                                </a:cubicBezTo>
                                <a:cubicBezTo>
                                  <a:pt x="17145" y="987"/>
                                  <a:pt x="19939" y="143"/>
                                  <a:pt x="23100" y="71"/>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086" name="Shape 55086"/>
                        <wps:cNvSpPr/>
                        <wps:spPr>
                          <a:xfrm>
                            <a:off x="509105" y="50534"/>
                            <a:ext cx="9144" cy="15494"/>
                          </a:xfrm>
                          <a:custGeom>
                            <a:avLst/>
                            <a:gdLst/>
                            <a:ahLst/>
                            <a:cxnLst/>
                            <a:rect l="0" t="0" r="0" b="0"/>
                            <a:pathLst>
                              <a:path w="9144" h="15494">
                                <a:moveTo>
                                  <a:pt x="0" y="0"/>
                                </a:moveTo>
                                <a:lnTo>
                                  <a:pt x="9144" y="0"/>
                                </a:lnTo>
                                <a:lnTo>
                                  <a:pt x="9144" y="15494"/>
                                </a:lnTo>
                                <a:lnTo>
                                  <a:pt x="0" y="1549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087" name="Shape 55087"/>
                        <wps:cNvSpPr/>
                        <wps:spPr>
                          <a:xfrm>
                            <a:off x="509105" y="128245"/>
                            <a:ext cx="9144" cy="15519"/>
                          </a:xfrm>
                          <a:custGeom>
                            <a:avLst/>
                            <a:gdLst/>
                            <a:ahLst/>
                            <a:cxnLst/>
                            <a:rect l="0" t="0" r="0" b="0"/>
                            <a:pathLst>
                              <a:path w="9144" h="15519">
                                <a:moveTo>
                                  <a:pt x="0" y="0"/>
                                </a:moveTo>
                                <a:lnTo>
                                  <a:pt x="9144" y="0"/>
                                </a:lnTo>
                                <a:lnTo>
                                  <a:pt x="9144" y="15519"/>
                                </a:lnTo>
                                <a:lnTo>
                                  <a:pt x="0" y="1551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088" name="Shape 55088"/>
                        <wps:cNvSpPr/>
                        <wps:spPr>
                          <a:xfrm>
                            <a:off x="654710" y="76582"/>
                            <a:ext cx="57544" cy="14795"/>
                          </a:xfrm>
                          <a:custGeom>
                            <a:avLst/>
                            <a:gdLst/>
                            <a:ahLst/>
                            <a:cxnLst/>
                            <a:rect l="0" t="0" r="0" b="0"/>
                            <a:pathLst>
                              <a:path w="57544" h="14795">
                                <a:moveTo>
                                  <a:pt x="0" y="0"/>
                                </a:moveTo>
                                <a:lnTo>
                                  <a:pt x="57544" y="0"/>
                                </a:lnTo>
                                <a:lnTo>
                                  <a:pt x="57544" y="14795"/>
                                </a:lnTo>
                                <a:lnTo>
                                  <a:pt x="0" y="1479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089" name="Shape 55089"/>
                        <wps:cNvSpPr/>
                        <wps:spPr>
                          <a:xfrm>
                            <a:off x="654710" y="102426"/>
                            <a:ext cx="57544" cy="14795"/>
                          </a:xfrm>
                          <a:custGeom>
                            <a:avLst/>
                            <a:gdLst/>
                            <a:ahLst/>
                            <a:cxnLst/>
                            <a:rect l="0" t="0" r="0" b="0"/>
                            <a:pathLst>
                              <a:path w="57544" h="14795">
                                <a:moveTo>
                                  <a:pt x="0" y="0"/>
                                </a:moveTo>
                                <a:lnTo>
                                  <a:pt x="57544" y="0"/>
                                </a:lnTo>
                                <a:lnTo>
                                  <a:pt x="57544" y="14795"/>
                                </a:lnTo>
                                <a:lnTo>
                                  <a:pt x="0" y="1479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 name="Shape 168"/>
                        <wps:cNvSpPr/>
                        <wps:spPr>
                          <a:xfrm>
                            <a:off x="77521" y="97084"/>
                            <a:ext cx="57569" cy="64427"/>
                          </a:xfrm>
                          <a:custGeom>
                            <a:avLst/>
                            <a:gdLst/>
                            <a:ahLst/>
                            <a:cxnLst/>
                            <a:rect l="0" t="0" r="0" b="0"/>
                            <a:pathLst>
                              <a:path w="57569" h="64427">
                                <a:moveTo>
                                  <a:pt x="31699" y="0"/>
                                </a:moveTo>
                                <a:cubicBezTo>
                                  <a:pt x="39649" y="0"/>
                                  <a:pt x="45199" y="2324"/>
                                  <a:pt x="49797" y="5702"/>
                                </a:cubicBezTo>
                                <a:cubicBezTo>
                                  <a:pt x="53797" y="8661"/>
                                  <a:pt x="57302" y="14796"/>
                                  <a:pt x="57302" y="14796"/>
                                </a:cubicBezTo>
                                <a:lnTo>
                                  <a:pt x="43624" y="22123"/>
                                </a:lnTo>
                                <a:cubicBezTo>
                                  <a:pt x="43332" y="20409"/>
                                  <a:pt x="40754" y="17120"/>
                                  <a:pt x="39344" y="15977"/>
                                </a:cubicBezTo>
                                <a:cubicBezTo>
                                  <a:pt x="37312" y="14351"/>
                                  <a:pt x="33032" y="13259"/>
                                  <a:pt x="31204" y="13259"/>
                                </a:cubicBezTo>
                                <a:cubicBezTo>
                                  <a:pt x="26898" y="13259"/>
                                  <a:pt x="24193" y="14300"/>
                                  <a:pt x="21628" y="17132"/>
                                </a:cubicBezTo>
                                <a:cubicBezTo>
                                  <a:pt x="19075" y="19952"/>
                                  <a:pt x="17780" y="24663"/>
                                  <a:pt x="17780" y="31280"/>
                                </a:cubicBezTo>
                                <a:cubicBezTo>
                                  <a:pt x="17780" y="38633"/>
                                  <a:pt x="19139" y="43129"/>
                                  <a:pt x="21755" y="46152"/>
                                </a:cubicBezTo>
                                <a:cubicBezTo>
                                  <a:pt x="24359" y="49200"/>
                                  <a:pt x="27775" y="50889"/>
                                  <a:pt x="32156" y="50889"/>
                                </a:cubicBezTo>
                                <a:cubicBezTo>
                                  <a:pt x="35433" y="50889"/>
                                  <a:pt x="37325" y="50292"/>
                                  <a:pt x="39611" y="48819"/>
                                </a:cubicBezTo>
                                <a:cubicBezTo>
                                  <a:pt x="41135" y="47866"/>
                                  <a:pt x="43917" y="44336"/>
                                  <a:pt x="44844" y="41808"/>
                                </a:cubicBezTo>
                                <a:lnTo>
                                  <a:pt x="57569" y="48476"/>
                                </a:lnTo>
                                <a:cubicBezTo>
                                  <a:pt x="57569" y="48476"/>
                                  <a:pt x="53340" y="56248"/>
                                  <a:pt x="46431" y="60058"/>
                                </a:cubicBezTo>
                                <a:cubicBezTo>
                                  <a:pt x="39421" y="63945"/>
                                  <a:pt x="36982" y="64427"/>
                                  <a:pt x="29476" y="64427"/>
                                </a:cubicBezTo>
                                <a:cubicBezTo>
                                  <a:pt x="19926" y="64427"/>
                                  <a:pt x="14198" y="61913"/>
                                  <a:pt x="8522" y="56210"/>
                                </a:cubicBezTo>
                                <a:cubicBezTo>
                                  <a:pt x="2845" y="50470"/>
                                  <a:pt x="0" y="42558"/>
                                  <a:pt x="0" y="32449"/>
                                </a:cubicBezTo>
                                <a:cubicBezTo>
                                  <a:pt x="0" y="22225"/>
                                  <a:pt x="2870" y="14237"/>
                                  <a:pt x="8560" y="8547"/>
                                </a:cubicBezTo>
                                <a:cubicBezTo>
                                  <a:pt x="14262" y="2845"/>
                                  <a:pt x="21958" y="0"/>
                                  <a:pt x="31699"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9" name="Shape 169"/>
                        <wps:cNvSpPr/>
                        <wps:spPr>
                          <a:xfrm>
                            <a:off x="137367" y="97084"/>
                            <a:ext cx="57569" cy="64427"/>
                          </a:xfrm>
                          <a:custGeom>
                            <a:avLst/>
                            <a:gdLst/>
                            <a:ahLst/>
                            <a:cxnLst/>
                            <a:rect l="0" t="0" r="0" b="0"/>
                            <a:pathLst>
                              <a:path w="57569" h="64427">
                                <a:moveTo>
                                  <a:pt x="31699" y="0"/>
                                </a:moveTo>
                                <a:cubicBezTo>
                                  <a:pt x="39649" y="0"/>
                                  <a:pt x="45199" y="2324"/>
                                  <a:pt x="49797" y="5702"/>
                                </a:cubicBezTo>
                                <a:cubicBezTo>
                                  <a:pt x="53797" y="8661"/>
                                  <a:pt x="57302" y="14796"/>
                                  <a:pt x="57302" y="14796"/>
                                </a:cubicBezTo>
                                <a:lnTo>
                                  <a:pt x="43624" y="22123"/>
                                </a:lnTo>
                                <a:cubicBezTo>
                                  <a:pt x="43332" y="20409"/>
                                  <a:pt x="40767" y="17120"/>
                                  <a:pt x="39344" y="15977"/>
                                </a:cubicBezTo>
                                <a:cubicBezTo>
                                  <a:pt x="37325" y="14351"/>
                                  <a:pt x="33032" y="13259"/>
                                  <a:pt x="31217" y="13259"/>
                                </a:cubicBezTo>
                                <a:cubicBezTo>
                                  <a:pt x="26898" y="13259"/>
                                  <a:pt x="24206" y="14300"/>
                                  <a:pt x="21628" y="17132"/>
                                </a:cubicBezTo>
                                <a:cubicBezTo>
                                  <a:pt x="19063" y="19952"/>
                                  <a:pt x="17793" y="24663"/>
                                  <a:pt x="17793" y="31280"/>
                                </a:cubicBezTo>
                                <a:cubicBezTo>
                                  <a:pt x="17793" y="38633"/>
                                  <a:pt x="19164" y="43129"/>
                                  <a:pt x="21755" y="46152"/>
                                </a:cubicBezTo>
                                <a:cubicBezTo>
                                  <a:pt x="24359" y="49200"/>
                                  <a:pt x="27775" y="50889"/>
                                  <a:pt x="32169" y="50889"/>
                                </a:cubicBezTo>
                                <a:cubicBezTo>
                                  <a:pt x="35458" y="50889"/>
                                  <a:pt x="37325" y="50292"/>
                                  <a:pt x="39637" y="48819"/>
                                </a:cubicBezTo>
                                <a:cubicBezTo>
                                  <a:pt x="41123" y="47866"/>
                                  <a:pt x="43917" y="44336"/>
                                  <a:pt x="44856" y="41808"/>
                                </a:cubicBezTo>
                                <a:lnTo>
                                  <a:pt x="57569" y="48476"/>
                                </a:lnTo>
                                <a:cubicBezTo>
                                  <a:pt x="57569" y="48476"/>
                                  <a:pt x="53353" y="56248"/>
                                  <a:pt x="46431" y="60058"/>
                                </a:cubicBezTo>
                                <a:cubicBezTo>
                                  <a:pt x="39421" y="63945"/>
                                  <a:pt x="36982" y="64427"/>
                                  <a:pt x="29476" y="64427"/>
                                </a:cubicBezTo>
                                <a:cubicBezTo>
                                  <a:pt x="19926" y="64427"/>
                                  <a:pt x="14211" y="61913"/>
                                  <a:pt x="8522" y="56210"/>
                                </a:cubicBezTo>
                                <a:cubicBezTo>
                                  <a:pt x="2845" y="50470"/>
                                  <a:pt x="0" y="42558"/>
                                  <a:pt x="0" y="32449"/>
                                </a:cubicBezTo>
                                <a:cubicBezTo>
                                  <a:pt x="0" y="22225"/>
                                  <a:pt x="2870" y="14237"/>
                                  <a:pt x="8572" y="8547"/>
                                </a:cubicBezTo>
                                <a:cubicBezTo>
                                  <a:pt x="14262" y="2845"/>
                                  <a:pt x="21971" y="0"/>
                                  <a:pt x="31699"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290" style="width:62.3616pt;height:21.873pt;position:absolute;mso-position-horizontal-relative:text;mso-position-horizontal:absolute;margin-left:420.47pt;mso-position-vertical-relative:text;margin-top:1.57735pt;" coordsize="7919,2777">
                <v:shape id="Shape 140" style="position:absolute;width:7919;height:2777;left:0;top:0;" coordsize="791992,277787" path="m14028,0l777959,0c785668,0,791992,6299,791992,14008l791992,263779c791992,267633,790411,271139,787866,273680l777988,277787l13999,277787l4116,273680l0,263792l0,13995l4116,4113c6659,1575,10168,0,14028,0x">
                  <v:stroke weight="0pt" endcap="flat" joinstyle="miter" miterlimit="10" on="false" color="#000000" opacity="0"/>
                  <v:fill on="true" color="#000000"/>
                </v:shape>
                <v:shape id="Shape 141" style="position:absolute;width:7744;height:2602;left:87;top:87;" coordsize="774446,260261" path="m5258,0l769188,0c772033,0,774446,2413,774446,5232l774446,255003c774446,257848,772033,260261,769188,260261l5258,260261c2413,260261,0,257848,0,255003l0,5232c0,2413,2413,0,5258,0x">
                  <v:stroke weight="0pt" endcap="flat" joinstyle="miter" miterlimit="10" on="false" color="#000000" opacity="0"/>
                  <v:fill on="true" color="#dadad9"/>
                </v:shape>
                <v:shape id="Shape 55090" style="position:absolute;width:7822;height:788;left:57;top:1940;" coordsize="782295,78892" path="m0,0l782295,0l782295,78892l0,78892l0,0">
                  <v:stroke weight="0pt" endcap="flat" joinstyle="miter" miterlimit="10" on="false" color="#000000" opacity="0"/>
                  <v:fill on="true" color="#000000"/>
                </v:shape>
                <v:shape id="Shape 143" style="position:absolute;width:2404;height:2404;left:160;top:89;" coordsize="240474,240487" path="m120243,0c186652,0,240474,53835,240474,120244c240474,186639,186652,240487,120243,240487c53822,240487,0,186639,0,120244c0,53835,53822,0,120243,0x">
                  <v:stroke weight="0pt" endcap="flat" joinstyle="miter" miterlimit="10" on="false" color="#000000" opacity="0"/>
                  <v:fill on="true" color="#dadad9"/>
                </v:shape>
                <v:shape id="Shape 144" style="position:absolute;width:1528;height:1528;left:2683;top:214;" coordsize="152883,152895" path="m76441,0c118656,0,152883,34226,152883,76454c152883,118669,118656,152895,76441,152895c34227,152895,0,118669,0,76454c0,34226,34227,0,76441,0x">
                  <v:stroke weight="0pt" endcap="flat" joinstyle="miter" miterlimit="10" on="false" color="#000000" opacity="0"/>
                  <v:fill on="true" color="#000000"/>
                </v:shape>
                <v:shape id="Shape 145" style="position:absolute;width:2098;height:2098;left:313;top:242;" coordsize="209867,209868" path="m104940,0c162903,0,209867,46977,209867,104940c209867,162890,162903,209868,104940,209868c46977,209868,0,162890,0,104940c0,46977,46977,0,104940,0x">
                  <v:stroke weight="0pt" endcap="flat" joinstyle="miter" miterlimit="10" on="false" color="#000000" opacity="0"/>
                  <v:fill on="true" color="#000000"/>
                </v:shape>
                <v:shape id="Shape 146" style="position:absolute;width:1528;height:1528;left:4374;top:214;" coordsize="152896,152895" path="m76441,0c118656,0,152896,34226,152896,76454c152896,118669,118656,152895,76441,152895c34227,152895,0,118669,0,76454c0,34226,34227,0,76441,0x">
                  <v:stroke weight="0pt" endcap="flat" joinstyle="miter" miterlimit="10" on="false" color="#000000" opacity="0"/>
                  <v:fill on="true" color="#000000"/>
                </v:shape>
                <v:shape id="Shape 147" style="position:absolute;width:1528;height:1528;left:6070;top:214;" coordsize="152882,152895" path="m76441,0c118656,0,152882,34226,152882,76454c152882,118669,118656,152895,76441,152895c34227,152895,0,118669,0,76454c0,34226,34227,0,76441,0x">
                  <v:stroke weight="0pt" endcap="flat" joinstyle="miter" miterlimit="10" on="false" color="#000000" opacity="0"/>
                  <v:fill on="true" color="#000000"/>
                </v:shape>
                <v:shape id="Shape 148" style="position:absolute;width:1251;height:1251;left:2822;top:352;" coordsize="125171,125184" path="m62585,0c97155,0,125171,28016,125171,62598c125171,97168,97155,125184,62585,125184c28016,125184,0,97168,0,62598c0,28016,28016,0,62585,0x">
                  <v:stroke weight="0pt" endcap="flat" joinstyle="miter" miterlimit="10" on="false" color="#000000" opacity="0"/>
                  <v:fill on="true" color="#ffffff"/>
                </v:shape>
                <v:shape id="Shape 149" style="position:absolute;width:1718;height:1718;left:504;top:433;" coordsize="171831,171818" path="m85915,0c133363,0,171831,38456,171831,85915c171831,133363,133363,171818,85915,171818c38468,171818,0,133363,0,85915c0,38456,38468,0,85915,0x">
                  <v:stroke weight="0pt" endcap="flat" joinstyle="miter" miterlimit="10" on="false" color="#000000" opacity="0"/>
                  <v:fill on="true" color="#ffffff"/>
                </v:shape>
                <v:shape id="Shape 150" style="position:absolute;width:1251;height:1251;left:4513;top:352;" coordsize="125171,125184" path="m62573,0c97155,0,125171,28016,125171,62598c125171,97168,97155,125184,62573,125184c28016,125184,0,97168,0,62598c0,28016,28016,0,62573,0x">
                  <v:stroke weight="0pt" endcap="flat" joinstyle="miter" miterlimit="10" on="false" color="#000000" opacity="0"/>
                  <v:fill on="true" color="#ffffff"/>
                </v:shape>
                <v:shape id="Shape 151" style="position:absolute;width:1251;height:1251;left:6208;top:352;" coordsize="125184,125184" path="m62599,0c97168,0,125184,28016,125184,62598c125184,97168,97168,125184,62599,125184c28042,125184,0,97168,0,62598c0,28016,28042,0,62599,0x">
                  <v:stroke weight="0pt" endcap="flat" joinstyle="miter" miterlimit="10" on="false" color="#000000" opacity="0"/>
                  <v:fill on="true" color="#ffffff"/>
                </v:shape>
                <v:shape id="Shape 152" style="position:absolute;width:371;height:733;left:3263;top:739;" coordsize="37109,73317" path="m7747,0l29121,0c37109,0,36398,5448,36398,7099l36398,36652l29121,36652l29121,73317l6579,73317l6579,37147l0,37147l0,7734c0,1626,3061,0,7747,0x">
                  <v:stroke weight="0pt" endcap="flat" joinstyle="miter" miterlimit="10" on="false" color="#000000" opacity="0"/>
                  <v:fill on="true" color="#000000"/>
                </v:shape>
                <v:shape id="Shape 153" style="position:absolute;width:218;height:218;left:3336;top:489;" coordsize="21818,21844" path="m10897,0c16942,0,21818,4902,21818,10922c21818,16942,16942,21844,10897,21844c4902,21844,0,16942,0,10922c0,4902,4902,0,10897,0x">
                  <v:stroke weight="0pt" endcap="flat" joinstyle="miter" miterlimit="10" on="false" color="#000000" opacity="0"/>
                  <v:fill on="true" color="#000000"/>
                </v:shape>
                <v:shape id="Shape 154" style="position:absolute;width:1343;height:714;left:4481;top:624;" coordsize="134392,71450" path="m6160,0l134392,57747l128219,71450l0,13703l6160,0x">
                  <v:stroke weight="0pt" endcap="flat" joinstyle="miter" miterlimit="10" on="false" color="#000000" opacity="0"/>
                  <v:fill on="true" color="#000000"/>
                </v:shape>
                <v:shape id="Shape 155" style="position:absolute;width:181;height:511;left:3052;top:2098;" coordsize="18116,51130" path="m14211,0l18116,827l18116,7465l15151,6782c12306,6782,10655,6934,9627,7163l9627,20930l14592,20930l18116,20022l18116,28395l14453,27572l9627,27572l9627,43967c10884,44196,12548,44196,14757,44196l18116,43443l18116,50534l11912,51130c6553,51130,2515,50749,0,50457l0,1143c3061,521,8687,0,14211,0x">
                  <v:stroke weight="0pt" endcap="flat" joinstyle="miter" miterlimit="10" on="false" color="#000000" opacity="0"/>
                  <v:fill on="true" color="#ffffff"/>
                </v:shape>
                <v:shape id="Shape 156" style="position:absolute;width:186;height:497;left:3233;top:2106;" coordsize="18676,49706" path="m0,0l11259,2386c14574,4253,16783,7529,16783,11847c16783,16470,13710,20648,7944,22655l7944,22883c13557,24217,18676,28395,18676,35253c18676,39711,16618,43216,13634,45667c11735,47198,9227,48356,5967,49133l0,49706l0,42616l4909,41516c7090,40203,8490,38117,8490,35025c8490,32078,7128,30008,4928,28675l0,27567l0,19195l4287,18091c6064,16819,6991,15016,6991,12888c6991,10507,6045,8774,4328,7635l0,6638l0,0x">
                  <v:stroke weight="0pt" endcap="flat" joinstyle="miter" miterlimit="10" on="false" color="#000000" opacity="0"/>
                  <v:fill on="true" color="#ffffff"/>
                </v:shape>
                <v:shape id="Shape 157" style="position:absolute;width:442;height:502;left:3432;top:2102;" coordsize="44234,50229" path="m0,0l11138,0l17450,12890c19279,16624,20612,19456,22123,22885l22276,22885c23533,19672,25032,16548,26848,12890l33262,0l44234,0l26531,29070l26531,50229l16828,50229l16828,29299l0,0x">
                  <v:stroke weight="0pt" endcap="flat" joinstyle="miter" miterlimit="10" on="false" color="#000000" opacity="0"/>
                  <v:fill on="true" color="#ffffff"/>
                </v:shape>
                <v:shape id="Shape 158" style="position:absolute;width:402;height:502;left:4696;top:2102;" coordsize="40259,50229" path="m0,0l10605,0l23711,21539c27013,27140,30023,32944,32359,38379l32512,38379c31839,31674,31686,25184,31686,17501l31686,0l40259,0l40259,50229l30620,50229l17387,28092c14148,22581,10846,16472,8357,10808l8051,10884c8433,17374,8586,24003,8586,32271l8586,50229l0,50229l0,0x">
                  <v:stroke weight="0pt" endcap="flat" joinstyle="miter" miterlimit="10" on="false" color="#000000" opacity="0"/>
                  <v:fill on="true" color="#ffffff"/>
                </v:shape>
                <v:shape id="Shape 159" style="position:absolute;width:394;height:518;left:5171;top:2094;" coordsize="39421,51867" path="m27166,0c33262,0,37541,1257,39421,2235l37478,9550c35052,8496,31674,7595,27534,7595c17234,7595,9779,14008,9779,26073c9779,37173,16243,44183,27457,44183c31141,44183,35052,43434,37541,42405l39053,49619c36868,50673,32055,51867,25895,51867c9779,51867,0,41859,0,26530c0,9982,11659,0,27166,0x">
                  <v:stroke weight="0pt" endcap="flat" joinstyle="miter" miterlimit="10" on="false" color="#000000" opacity="0"/>
                  <v:fill on="true" color="#ffffff"/>
                </v:shape>
                <v:shape id="Shape 160" style="position:absolute;width:402;height:502;left:6384;top:2102;" coordsize="40259,50229" path="m0,0l10617,0l23711,21539c27013,27140,30023,32944,32359,38379l32512,38379c31826,31674,31686,25184,31686,17501l31686,0l40259,0l40259,50229l30645,50229l17387,28092c14148,22581,10846,16472,8357,10808l8051,10884c8433,17374,8586,24003,8586,32271l8586,50229l0,50229l0,0x">
                  <v:stroke weight="0pt" endcap="flat" joinstyle="miter" miterlimit="10" on="false" color="#000000" opacity="0"/>
                  <v:fill on="true" color="#ffffff"/>
                </v:shape>
                <v:shape id="Shape 161" style="position:absolute;width:212;height:511;left:6885;top:2098;" coordsize="21203,51118" path="m14605,0l21203,1881l21203,9151l15430,7150c12522,7150,10502,7391,9169,7671l9169,43663c10426,43891,12370,43891,14236,43891l21203,41474l21203,48451l12370,51118c7086,51118,3060,50825,0,50444l0,1041c4102,457,9169,0,14605,0x">
                  <v:stroke weight="0pt" endcap="flat" joinstyle="miter" miterlimit="10" on="false" color="#000000" opacity="0"/>
                  <v:fill on="true" color="#ffffff"/>
                </v:shape>
                <v:shape id="Shape 162" style="position:absolute;width:217;height:465;left:7097;top:2117;" coordsize="21723,46570" path="m0,0l13810,3936c18738,7873,21723,13918,21723,22414c21723,31431,18662,38048,13887,42379l0,46570l0,39594l7000,37165c10261,33924,12033,29082,12033,22719c12071,17201,10486,12839,7458,9856l0,7270l0,0x">
                  <v:stroke weight="0pt" endcap="flat" joinstyle="miter" miterlimit="10" on="false" color="#000000" opacity="0"/>
                  <v:fill on="true" color="#ffffff"/>
                </v:shape>
                <v:shape id="Shape 163" style="position:absolute;width:552;height:700;left:4881;top:622;" coordsize="55220,70025" path="m23100,71c26260,0,29788,702,35700,1686c44171,3096,47447,8265,47447,8265l39942,16951c39942,16951,35243,13205,26734,13205c19380,13205,16688,16011,16688,18602c16688,21193,19279,22361,23038,24000c26798,25651,31941,27543,37364,28927c42761,30337,48387,34338,50635,38236c52883,42110,55220,37614,51448,50784c47689,63929,40881,70025,23737,70025c6592,70025,0,59928,0,59928l9652,51483c9652,51483,15049,57820,25730,57820c36424,57820,37123,52435,37123,50543c37123,48650,37592,41361,37592,41361c37592,41361,3073,27289,2591,19771c2121,12265,8243,5216,12700,3096c17145,987,19939,143,23100,71x">
                  <v:stroke weight="0pt" endcap="flat" joinstyle="miter" miterlimit="10" on="false" color="#000000" opacity="0"/>
                  <v:fill on="true" color="#000000"/>
                </v:shape>
                <v:shape id="Shape 55091" style="position:absolute;width:91;height:154;left:5091;top:505;" coordsize="9144,15494" path="m0,0l9144,0l9144,15494l0,15494l0,0">
                  <v:stroke weight="0pt" endcap="flat" joinstyle="miter" miterlimit="10" on="false" color="#000000" opacity="0"/>
                  <v:fill on="true" color="#000000"/>
                </v:shape>
                <v:shape id="Shape 55092" style="position:absolute;width:91;height:155;left:5091;top:1282;" coordsize="9144,15519" path="m0,0l9144,0l9144,15519l0,15519l0,0">
                  <v:stroke weight="0pt" endcap="flat" joinstyle="miter" miterlimit="10" on="false" color="#000000" opacity="0"/>
                  <v:fill on="true" color="#000000"/>
                </v:shape>
                <v:shape id="Shape 55093" style="position:absolute;width:575;height:147;left:6547;top:765;" coordsize="57544,14795" path="m0,0l57544,0l57544,14795l0,14795l0,0">
                  <v:stroke weight="0pt" endcap="flat" joinstyle="miter" miterlimit="10" on="false" color="#000000" opacity="0"/>
                  <v:fill on="true" color="#000000"/>
                </v:shape>
                <v:shape id="Shape 55094" style="position:absolute;width:575;height:147;left:6547;top:1024;" coordsize="57544,14795" path="m0,0l57544,0l57544,14795l0,14795l0,0">
                  <v:stroke weight="0pt" endcap="flat" joinstyle="miter" miterlimit="10" on="false" color="#000000" opacity="0"/>
                  <v:fill on="true" color="#000000"/>
                </v:shape>
                <v:shape id="Shape 168" style="position:absolute;width:575;height:644;left:775;top:970;" coordsize="57569,64427" path="m31699,0c39649,0,45199,2324,49797,5702c53797,8661,57302,14796,57302,14796l43624,22123c43332,20409,40754,17120,39344,15977c37312,14351,33032,13259,31204,13259c26898,13259,24193,14300,21628,17132c19075,19952,17780,24663,17780,31280c17780,38633,19139,43129,21755,46152c24359,49200,27775,50889,32156,50889c35433,50889,37325,50292,39611,48819c41135,47866,43917,44336,44844,41808l57569,48476c57569,48476,53340,56248,46431,60058c39421,63945,36982,64427,29476,64427c19926,64427,14198,61913,8522,56210c2845,50470,0,42558,0,32449c0,22225,2870,14237,8560,8547c14262,2845,21958,0,31699,0x">
                  <v:stroke weight="0pt" endcap="flat" joinstyle="miter" miterlimit="10" on="false" color="#000000" opacity="0"/>
                  <v:fill on="true" color="#000000"/>
                </v:shape>
                <v:shape id="Shape 169" style="position:absolute;width:575;height:644;left:1373;top:970;" coordsize="57569,64427" path="m31699,0c39649,0,45199,2324,49797,5702c53797,8661,57302,14796,57302,14796l43624,22123c43332,20409,40767,17120,39344,15977c37325,14351,33032,13259,31217,13259c26898,13259,24206,14300,21628,17132c19063,19952,17793,24663,17793,31280c17793,38633,19164,43129,21755,46152c24359,49200,27775,50889,32169,50889c35458,50889,37325,50292,39637,48819c41123,47866,43917,44336,44856,41808l57569,48476c57569,48476,53353,56248,46431,60058c39421,63945,36982,64427,29476,64427c19926,64427,14211,61913,8522,56210c2845,50470,0,42558,0,32449c0,22225,2870,14237,8572,8547c14262,2845,21971,0,31699,0x">
                  <v:stroke weight="0pt" endcap="flat" joinstyle="miter" miterlimit="10" on="false" color="#000000" opacity="0"/>
                  <v:fill on="true" color="#000000"/>
                </v:shape>
                <w10:wrap type="square"/>
              </v:group>
            </w:pict>
          </mc:Fallback>
        </mc:AlternateContent>
      </w:r>
      <w:r>
        <w:rPr>
          <w:rFonts w:ascii="Times New Roman" w:eastAsia="Times New Roman" w:hAnsi="Times New Roman" w:cs="Times New Roman"/>
          <w:sz w:val="16"/>
        </w:rPr>
        <w:t>https://doi.org/10.22416/1382-4376-2024-34-5-111-135 УДК 616.329-002-008.6-07/-08</w:t>
      </w:r>
    </w:p>
    <w:p w:rsidR="006F5A4C" w:rsidRDefault="00730F7D">
      <w:pPr>
        <w:spacing w:after="0" w:line="226" w:lineRule="auto"/>
        <w:ind w:left="-5" w:hanging="7"/>
        <w:jc w:val="both"/>
      </w:pPr>
      <w:r>
        <w:rPr>
          <w:rFonts w:ascii="Times New Roman" w:eastAsia="Times New Roman" w:hAnsi="Times New Roman" w:cs="Times New Roman"/>
          <w:color w:val="009EE3"/>
          <w:sz w:val="44"/>
        </w:rPr>
        <w:t xml:space="preserve">Диагностика и лечение гастроэзофагеальной рефлюксной болезни (Рекомендации Российской гастроэнтерологической ассоциации, Российского научного медицинского общества терапевтов, Российского общества профилактики неинфекционных заболеваний, </w:t>
      </w:r>
    </w:p>
    <w:p w:rsidR="006F5A4C" w:rsidRDefault="00730F7D">
      <w:pPr>
        <w:spacing w:after="0" w:line="226" w:lineRule="auto"/>
        <w:ind w:left="-5" w:hanging="7"/>
        <w:jc w:val="both"/>
      </w:pPr>
      <w:r>
        <w:rPr>
          <w:rFonts w:ascii="Times New Roman" w:eastAsia="Times New Roman" w:hAnsi="Times New Roman" w:cs="Times New Roman"/>
          <w:color w:val="009EE3"/>
          <w:sz w:val="44"/>
        </w:rPr>
        <w:t>Научного сообщест</w:t>
      </w:r>
      <w:r>
        <w:rPr>
          <w:rFonts w:ascii="Times New Roman" w:eastAsia="Times New Roman" w:hAnsi="Times New Roman" w:cs="Times New Roman"/>
          <w:color w:val="009EE3"/>
          <w:sz w:val="44"/>
        </w:rPr>
        <w:t>ва по изучению микробиома человека)</w:t>
      </w:r>
    </w:p>
    <w:p w:rsidR="006F5A4C" w:rsidRDefault="00730F7D">
      <w:pPr>
        <w:spacing w:after="2" w:line="255" w:lineRule="auto"/>
        <w:ind w:left="6" w:hanging="10"/>
      </w:pPr>
      <w:r>
        <w:rPr>
          <w:rFonts w:ascii="Times New Roman" w:eastAsia="Times New Roman" w:hAnsi="Times New Roman" w:cs="Times New Roman"/>
        </w:rPr>
        <w:t>В.Т. Ивашкин</w:t>
      </w:r>
      <w:r>
        <w:rPr>
          <w:rFonts w:ascii="Times New Roman" w:eastAsia="Times New Roman" w:hAnsi="Times New Roman" w:cs="Times New Roman"/>
          <w:sz w:val="20"/>
          <w:vertAlign w:val="superscript"/>
        </w:rPr>
        <w:t>1</w:t>
      </w:r>
      <w:r>
        <w:rPr>
          <w:rFonts w:ascii="Times New Roman" w:eastAsia="Times New Roman" w:hAnsi="Times New Roman" w:cs="Times New Roman"/>
        </w:rPr>
        <w:t>, А.С. Трухманов</w:t>
      </w:r>
      <w:r>
        <w:rPr>
          <w:rFonts w:ascii="Times New Roman" w:eastAsia="Times New Roman" w:hAnsi="Times New Roman" w:cs="Times New Roman"/>
          <w:sz w:val="20"/>
          <w:vertAlign w:val="superscript"/>
        </w:rPr>
        <w:t>1</w:t>
      </w:r>
      <w:r>
        <w:rPr>
          <w:rFonts w:ascii="Times New Roman" w:eastAsia="Times New Roman" w:hAnsi="Times New Roman" w:cs="Times New Roman"/>
        </w:rPr>
        <w:t>, И.В. Маев</w:t>
      </w:r>
      <w:r>
        <w:rPr>
          <w:rFonts w:ascii="Times New Roman" w:eastAsia="Times New Roman" w:hAnsi="Times New Roman" w:cs="Times New Roman"/>
          <w:sz w:val="20"/>
          <w:vertAlign w:val="superscript"/>
        </w:rPr>
        <w:t>2</w:t>
      </w:r>
      <w:r>
        <w:rPr>
          <w:rFonts w:ascii="Times New Roman" w:eastAsia="Times New Roman" w:hAnsi="Times New Roman" w:cs="Times New Roman"/>
        </w:rPr>
        <w:t>, О.М. Драпкина</w:t>
      </w:r>
      <w:r>
        <w:rPr>
          <w:rFonts w:ascii="Times New Roman" w:eastAsia="Times New Roman" w:hAnsi="Times New Roman" w:cs="Times New Roman"/>
          <w:sz w:val="20"/>
          <w:vertAlign w:val="superscript"/>
        </w:rPr>
        <w:t>3</w:t>
      </w:r>
      <w:r>
        <w:rPr>
          <w:rFonts w:ascii="Times New Roman" w:eastAsia="Times New Roman" w:hAnsi="Times New Roman" w:cs="Times New Roman"/>
        </w:rPr>
        <w:t>, М.А. Ливзан</w:t>
      </w:r>
      <w:r>
        <w:rPr>
          <w:rFonts w:ascii="Times New Roman" w:eastAsia="Times New Roman" w:hAnsi="Times New Roman" w:cs="Times New Roman"/>
          <w:sz w:val="20"/>
          <w:vertAlign w:val="superscript"/>
        </w:rPr>
        <w:t>4</w:t>
      </w:r>
      <w:r>
        <w:rPr>
          <w:rFonts w:ascii="Times New Roman" w:eastAsia="Times New Roman" w:hAnsi="Times New Roman" w:cs="Times New Roman"/>
        </w:rPr>
        <w:t xml:space="preserve">,  </w:t>
      </w:r>
    </w:p>
    <w:p w:rsidR="006F5A4C" w:rsidRDefault="00730F7D">
      <w:pPr>
        <w:spacing w:after="2" w:line="255" w:lineRule="auto"/>
        <w:ind w:left="6" w:hanging="10"/>
      </w:pPr>
      <w:r>
        <w:rPr>
          <w:rFonts w:ascii="Times New Roman" w:eastAsia="Times New Roman" w:hAnsi="Times New Roman" w:cs="Times New Roman"/>
          <w:bdr w:val="single" w:sz="12" w:space="0" w:color="000000"/>
        </w:rPr>
        <w:t>А.И. Мартынов</w:t>
      </w:r>
      <w:r>
        <w:rPr>
          <w:rFonts w:ascii="Times New Roman" w:eastAsia="Times New Roman" w:hAnsi="Times New Roman" w:cs="Times New Roman"/>
          <w:sz w:val="20"/>
          <w:bdr w:val="single" w:sz="12" w:space="0" w:color="000000"/>
          <w:vertAlign w:val="superscript"/>
        </w:rPr>
        <w:t>2</w:t>
      </w:r>
      <w:r>
        <w:rPr>
          <w:rFonts w:ascii="Times New Roman" w:eastAsia="Times New Roman" w:hAnsi="Times New Roman" w:cs="Times New Roman"/>
          <w:bdr w:val="single" w:sz="12" w:space="0" w:color="000000"/>
        </w:rPr>
        <w:t>,</w:t>
      </w:r>
      <w:r>
        <w:rPr>
          <w:rFonts w:ascii="Times New Roman" w:eastAsia="Times New Roman" w:hAnsi="Times New Roman" w:cs="Times New Roman"/>
        </w:rPr>
        <w:t xml:space="preserve"> Т.Л. Лапина</w:t>
      </w:r>
      <w:r>
        <w:rPr>
          <w:rFonts w:ascii="Times New Roman" w:eastAsia="Times New Roman" w:hAnsi="Times New Roman" w:cs="Times New Roman"/>
          <w:sz w:val="20"/>
          <w:vertAlign w:val="superscript"/>
        </w:rPr>
        <w:t>1</w:t>
      </w:r>
      <w:r>
        <w:rPr>
          <w:rFonts w:ascii="Times New Roman" w:eastAsia="Times New Roman" w:hAnsi="Times New Roman" w:cs="Times New Roman"/>
        </w:rPr>
        <w:t>, А.В. Параскевова</w:t>
      </w:r>
      <w:r>
        <w:rPr>
          <w:rFonts w:ascii="Times New Roman" w:eastAsia="Times New Roman" w:hAnsi="Times New Roman" w:cs="Times New Roman"/>
          <w:sz w:val="20"/>
          <w:vertAlign w:val="superscript"/>
        </w:rPr>
        <w:t>1</w:t>
      </w:r>
      <w:r>
        <w:rPr>
          <w:rFonts w:ascii="Times New Roman" w:eastAsia="Times New Roman" w:hAnsi="Times New Roman" w:cs="Times New Roman"/>
        </w:rPr>
        <w:t>*, Д.Н. Андреев</w:t>
      </w:r>
      <w:r>
        <w:rPr>
          <w:rFonts w:ascii="Times New Roman" w:eastAsia="Times New Roman" w:hAnsi="Times New Roman" w:cs="Times New Roman"/>
          <w:sz w:val="20"/>
          <w:vertAlign w:val="superscript"/>
        </w:rPr>
        <w:t>2</w:t>
      </w:r>
      <w:r>
        <w:rPr>
          <w:rFonts w:ascii="Times New Roman" w:eastAsia="Times New Roman" w:hAnsi="Times New Roman" w:cs="Times New Roman"/>
        </w:rPr>
        <w:t>, О.П. Алексеева</w:t>
      </w:r>
      <w:r>
        <w:rPr>
          <w:rFonts w:ascii="Times New Roman" w:eastAsia="Times New Roman" w:hAnsi="Times New Roman" w:cs="Times New Roman"/>
          <w:sz w:val="20"/>
          <w:vertAlign w:val="superscript"/>
        </w:rPr>
        <w:t>5</w:t>
      </w:r>
      <w:r>
        <w:rPr>
          <w:rFonts w:ascii="Times New Roman" w:eastAsia="Times New Roman" w:hAnsi="Times New Roman" w:cs="Times New Roman"/>
        </w:rPr>
        <w:t>,  С.А. Алексеенко</w:t>
      </w:r>
      <w:r>
        <w:rPr>
          <w:rFonts w:ascii="Times New Roman" w:eastAsia="Times New Roman" w:hAnsi="Times New Roman" w:cs="Times New Roman"/>
          <w:sz w:val="20"/>
          <w:vertAlign w:val="superscript"/>
        </w:rPr>
        <w:t>6</w:t>
      </w:r>
      <w:r>
        <w:rPr>
          <w:rFonts w:ascii="Times New Roman" w:eastAsia="Times New Roman" w:hAnsi="Times New Roman" w:cs="Times New Roman"/>
        </w:rPr>
        <w:t>, А.Ю. Барановский</w:t>
      </w:r>
      <w:r>
        <w:rPr>
          <w:rFonts w:ascii="Times New Roman" w:eastAsia="Times New Roman" w:hAnsi="Times New Roman" w:cs="Times New Roman"/>
          <w:sz w:val="20"/>
          <w:vertAlign w:val="superscript"/>
        </w:rPr>
        <w:footnoteReference w:id="1"/>
      </w:r>
      <w:r>
        <w:rPr>
          <w:rFonts w:ascii="Times New Roman" w:eastAsia="Times New Roman" w:hAnsi="Times New Roman" w:cs="Times New Roman"/>
        </w:rPr>
        <w:t>, О.В. Зайратьянц</w:t>
      </w:r>
      <w:r>
        <w:rPr>
          <w:rFonts w:ascii="Times New Roman" w:eastAsia="Times New Roman" w:hAnsi="Times New Roman" w:cs="Times New Roman"/>
          <w:sz w:val="20"/>
          <w:vertAlign w:val="superscript"/>
        </w:rPr>
        <w:t>2</w:t>
      </w:r>
      <w:r>
        <w:rPr>
          <w:rFonts w:ascii="Times New Roman" w:eastAsia="Times New Roman" w:hAnsi="Times New Roman" w:cs="Times New Roman"/>
        </w:rPr>
        <w:t>, О.Ю. З</w:t>
      </w:r>
      <w:r>
        <w:rPr>
          <w:rFonts w:ascii="Times New Roman" w:eastAsia="Times New Roman" w:hAnsi="Times New Roman" w:cs="Times New Roman"/>
        </w:rPr>
        <w:t>ольникова</w:t>
      </w:r>
      <w:r>
        <w:rPr>
          <w:rFonts w:ascii="Times New Roman" w:eastAsia="Times New Roman" w:hAnsi="Times New Roman" w:cs="Times New Roman"/>
          <w:sz w:val="20"/>
          <w:vertAlign w:val="superscript"/>
        </w:rPr>
        <w:t>1</w:t>
      </w:r>
      <w:r>
        <w:rPr>
          <w:rFonts w:ascii="Times New Roman" w:eastAsia="Times New Roman" w:hAnsi="Times New Roman" w:cs="Times New Roman"/>
        </w:rPr>
        <w:t xml:space="preserve">,  </w:t>
      </w:r>
    </w:p>
    <w:p w:rsidR="006F5A4C" w:rsidRDefault="00730F7D">
      <w:pPr>
        <w:spacing w:after="2" w:line="255" w:lineRule="auto"/>
        <w:ind w:left="6" w:hanging="10"/>
      </w:pPr>
      <w:r>
        <w:rPr>
          <w:rFonts w:ascii="Times New Roman" w:eastAsia="Times New Roman" w:hAnsi="Times New Roman" w:cs="Times New Roman"/>
        </w:rPr>
        <w:t>О.Б. Дронова</w:t>
      </w:r>
      <w:r>
        <w:rPr>
          <w:rFonts w:ascii="Times New Roman" w:eastAsia="Times New Roman" w:hAnsi="Times New Roman" w:cs="Times New Roman"/>
          <w:sz w:val="20"/>
          <w:vertAlign w:val="superscript"/>
        </w:rPr>
        <w:t>8</w:t>
      </w:r>
      <w:r>
        <w:rPr>
          <w:rFonts w:ascii="Times New Roman" w:eastAsia="Times New Roman" w:hAnsi="Times New Roman" w:cs="Times New Roman"/>
        </w:rPr>
        <w:t>, И.Л. Кляритская</w:t>
      </w:r>
      <w:r>
        <w:rPr>
          <w:rFonts w:ascii="Times New Roman" w:eastAsia="Times New Roman" w:hAnsi="Times New Roman" w:cs="Times New Roman"/>
          <w:sz w:val="20"/>
          <w:vertAlign w:val="superscript"/>
        </w:rPr>
        <w:footnoteReference w:id="2"/>
      </w:r>
      <w:r>
        <w:rPr>
          <w:rFonts w:ascii="Times New Roman" w:eastAsia="Times New Roman" w:hAnsi="Times New Roman" w:cs="Times New Roman"/>
        </w:rPr>
        <w:t>, Н.В. Корочанская</w:t>
      </w:r>
      <w:r>
        <w:rPr>
          <w:rFonts w:ascii="Times New Roman" w:eastAsia="Times New Roman" w:hAnsi="Times New Roman" w:cs="Times New Roman"/>
          <w:sz w:val="20"/>
          <w:vertAlign w:val="superscript"/>
        </w:rPr>
        <w:footnoteReference w:id="3"/>
      </w:r>
      <w:r>
        <w:rPr>
          <w:rFonts w:ascii="Times New Roman" w:eastAsia="Times New Roman" w:hAnsi="Times New Roman" w:cs="Times New Roman"/>
        </w:rPr>
        <w:t>, Ю.А. Кучерявый</w:t>
      </w:r>
      <w:r>
        <w:rPr>
          <w:rFonts w:ascii="Times New Roman" w:eastAsia="Times New Roman" w:hAnsi="Times New Roman" w:cs="Times New Roman"/>
          <w:sz w:val="20"/>
          <w:vertAlign w:val="superscript"/>
        </w:rPr>
        <w:footnoteReference w:id="4"/>
      </w:r>
      <w:r>
        <w:rPr>
          <w:rFonts w:ascii="Times New Roman" w:eastAsia="Times New Roman" w:hAnsi="Times New Roman" w:cs="Times New Roman"/>
        </w:rPr>
        <w:t>, С.Н. Маммаев</w:t>
      </w:r>
      <w:r>
        <w:rPr>
          <w:rFonts w:ascii="Times New Roman" w:eastAsia="Times New Roman" w:hAnsi="Times New Roman" w:cs="Times New Roman"/>
          <w:sz w:val="20"/>
          <w:vertAlign w:val="superscript"/>
        </w:rPr>
        <w:footnoteReference w:id="5"/>
      </w:r>
      <w:r>
        <w:rPr>
          <w:rFonts w:ascii="Times New Roman" w:eastAsia="Times New Roman" w:hAnsi="Times New Roman" w:cs="Times New Roman"/>
        </w:rPr>
        <w:t xml:space="preserve">, </w:t>
      </w:r>
    </w:p>
    <w:p w:rsidR="006F5A4C" w:rsidRDefault="00730F7D">
      <w:pPr>
        <w:spacing w:after="2" w:line="255" w:lineRule="auto"/>
        <w:ind w:left="6" w:hanging="10"/>
      </w:pPr>
      <w:r>
        <w:rPr>
          <w:rFonts w:ascii="Times New Roman" w:eastAsia="Times New Roman" w:hAnsi="Times New Roman" w:cs="Times New Roman"/>
        </w:rPr>
        <w:t>М.Ф. Осипенко</w:t>
      </w:r>
      <w:r>
        <w:rPr>
          <w:rFonts w:ascii="Times New Roman" w:eastAsia="Times New Roman" w:hAnsi="Times New Roman" w:cs="Times New Roman"/>
          <w:sz w:val="20"/>
          <w:vertAlign w:val="superscript"/>
        </w:rPr>
        <w:footnoteReference w:id="6"/>
      </w:r>
      <w:r>
        <w:rPr>
          <w:rFonts w:ascii="Times New Roman" w:eastAsia="Times New Roman" w:hAnsi="Times New Roman" w:cs="Times New Roman"/>
        </w:rPr>
        <w:t>, С.С. Пирогов</w:t>
      </w:r>
      <w:r>
        <w:rPr>
          <w:rFonts w:ascii="Times New Roman" w:eastAsia="Times New Roman" w:hAnsi="Times New Roman" w:cs="Times New Roman"/>
          <w:sz w:val="20"/>
          <w:vertAlign w:val="superscript"/>
        </w:rPr>
        <w:footnoteReference w:id="7"/>
      </w:r>
      <w:r>
        <w:rPr>
          <w:rFonts w:ascii="Times New Roman" w:eastAsia="Times New Roman" w:hAnsi="Times New Roman" w:cs="Times New Roman"/>
        </w:rPr>
        <w:t>, Е.А. Полуэктова</w:t>
      </w:r>
      <w:r>
        <w:rPr>
          <w:rFonts w:ascii="Times New Roman" w:eastAsia="Times New Roman" w:hAnsi="Times New Roman" w:cs="Times New Roman"/>
          <w:sz w:val="20"/>
          <w:vertAlign w:val="superscript"/>
        </w:rPr>
        <w:t>1</w:t>
      </w:r>
      <w:r>
        <w:rPr>
          <w:rFonts w:ascii="Times New Roman" w:eastAsia="Times New Roman" w:hAnsi="Times New Roman" w:cs="Times New Roman"/>
        </w:rPr>
        <w:t>, Д.Е. Румянцева</w:t>
      </w:r>
      <w:r>
        <w:rPr>
          <w:rFonts w:ascii="Times New Roman" w:eastAsia="Times New Roman" w:hAnsi="Times New Roman" w:cs="Times New Roman"/>
          <w:sz w:val="20"/>
          <w:vertAlign w:val="superscript"/>
        </w:rPr>
        <w:t>1</w:t>
      </w:r>
      <w:r>
        <w:rPr>
          <w:rFonts w:ascii="Times New Roman" w:eastAsia="Times New Roman" w:hAnsi="Times New Roman" w:cs="Times New Roman"/>
        </w:rPr>
        <w:t>, Р.Г. Сайфутдинов</w:t>
      </w:r>
      <w:r>
        <w:rPr>
          <w:rFonts w:ascii="Times New Roman" w:eastAsia="Times New Roman" w:hAnsi="Times New Roman" w:cs="Times New Roman"/>
          <w:sz w:val="20"/>
          <w:vertAlign w:val="superscript"/>
        </w:rPr>
        <w:footnoteReference w:id="8"/>
      </w:r>
      <w:r>
        <w:rPr>
          <w:rFonts w:ascii="Times New Roman" w:eastAsia="Times New Roman" w:hAnsi="Times New Roman" w:cs="Times New Roman"/>
        </w:rPr>
        <w:t xml:space="preserve">, </w:t>
      </w:r>
    </w:p>
    <w:p w:rsidR="006F5A4C" w:rsidRDefault="00730F7D">
      <w:pPr>
        <w:spacing w:after="137" w:line="255" w:lineRule="auto"/>
        <w:ind w:left="6" w:hanging="10"/>
      </w:pPr>
      <w:r>
        <w:rPr>
          <w:rFonts w:ascii="Times New Roman" w:eastAsia="Times New Roman" w:hAnsi="Times New Roman" w:cs="Times New Roman"/>
        </w:rPr>
        <w:t>О.А. Сторонова</w:t>
      </w:r>
      <w:r>
        <w:rPr>
          <w:rFonts w:ascii="Times New Roman" w:eastAsia="Times New Roman" w:hAnsi="Times New Roman" w:cs="Times New Roman"/>
          <w:sz w:val="20"/>
          <w:vertAlign w:val="superscript"/>
        </w:rPr>
        <w:t>1</w:t>
      </w:r>
      <w:r>
        <w:rPr>
          <w:rFonts w:ascii="Times New Roman" w:eastAsia="Times New Roman" w:hAnsi="Times New Roman" w:cs="Times New Roman"/>
        </w:rPr>
        <w:t>, Ю.П. Успенский</w:t>
      </w:r>
      <w:r>
        <w:rPr>
          <w:rFonts w:ascii="Times New Roman" w:eastAsia="Times New Roman" w:hAnsi="Times New Roman" w:cs="Times New Roman"/>
          <w:sz w:val="20"/>
          <w:vertAlign w:val="superscript"/>
        </w:rPr>
        <w:footnoteReference w:id="9"/>
      </w:r>
      <w:r>
        <w:rPr>
          <w:rFonts w:ascii="Times New Roman" w:eastAsia="Times New Roman" w:hAnsi="Times New Roman" w:cs="Times New Roman"/>
          <w:sz w:val="20"/>
          <w:vertAlign w:val="superscript"/>
        </w:rPr>
        <w:t>,</w:t>
      </w:r>
      <w:r>
        <w:rPr>
          <w:rFonts w:ascii="Times New Roman" w:eastAsia="Times New Roman" w:hAnsi="Times New Roman" w:cs="Times New Roman"/>
          <w:sz w:val="20"/>
          <w:vertAlign w:val="superscript"/>
        </w:rPr>
        <w:footnoteReference w:id="10"/>
      </w:r>
      <w:r>
        <w:rPr>
          <w:rFonts w:ascii="Times New Roman" w:eastAsia="Times New Roman" w:hAnsi="Times New Roman" w:cs="Times New Roman"/>
        </w:rPr>
        <w:t>, И.Б. Хлынов</w:t>
      </w:r>
      <w:r>
        <w:rPr>
          <w:rFonts w:ascii="Times New Roman" w:eastAsia="Times New Roman" w:hAnsi="Times New Roman" w:cs="Times New Roman"/>
          <w:sz w:val="20"/>
          <w:vertAlign w:val="superscript"/>
        </w:rPr>
        <w:footnoteReference w:id="11"/>
      </w:r>
      <w:r>
        <w:rPr>
          <w:rFonts w:ascii="Times New Roman" w:eastAsia="Times New Roman" w:hAnsi="Times New Roman" w:cs="Times New Roman"/>
        </w:rPr>
        <w:t>, В.В. Цуканов</w:t>
      </w:r>
      <w:r>
        <w:rPr>
          <w:rFonts w:ascii="Times New Roman" w:eastAsia="Times New Roman" w:hAnsi="Times New Roman" w:cs="Times New Roman"/>
          <w:sz w:val="20"/>
          <w:vertAlign w:val="superscript"/>
        </w:rPr>
        <w:t>19</w:t>
      </w:r>
      <w:r>
        <w:rPr>
          <w:rFonts w:ascii="Times New Roman" w:eastAsia="Times New Roman" w:hAnsi="Times New Roman" w:cs="Times New Roman"/>
        </w:rPr>
        <w:t>, А.А. Шептулин</w:t>
      </w:r>
      <w:r>
        <w:rPr>
          <w:rFonts w:ascii="Times New Roman" w:eastAsia="Times New Roman" w:hAnsi="Times New Roman" w:cs="Times New Roman"/>
          <w:sz w:val="20"/>
          <w:vertAlign w:val="superscript"/>
        </w:rPr>
        <w:t>1</w:t>
      </w:r>
    </w:p>
    <w:p w:rsidR="006F5A4C" w:rsidRDefault="00730F7D">
      <w:pPr>
        <w:numPr>
          <w:ilvl w:val="0"/>
          <w:numId w:val="1"/>
        </w:numPr>
        <w:spacing w:after="4" w:line="247" w:lineRule="auto"/>
        <w:ind w:right="88" w:hanging="112"/>
        <w:jc w:val="both"/>
      </w:pPr>
      <w:r>
        <w:rPr>
          <w:rFonts w:ascii="Times New Roman" w:eastAsia="Times New Roman" w:hAnsi="Times New Roman" w:cs="Times New Roman"/>
          <w:i/>
          <w:sz w:val="16"/>
        </w:rPr>
        <w:t>ФГАОУ ВО «Первый Московский государственный университет им. И.М. Сеченова» (Сеченовский университет) Министерства здравоохранения Российской Федерации, Москва, Российская Федерация</w:t>
      </w:r>
    </w:p>
    <w:p w:rsidR="006F5A4C" w:rsidRDefault="00730F7D">
      <w:pPr>
        <w:numPr>
          <w:ilvl w:val="0"/>
          <w:numId w:val="1"/>
        </w:numPr>
        <w:spacing w:after="4" w:line="247" w:lineRule="auto"/>
        <w:ind w:right="88" w:hanging="112"/>
        <w:jc w:val="both"/>
      </w:pPr>
      <w:r>
        <w:rPr>
          <w:rFonts w:ascii="Times New Roman" w:eastAsia="Times New Roman" w:hAnsi="Times New Roman" w:cs="Times New Roman"/>
          <w:i/>
          <w:sz w:val="16"/>
        </w:rPr>
        <w:t>ФГБОУ ВО «Российский университет медицины» Министерства зд</w:t>
      </w:r>
      <w:r>
        <w:rPr>
          <w:rFonts w:ascii="Times New Roman" w:eastAsia="Times New Roman" w:hAnsi="Times New Roman" w:cs="Times New Roman"/>
          <w:i/>
          <w:sz w:val="16"/>
        </w:rPr>
        <w:t>равоохранения Российской Федерации,  Москва, Российская Федерация</w:t>
      </w:r>
    </w:p>
    <w:p w:rsidR="006F5A4C" w:rsidRDefault="00730F7D">
      <w:pPr>
        <w:numPr>
          <w:ilvl w:val="0"/>
          <w:numId w:val="1"/>
        </w:numPr>
        <w:spacing w:after="4" w:line="247" w:lineRule="auto"/>
        <w:ind w:right="88" w:hanging="112"/>
        <w:jc w:val="both"/>
      </w:pPr>
      <w:r>
        <w:rPr>
          <w:rFonts w:ascii="Times New Roman" w:eastAsia="Times New Roman" w:hAnsi="Times New Roman" w:cs="Times New Roman"/>
          <w:i/>
          <w:sz w:val="16"/>
        </w:rPr>
        <w:t>ФГБУ «Национальный медицинский исследовательский центр терапии и профилактической медицины» Министерства здравоохранения Российской Федерации, Москва, Российская Федерация</w:t>
      </w:r>
    </w:p>
    <w:p w:rsidR="006F5A4C" w:rsidRDefault="00730F7D">
      <w:pPr>
        <w:numPr>
          <w:ilvl w:val="0"/>
          <w:numId w:val="1"/>
        </w:numPr>
        <w:spacing w:after="4" w:line="247" w:lineRule="auto"/>
        <w:ind w:right="88" w:hanging="112"/>
        <w:jc w:val="both"/>
      </w:pPr>
      <w:r>
        <w:rPr>
          <w:rFonts w:ascii="Times New Roman" w:eastAsia="Times New Roman" w:hAnsi="Times New Roman" w:cs="Times New Roman"/>
          <w:i/>
          <w:sz w:val="16"/>
        </w:rPr>
        <w:t>ФГБОУ ВО «Омский г</w:t>
      </w:r>
      <w:r>
        <w:rPr>
          <w:rFonts w:ascii="Times New Roman" w:eastAsia="Times New Roman" w:hAnsi="Times New Roman" w:cs="Times New Roman"/>
          <w:i/>
          <w:sz w:val="16"/>
        </w:rPr>
        <w:t>осударственный медицинский университет» Министерства здравоохранения  Российской Федерации, Омск, Российская Федерация</w:t>
      </w:r>
    </w:p>
    <w:p w:rsidR="006F5A4C" w:rsidRDefault="00730F7D">
      <w:pPr>
        <w:numPr>
          <w:ilvl w:val="0"/>
          <w:numId w:val="1"/>
        </w:numPr>
        <w:spacing w:after="4" w:line="247" w:lineRule="auto"/>
        <w:ind w:right="88" w:hanging="112"/>
        <w:jc w:val="both"/>
      </w:pPr>
      <w:r>
        <w:rPr>
          <w:rFonts w:ascii="Times New Roman" w:eastAsia="Times New Roman" w:hAnsi="Times New Roman" w:cs="Times New Roman"/>
          <w:i/>
          <w:sz w:val="16"/>
        </w:rPr>
        <w:t>ГБУЗ НО «Нижегородская областная клиническая больница им. Н.А. Семашко», Нижний Новгород,  Российская Федерация</w:t>
      </w:r>
    </w:p>
    <w:p w:rsidR="006F5A4C" w:rsidRDefault="00730F7D">
      <w:pPr>
        <w:numPr>
          <w:ilvl w:val="0"/>
          <w:numId w:val="1"/>
        </w:numPr>
        <w:spacing w:after="4" w:line="247" w:lineRule="auto"/>
        <w:ind w:right="88" w:hanging="112"/>
        <w:jc w:val="both"/>
      </w:pPr>
      <w:r>
        <w:rPr>
          <w:rFonts w:ascii="Times New Roman" w:eastAsia="Times New Roman" w:hAnsi="Times New Roman" w:cs="Times New Roman"/>
          <w:i/>
          <w:sz w:val="16"/>
        </w:rPr>
        <w:t>ФГБОУ ВО «Дальневосточный</w:t>
      </w:r>
      <w:r>
        <w:rPr>
          <w:rFonts w:ascii="Times New Roman" w:eastAsia="Times New Roman" w:hAnsi="Times New Roman" w:cs="Times New Roman"/>
          <w:i/>
          <w:sz w:val="16"/>
        </w:rPr>
        <w:t xml:space="preserve"> государственный медицинский университет» Министерства здравоохранения Российской Федерации, Хабаровск, Российская Федерация</w:t>
      </w:r>
    </w:p>
    <w:p w:rsidR="006F5A4C" w:rsidRDefault="00730F7D">
      <w:pPr>
        <w:spacing w:after="198" w:line="272" w:lineRule="auto"/>
        <w:ind w:left="190" w:right="218" w:hanging="167"/>
      </w:pPr>
      <w:r>
        <w:rPr>
          <w:rFonts w:ascii="Times New Roman" w:eastAsia="Times New Roman" w:hAnsi="Times New Roman" w:cs="Times New Roman"/>
          <w:i/>
          <w:sz w:val="14"/>
          <w:vertAlign w:val="superscript"/>
        </w:rPr>
        <w:lastRenderedPageBreak/>
        <w:footnoteReference w:id="12"/>
      </w:r>
      <w:r>
        <w:rPr>
          <w:rFonts w:ascii="Times New Roman" w:eastAsia="Times New Roman" w:hAnsi="Times New Roman" w:cs="Times New Roman"/>
          <w:i/>
          <w:sz w:val="14"/>
          <w:vertAlign w:val="superscript"/>
        </w:rPr>
        <w:t>9</w:t>
      </w:r>
      <w:r>
        <w:rPr>
          <w:rFonts w:ascii="Times New Roman" w:eastAsia="Times New Roman" w:hAnsi="Times New Roman" w:cs="Times New Roman"/>
          <w:i/>
          <w:sz w:val="16"/>
        </w:rPr>
        <w:t xml:space="preserve"> ФБГНУ «Федеральный исследовательский центр “Красноярский научный центр Сибирского отделения Российской академии наук», обособлен</w:t>
      </w:r>
      <w:r>
        <w:rPr>
          <w:rFonts w:ascii="Times New Roman" w:eastAsia="Times New Roman" w:hAnsi="Times New Roman" w:cs="Times New Roman"/>
          <w:i/>
          <w:sz w:val="16"/>
        </w:rPr>
        <w:t>ное подразделение «Научно-исследовательский институт медицинских проблем Севера», Красноярск, Российская Федерация</w:t>
      </w:r>
    </w:p>
    <w:p w:rsidR="006F5A4C" w:rsidRDefault="00730F7D">
      <w:pPr>
        <w:shd w:val="clear" w:color="auto" w:fill="F2F2F2"/>
        <w:spacing w:after="0" w:line="248" w:lineRule="auto"/>
        <w:ind w:left="132" w:right="278" w:hanging="4"/>
        <w:jc w:val="both"/>
      </w:pPr>
      <w:r>
        <w:rPr>
          <w:b/>
          <w:sz w:val="18"/>
        </w:rPr>
        <w:t>Цель.</w:t>
      </w:r>
      <w:r>
        <w:rPr>
          <w:sz w:val="18"/>
        </w:rPr>
        <w:t xml:space="preserve"> Настоящие рекомендации разработаны для практикующих врачей с целью их ознакомления с современными методами диагностики, особенностями ведения и фармакотерапии пациентов с гастроэзофагеальной рефлюксной болезнью (ГЭРБ).</w:t>
      </w:r>
    </w:p>
    <w:p w:rsidR="006F5A4C" w:rsidRDefault="00730F7D">
      <w:pPr>
        <w:shd w:val="clear" w:color="auto" w:fill="F2F2F2"/>
        <w:spacing w:after="0" w:line="248" w:lineRule="auto"/>
        <w:ind w:left="132" w:right="278" w:hanging="4"/>
        <w:jc w:val="both"/>
      </w:pPr>
      <w:r>
        <w:rPr>
          <w:b/>
          <w:sz w:val="18"/>
        </w:rPr>
        <w:t xml:space="preserve">Основные положения. </w:t>
      </w:r>
      <w:r>
        <w:rPr>
          <w:sz w:val="18"/>
        </w:rPr>
        <w:t>ГЭРБ является на</w:t>
      </w:r>
      <w:r>
        <w:rPr>
          <w:sz w:val="18"/>
        </w:rPr>
        <w:t>иболее частой причиной посещения пациентами поликлиник. Выделяют пищеводные и внепищеводные проявления ГЭРБ. Жалобы пациентов на изжогу и регургитацию остаются наиболее чувствительными и специфичными клиническими проявлениями ГЭРБ. Диагноз ГЭРБ устанавлива</w:t>
      </w:r>
      <w:r>
        <w:rPr>
          <w:sz w:val="18"/>
        </w:rPr>
        <w:t xml:space="preserve">ется на основании анамнестических данных, инструментального обследования (обнаружение рефлюкс-эзофагита при эндоскопическом исследовании пищевода, выявление патологического гастроэзофагеального рефлюкса при рН-метрии и/или рН-импедансометрии). Пациентам с </w:t>
      </w:r>
      <w:r>
        <w:rPr>
          <w:sz w:val="18"/>
        </w:rPr>
        <w:t>подозрением на ГЭРБ и отсутствием эрозивно-язвенных изменений слизистой оболочки пищевода или наличием эрозивного эзофагита степени А по Лос-Анджелесской классификации по данным эзофагогастродуоденоскопии рекомендовано проведение суточной рН-метрии на фоне</w:t>
      </w:r>
      <w:r>
        <w:rPr>
          <w:sz w:val="18"/>
        </w:rPr>
        <w:t xml:space="preserve"> отмены ингибиторов протонной помпы для исключения или подтверждения диагноза ГЭРБ. Пациентам с внепищеводными проявлениями ГЭРБ без классических симптомов (изжога, регургитация) рекомендовано проведение суточной рН-импедансометрии с отменой терапии ингиби</w:t>
      </w:r>
      <w:r>
        <w:rPr>
          <w:sz w:val="18"/>
        </w:rPr>
        <w:t>торами протонной помпы. При решении вопроса о хирургическом лечении всем пациентам необходимо проведение манометрии пищевода высокого разрешения и суточной рН-импедансометрии. К осложнениям ГЭРБ относят кровотечения, стриктуры, пищевод Баррета и аденокарци</w:t>
      </w:r>
      <w:r>
        <w:rPr>
          <w:sz w:val="18"/>
        </w:rPr>
        <w:t>ному пищевода. Основными группами препаратов, используемых в лечении ГЭРБ, являются ингибиторы протонной помпы, калий-конкурентные блокаторы протонной помпы, альгинаты, антациды, прокинетики. Ингибиторы протонной помпы являются препаратами выбора при лечен</w:t>
      </w:r>
      <w:r>
        <w:rPr>
          <w:sz w:val="18"/>
        </w:rPr>
        <w:t xml:space="preserve">ии и симптомов гастроэзофагеальной рефлюксной болезни, и имеющегося эрозивного эзофагита. Комбинированная терапия ребамипидом с ингибиторами протонной помпы повышает эффективность купирования симптомов ГЭРБ, а также сокращает частоту рецидивов. </w:t>
      </w:r>
      <w:r>
        <w:rPr>
          <w:b/>
          <w:sz w:val="18"/>
        </w:rPr>
        <w:t>Заключение.</w:t>
      </w:r>
      <w:r>
        <w:rPr>
          <w:b/>
          <w:sz w:val="18"/>
        </w:rPr>
        <w:t xml:space="preserve"> </w:t>
      </w:r>
      <w:r>
        <w:rPr>
          <w:sz w:val="18"/>
        </w:rPr>
        <w:t>Настоящие клинические рекомендации позволят улучшить качество оказания медицинской помощи пациентам с ГЭРБ.</w:t>
      </w:r>
    </w:p>
    <w:p w:rsidR="006F5A4C" w:rsidRDefault="00730F7D">
      <w:pPr>
        <w:shd w:val="clear" w:color="auto" w:fill="F2F2F2"/>
        <w:spacing w:after="0" w:line="248" w:lineRule="auto"/>
        <w:ind w:left="132" w:right="278" w:hanging="4"/>
        <w:jc w:val="both"/>
      </w:pPr>
      <w:r>
        <w:rPr>
          <w:b/>
          <w:sz w:val="18"/>
        </w:rPr>
        <w:t>Ключевые слова:</w:t>
      </w:r>
      <w:r>
        <w:rPr>
          <w:sz w:val="18"/>
        </w:rPr>
        <w:t xml:space="preserve"> гастроэзофагеальная рефлюксная болезнь, гастроэзофагеальный рефлюкс, внепищеводные проявления, пищевод Баррета, манометрия пищевода</w:t>
      </w:r>
      <w:r>
        <w:rPr>
          <w:sz w:val="18"/>
        </w:rPr>
        <w:t xml:space="preserve"> высокого разрешения, суточная  pH-импедансометрия</w:t>
      </w:r>
    </w:p>
    <w:p w:rsidR="006F5A4C" w:rsidRDefault="00730F7D">
      <w:pPr>
        <w:shd w:val="clear" w:color="auto" w:fill="F2F2F2"/>
        <w:spacing w:after="180" w:line="248" w:lineRule="auto"/>
        <w:ind w:left="132" w:right="278" w:hanging="4"/>
        <w:jc w:val="both"/>
      </w:pPr>
      <w:r>
        <w:rPr>
          <w:b/>
          <w:sz w:val="18"/>
        </w:rPr>
        <w:t>Конфликт интересов:</w:t>
      </w:r>
      <w:r>
        <w:rPr>
          <w:sz w:val="18"/>
        </w:rPr>
        <w:t xml:space="preserve"> авторы заявляют об отсутствии конфликта интересов.</w:t>
      </w:r>
    </w:p>
    <w:p w:rsidR="006F5A4C" w:rsidRDefault="00730F7D">
      <w:pPr>
        <w:spacing w:after="8" w:line="248" w:lineRule="auto"/>
        <w:ind w:left="130" w:right="297" w:hanging="1"/>
        <w:jc w:val="both"/>
      </w:pPr>
      <w:r>
        <w:rPr>
          <w:b/>
          <w:sz w:val="16"/>
        </w:rPr>
        <w:t xml:space="preserve">Для цитирования: </w:t>
      </w:r>
      <w:r>
        <w:rPr>
          <w:sz w:val="16"/>
        </w:rPr>
        <w:t xml:space="preserve">Ивашкин В.Т., Трухманов А.С., Маев И.В., Драпкина О.М., Ливзан М.А., Мартынов А.И., Лапина Т.Л., </w:t>
      </w:r>
    </w:p>
    <w:p w:rsidR="006F5A4C" w:rsidRDefault="00730F7D">
      <w:pPr>
        <w:spacing w:after="280" w:line="248" w:lineRule="auto"/>
        <w:ind w:left="130" w:right="297" w:hanging="1"/>
        <w:jc w:val="both"/>
      </w:pPr>
      <w:r>
        <w:rPr>
          <w:sz w:val="16"/>
        </w:rPr>
        <w:t>Параскевова А.В., Андреев Д.Н., Алексеева О.П., Алексеенко С.А., Барановский А.Ю., Зайратьянц О.В., Зольникова О.Ю., Дронова О.Б., Кляритская И.Л., Корочанская Н.В., Кучерявый Ю.А., Маммаев С.Н., Осипенко М.Ф., Пирогов С.С., Полуэктова Е.А., Румянцева Д.Е.</w:t>
      </w:r>
      <w:r>
        <w:rPr>
          <w:sz w:val="16"/>
        </w:rPr>
        <w:t>, Сайфутдинов Р.Г., Сторонова О.А., Успенский Ю.П., Хлынов И.Б., Цуканов В.В., Шептулин А.А. Диагностика и лечение гастроэзофагеальной рефлюксной болезни (Рекомендации Российской гастроэнтерологической ассоциации, Российского научного медицинского общества</w:t>
      </w:r>
      <w:r>
        <w:rPr>
          <w:sz w:val="16"/>
        </w:rPr>
        <w:t xml:space="preserve"> терапевтов, Российского общества профилактики неинфекционных заболеваний, Научного сообщества по изучению микробиома человека). Российский журнал гастроэнтерологии, гепатологии, колопроктологии. 2024;34(5):111–135. https://doi.org/10.22416/1382-4376-2024-</w:t>
      </w:r>
      <w:r>
        <w:rPr>
          <w:sz w:val="16"/>
        </w:rPr>
        <w:t>34-5-111-135</w:t>
      </w:r>
    </w:p>
    <w:p w:rsidR="006F5A4C" w:rsidRDefault="00730F7D">
      <w:pPr>
        <w:spacing w:after="0" w:line="248" w:lineRule="auto"/>
        <w:ind w:left="20" w:right="827" w:hanging="10"/>
      </w:pPr>
      <w:r>
        <w:rPr>
          <w:b/>
          <w:color w:val="009EE3"/>
          <w:sz w:val="24"/>
        </w:rPr>
        <w:t xml:space="preserve">Diagnosis and Treatment of Gastroesophageal Reflux Disease  </w:t>
      </w:r>
    </w:p>
    <w:p w:rsidR="006F5A4C" w:rsidRDefault="00730F7D">
      <w:pPr>
        <w:spacing w:after="0" w:line="248" w:lineRule="auto"/>
        <w:ind w:left="20" w:right="827" w:hanging="10"/>
      </w:pPr>
      <w:r>
        <w:rPr>
          <w:b/>
          <w:color w:val="009EE3"/>
          <w:sz w:val="24"/>
        </w:rPr>
        <w:t xml:space="preserve">(Clinical Guidelines of the Russian Gastroenterological Association,  Russian Scientific Medical Society of Internal Medicine, Russian Society  for the Prevention of Noncommunicable </w:t>
      </w:r>
      <w:r>
        <w:rPr>
          <w:b/>
          <w:color w:val="009EE3"/>
          <w:sz w:val="24"/>
        </w:rPr>
        <w:t>Diseases, Scientific Community  for Human Microbiome Research)</w:t>
      </w:r>
    </w:p>
    <w:p w:rsidR="006F5A4C" w:rsidRDefault="00730F7D">
      <w:pPr>
        <w:spacing w:after="3" w:line="265" w:lineRule="auto"/>
        <w:ind w:left="19" w:right="14" w:hanging="10"/>
      </w:pPr>
      <w:r>
        <w:rPr>
          <w:i/>
          <w:sz w:val="16"/>
        </w:rPr>
        <w:t>Vladimir T. Ivashkin</w:t>
      </w:r>
      <w:r>
        <w:rPr>
          <w:i/>
          <w:sz w:val="14"/>
          <w:vertAlign w:val="superscript"/>
        </w:rPr>
        <w:t>1</w:t>
      </w:r>
      <w:r>
        <w:rPr>
          <w:i/>
          <w:sz w:val="16"/>
        </w:rPr>
        <w:t>, Alexander S. Trukhmanov</w:t>
      </w:r>
      <w:r>
        <w:rPr>
          <w:i/>
          <w:sz w:val="14"/>
          <w:vertAlign w:val="superscript"/>
        </w:rPr>
        <w:t>1</w:t>
      </w:r>
      <w:r>
        <w:rPr>
          <w:i/>
          <w:sz w:val="16"/>
        </w:rPr>
        <w:t>, Igor V. Maev</w:t>
      </w:r>
      <w:r>
        <w:rPr>
          <w:i/>
          <w:sz w:val="14"/>
          <w:vertAlign w:val="superscript"/>
        </w:rPr>
        <w:footnoteReference w:id="13"/>
      </w:r>
      <w:r>
        <w:rPr>
          <w:i/>
          <w:sz w:val="16"/>
        </w:rPr>
        <w:t>, Oxana M. Drapkina</w:t>
      </w:r>
      <w:r>
        <w:rPr>
          <w:i/>
          <w:sz w:val="14"/>
          <w:vertAlign w:val="superscript"/>
        </w:rPr>
        <w:footnoteReference w:id="14"/>
      </w:r>
      <w:r>
        <w:rPr>
          <w:i/>
          <w:sz w:val="16"/>
        </w:rPr>
        <w:t>, Maria A. Livzan</w:t>
      </w:r>
      <w:r>
        <w:rPr>
          <w:i/>
          <w:sz w:val="14"/>
          <w:vertAlign w:val="superscript"/>
        </w:rPr>
        <w:footnoteReference w:id="15"/>
      </w:r>
      <w:r>
        <w:rPr>
          <w:i/>
          <w:sz w:val="16"/>
        </w:rPr>
        <w:t>,</w:t>
      </w:r>
      <w:r>
        <w:rPr>
          <w:i/>
          <w:sz w:val="16"/>
          <w:bdr w:val="single" w:sz="8" w:space="0" w:color="000000"/>
        </w:rPr>
        <w:t xml:space="preserve"> Anatoliy I. Martynov</w:t>
      </w:r>
      <w:r>
        <w:rPr>
          <w:i/>
          <w:sz w:val="14"/>
          <w:bdr w:val="single" w:sz="8" w:space="0" w:color="000000"/>
          <w:vertAlign w:val="superscript"/>
        </w:rPr>
        <w:t>2</w:t>
      </w:r>
      <w:r>
        <w:rPr>
          <w:i/>
          <w:sz w:val="16"/>
          <w:bdr w:val="single" w:sz="8" w:space="0" w:color="000000"/>
        </w:rPr>
        <w:t>,</w:t>
      </w:r>
      <w:r>
        <w:rPr>
          <w:i/>
          <w:sz w:val="16"/>
        </w:rPr>
        <w:t xml:space="preserve">  </w:t>
      </w:r>
    </w:p>
    <w:p w:rsidR="006F5A4C" w:rsidRDefault="00730F7D">
      <w:pPr>
        <w:spacing w:after="3" w:line="265" w:lineRule="auto"/>
        <w:ind w:left="19" w:right="14" w:hanging="10"/>
      </w:pPr>
      <w:r>
        <w:rPr>
          <w:i/>
          <w:sz w:val="16"/>
        </w:rPr>
        <w:t>Tatiana L. Lapina</w:t>
      </w:r>
      <w:r>
        <w:rPr>
          <w:i/>
          <w:sz w:val="14"/>
          <w:vertAlign w:val="superscript"/>
        </w:rPr>
        <w:t>1</w:t>
      </w:r>
      <w:r>
        <w:rPr>
          <w:i/>
          <w:sz w:val="16"/>
        </w:rPr>
        <w:t>, Anna V. Paraskevova</w:t>
      </w:r>
      <w:r>
        <w:rPr>
          <w:i/>
          <w:sz w:val="14"/>
          <w:vertAlign w:val="superscript"/>
        </w:rPr>
        <w:t>1</w:t>
      </w:r>
      <w:r>
        <w:rPr>
          <w:i/>
          <w:sz w:val="16"/>
        </w:rPr>
        <w:t>*, Dmitry N. Andreev</w:t>
      </w:r>
      <w:r>
        <w:rPr>
          <w:i/>
          <w:sz w:val="14"/>
          <w:vertAlign w:val="superscript"/>
        </w:rPr>
        <w:t>2</w:t>
      </w:r>
      <w:r>
        <w:rPr>
          <w:i/>
          <w:sz w:val="16"/>
        </w:rPr>
        <w:t>, Olg</w:t>
      </w:r>
      <w:r>
        <w:rPr>
          <w:i/>
          <w:sz w:val="16"/>
        </w:rPr>
        <w:t>a P. Alexeeva</w:t>
      </w:r>
      <w:r>
        <w:rPr>
          <w:i/>
          <w:sz w:val="14"/>
          <w:vertAlign w:val="superscript"/>
        </w:rPr>
        <w:footnoteReference w:id="16"/>
      </w:r>
      <w:r>
        <w:rPr>
          <w:i/>
          <w:sz w:val="16"/>
        </w:rPr>
        <w:t>, Sergei A. Alekseenko</w:t>
      </w:r>
      <w:r>
        <w:rPr>
          <w:i/>
          <w:sz w:val="14"/>
          <w:vertAlign w:val="superscript"/>
        </w:rPr>
        <w:t>6</w:t>
      </w:r>
      <w:r>
        <w:rPr>
          <w:i/>
          <w:sz w:val="16"/>
        </w:rPr>
        <w:t>, Andrey Yu. Baranovsky</w:t>
      </w:r>
      <w:r>
        <w:rPr>
          <w:i/>
          <w:sz w:val="14"/>
          <w:vertAlign w:val="superscript"/>
        </w:rPr>
        <w:footnoteReference w:id="17"/>
      </w:r>
      <w:r>
        <w:rPr>
          <w:i/>
          <w:sz w:val="16"/>
        </w:rPr>
        <w:t xml:space="preserve">,  </w:t>
      </w:r>
    </w:p>
    <w:p w:rsidR="006F5A4C" w:rsidRDefault="00730F7D">
      <w:pPr>
        <w:spacing w:after="3" w:line="265" w:lineRule="auto"/>
        <w:ind w:left="19" w:right="14" w:hanging="10"/>
      </w:pPr>
      <w:r>
        <w:rPr>
          <w:i/>
          <w:sz w:val="16"/>
        </w:rPr>
        <w:t>Oleg V. Zayratyants</w:t>
      </w:r>
      <w:r>
        <w:rPr>
          <w:i/>
          <w:sz w:val="14"/>
          <w:vertAlign w:val="superscript"/>
        </w:rPr>
        <w:t>2</w:t>
      </w:r>
      <w:r>
        <w:rPr>
          <w:i/>
          <w:sz w:val="16"/>
        </w:rPr>
        <w:t>, Oxana Yu. Zolnikova</w:t>
      </w:r>
      <w:r>
        <w:rPr>
          <w:i/>
          <w:sz w:val="14"/>
          <w:vertAlign w:val="superscript"/>
        </w:rPr>
        <w:t>1</w:t>
      </w:r>
      <w:r>
        <w:rPr>
          <w:i/>
          <w:sz w:val="16"/>
        </w:rPr>
        <w:t>, Olga B. Dronova</w:t>
      </w:r>
      <w:r>
        <w:rPr>
          <w:i/>
          <w:sz w:val="14"/>
          <w:vertAlign w:val="superscript"/>
        </w:rPr>
        <w:footnoteReference w:id="18"/>
      </w:r>
      <w:r>
        <w:rPr>
          <w:i/>
          <w:sz w:val="16"/>
        </w:rPr>
        <w:t>, Irina L. Kliaritskaia</w:t>
      </w:r>
      <w:r>
        <w:rPr>
          <w:i/>
          <w:sz w:val="14"/>
          <w:vertAlign w:val="superscript"/>
        </w:rPr>
        <w:footnoteReference w:id="19"/>
      </w:r>
      <w:r>
        <w:rPr>
          <w:i/>
          <w:sz w:val="16"/>
        </w:rPr>
        <w:t>, Natalia V. Korochanskaya</w:t>
      </w:r>
      <w:r>
        <w:rPr>
          <w:i/>
          <w:sz w:val="14"/>
          <w:vertAlign w:val="superscript"/>
        </w:rPr>
        <w:footnoteReference w:id="20"/>
      </w:r>
      <w:r>
        <w:rPr>
          <w:i/>
          <w:sz w:val="16"/>
        </w:rPr>
        <w:t>, Yury A. Kucheryavyy</w:t>
      </w:r>
      <w:r>
        <w:rPr>
          <w:i/>
          <w:sz w:val="14"/>
          <w:vertAlign w:val="superscript"/>
        </w:rPr>
        <w:t>11</w:t>
      </w:r>
      <w:r>
        <w:rPr>
          <w:i/>
          <w:sz w:val="16"/>
        </w:rPr>
        <w:t xml:space="preserve">, </w:t>
      </w:r>
    </w:p>
    <w:p w:rsidR="006F5A4C" w:rsidRDefault="00730F7D">
      <w:pPr>
        <w:spacing w:after="3" w:line="265" w:lineRule="auto"/>
        <w:ind w:left="19" w:right="14" w:hanging="10"/>
      </w:pPr>
      <w:r>
        <w:rPr>
          <w:i/>
          <w:sz w:val="16"/>
        </w:rPr>
        <w:t>Diana E. Rumyantseva</w:t>
      </w:r>
      <w:r>
        <w:rPr>
          <w:i/>
          <w:sz w:val="14"/>
          <w:vertAlign w:val="superscript"/>
        </w:rPr>
        <w:t>1</w:t>
      </w:r>
      <w:r>
        <w:rPr>
          <w:i/>
          <w:sz w:val="16"/>
        </w:rPr>
        <w:t>, Suleiman N. Mammaev</w:t>
      </w:r>
      <w:r>
        <w:rPr>
          <w:i/>
          <w:sz w:val="14"/>
          <w:vertAlign w:val="superscript"/>
        </w:rPr>
        <w:t>12</w:t>
      </w:r>
      <w:r>
        <w:rPr>
          <w:i/>
          <w:sz w:val="16"/>
        </w:rPr>
        <w:t>, Marina F</w:t>
      </w:r>
      <w:r>
        <w:rPr>
          <w:i/>
          <w:sz w:val="16"/>
        </w:rPr>
        <w:t>. Osipenko</w:t>
      </w:r>
      <w:r>
        <w:rPr>
          <w:i/>
          <w:sz w:val="14"/>
          <w:vertAlign w:val="superscript"/>
        </w:rPr>
        <w:t>13</w:t>
      </w:r>
      <w:r>
        <w:rPr>
          <w:i/>
          <w:sz w:val="16"/>
        </w:rPr>
        <w:t>, Sergey S. Pirogov</w:t>
      </w:r>
      <w:r>
        <w:rPr>
          <w:i/>
          <w:sz w:val="14"/>
          <w:vertAlign w:val="superscript"/>
        </w:rPr>
        <w:t>14</w:t>
      </w:r>
      <w:r>
        <w:rPr>
          <w:i/>
          <w:sz w:val="16"/>
        </w:rPr>
        <w:t>, Elena A. Poluektova</w:t>
      </w:r>
      <w:r>
        <w:rPr>
          <w:i/>
          <w:sz w:val="14"/>
          <w:vertAlign w:val="superscript"/>
        </w:rPr>
        <w:t>1</w:t>
      </w:r>
      <w:r>
        <w:rPr>
          <w:i/>
          <w:sz w:val="16"/>
        </w:rPr>
        <w:t xml:space="preserve">,  </w:t>
      </w:r>
    </w:p>
    <w:p w:rsidR="006F5A4C" w:rsidRDefault="00730F7D">
      <w:pPr>
        <w:spacing w:after="3" w:line="265" w:lineRule="auto"/>
        <w:ind w:left="19" w:right="14" w:hanging="10"/>
      </w:pPr>
      <w:r>
        <w:rPr>
          <w:i/>
          <w:sz w:val="16"/>
        </w:rPr>
        <w:t>Rafik G. Sayfutdinov</w:t>
      </w:r>
      <w:r>
        <w:rPr>
          <w:i/>
          <w:sz w:val="14"/>
          <w:vertAlign w:val="superscript"/>
        </w:rPr>
        <w:t>15</w:t>
      </w:r>
      <w:r>
        <w:rPr>
          <w:i/>
          <w:sz w:val="16"/>
        </w:rPr>
        <w:t>, Olga A. Storonova</w:t>
      </w:r>
      <w:r>
        <w:rPr>
          <w:i/>
          <w:sz w:val="14"/>
          <w:vertAlign w:val="superscript"/>
        </w:rPr>
        <w:t>1</w:t>
      </w:r>
      <w:r>
        <w:rPr>
          <w:i/>
          <w:sz w:val="16"/>
        </w:rPr>
        <w:t>, Yury P. Uspenskiy</w:t>
      </w:r>
      <w:r>
        <w:rPr>
          <w:i/>
          <w:sz w:val="14"/>
          <w:vertAlign w:val="superscript"/>
        </w:rPr>
        <w:t>16,17</w:t>
      </w:r>
      <w:r>
        <w:rPr>
          <w:i/>
          <w:sz w:val="16"/>
        </w:rPr>
        <w:t>, Igor B. Khlynov</w:t>
      </w:r>
      <w:r>
        <w:rPr>
          <w:i/>
          <w:sz w:val="14"/>
          <w:vertAlign w:val="superscript"/>
        </w:rPr>
        <w:t>18</w:t>
      </w:r>
      <w:r>
        <w:rPr>
          <w:i/>
          <w:sz w:val="16"/>
        </w:rPr>
        <w:t>, Vladislav V. Tsukanov</w:t>
      </w:r>
      <w:r>
        <w:rPr>
          <w:i/>
          <w:sz w:val="14"/>
          <w:vertAlign w:val="superscript"/>
        </w:rPr>
        <w:t>19</w:t>
      </w:r>
      <w:r>
        <w:rPr>
          <w:i/>
          <w:sz w:val="16"/>
        </w:rPr>
        <w:t>, Arkadiy A. Sheptulin</w:t>
      </w:r>
      <w:r>
        <w:rPr>
          <w:i/>
          <w:sz w:val="14"/>
          <w:vertAlign w:val="superscript"/>
        </w:rPr>
        <w:t>1</w:t>
      </w:r>
    </w:p>
    <w:p w:rsidR="006F5A4C" w:rsidRDefault="00730F7D">
      <w:pPr>
        <w:spacing w:after="28" w:line="265" w:lineRule="auto"/>
        <w:ind w:left="19" w:right="4656" w:hanging="10"/>
      </w:pPr>
      <w:r>
        <w:rPr>
          <w:i/>
          <w:sz w:val="14"/>
          <w:vertAlign w:val="superscript"/>
        </w:rPr>
        <w:t>11</w:t>
      </w:r>
      <w:r>
        <w:rPr>
          <w:i/>
          <w:sz w:val="16"/>
        </w:rPr>
        <w:t xml:space="preserve"> Ilyinskaya Hospital, Krasnogorsk, Moscow region, Russian Federation </w:t>
      </w:r>
      <w:r>
        <w:rPr>
          <w:i/>
          <w:sz w:val="14"/>
          <w:vertAlign w:val="superscript"/>
        </w:rPr>
        <w:t>12</w:t>
      </w:r>
      <w:r>
        <w:rPr>
          <w:i/>
          <w:sz w:val="16"/>
        </w:rPr>
        <w:t xml:space="preserve"> Dagestan State Medical University, Makhachkala, Russian Federation</w:t>
      </w:r>
    </w:p>
    <w:p w:rsidR="006F5A4C" w:rsidRDefault="00730F7D">
      <w:pPr>
        <w:numPr>
          <w:ilvl w:val="0"/>
          <w:numId w:val="2"/>
        </w:numPr>
        <w:spacing w:after="35" w:line="265" w:lineRule="auto"/>
        <w:ind w:right="14" w:hanging="143"/>
      </w:pPr>
      <w:r>
        <w:rPr>
          <w:i/>
          <w:sz w:val="16"/>
        </w:rPr>
        <w:t>Novosibirsk State Medical University, Novosibirsk, Russian Federation</w:t>
      </w:r>
    </w:p>
    <w:p w:rsidR="006F5A4C" w:rsidRDefault="00730F7D">
      <w:pPr>
        <w:numPr>
          <w:ilvl w:val="0"/>
          <w:numId w:val="2"/>
        </w:numPr>
        <w:spacing w:after="3" w:line="265" w:lineRule="auto"/>
        <w:ind w:right="14" w:hanging="143"/>
      </w:pPr>
      <w:r>
        <w:rPr>
          <w:i/>
          <w:sz w:val="16"/>
        </w:rPr>
        <w:t>Moscow Research Oncological Institute named aft</w:t>
      </w:r>
      <w:r>
        <w:rPr>
          <w:i/>
          <w:sz w:val="16"/>
        </w:rPr>
        <w:t>er P.A. Gertsen — Branch of National Medical Research Radiological Center, Moscow, Russian Federation</w:t>
      </w:r>
    </w:p>
    <w:p w:rsidR="006F5A4C" w:rsidRDefault="00730F7D">
      <w:pPr>
        <w:numPr>
          <w:ilvl w:val="0"/>
          <w:numId w:val="2"/>
        </w:numPr>
        <w:spacing w:after="3" w:line="265" w:lineRule="auto"/>
        <w:ind w:right="14" w:hanging="143"/>
      </w:pPr>
      <w:r>
        <w:rPr>
          <w:i/>
          <w:sz w:val="16"/>
        </w:rPr>
        <w:t>Kazan State Medical Academy — Branch Campus of the Russian Medical Academy of Continuous Professional Education,  Kazan, Russian Federation</w:t>
      </w:r>
    </w:p>
    <w:p w:rsidR="006F5A4C" w:rsidRDefault="00730F7D">
      <w:pPr>
        <w:numPr>
          <w:ilvl w:val="0"/>
          <w:numId w:val="2"/>
        </w:numPr>
        <w:spacing w:after="44" w:line="265" w:lineRule="auto"/>
        <w:ind w:right="14" w:hanging="143"/>
      </w:pPr>
      <w:r>
        <w:rPr>
          <w:i/>
          <w:sz w:val="16"/>
        </w:rPr>
        <w:t>First Saint Pe</w:t>
      </w:r>
      <w:r>
        <w:rPr>
          <w:i/>
          <w:sz w:val="16"/>
        </w:rPr>
        <w:t>tersburg State Medical University named after Academician I.P. Pavlov, Saint Petersburg, Russian Federation</w:t>
      </w:r>
    </w:p>
    <w:p w:rsidR="006F5A4C" w:rsidRDefault="00730F7D">
      <w:pPr>
        <w:numPr>
          <w:ilvl w:val="0"/>
          <w:numId w:val="2"/>
        </w:numPr>
        <w:spacing w:after="35" w:line="265" w:lineRule="auto"/>
        <w:ind w:right="14" w:hanging="143"/>
      </w:pPr>
      <w:r>
        <w:rPr>
          <w:i/>
          <w:sz w:val="16"/>
        </w:rPr>
        <w:t>Saint Petersburg State Pediatric Medical University, Saint Petersburg, Russian Federation</w:t>
      </w:r>
    </w:p>
    <w:p w:rsidR="006F5A4C" w:rsidRDefault="00730F7D">
      <w:pPr>
        <w:numPr>
          <w:ilvl w:val="0"/>
          <w:numId w:val="2"/>
        </w:numPr>
        <w:spacing w:after="35" w:line="265" w:lineRule="auto"/>
        <w:ind w:right="14" w:hanging="143"/>
      </w:pPr>
      <w:r>
        <w:rPr>
          <w:i/>
          <w:sz w:val="16"/>
        </w:rPr>
        <w:t>Ural State Medical University, Yekaterinburg, Russian Fede</w:t>
      </w:r>
      <w:r>
        <w:rPr>
          <w:i/>
          <w:sz w:val="16"/>
        </w:rPr>
        <w:t>ration</w:t>
      </w:r>
    </w:p>
    <w:p w:rsidR="006F5A4C" w:rsidRDefault="00730F7D">
      <w:pPr>
        <w:numPr>
          <w:ilvl w:val="0"/>
          <w:numId w:val="2"/>
        </w:numPr>
        <w:spacing w:after="3" w:line="265" w:lineRule="auto"/>
        <w:ind w:right="14" w:hanging="143"/>
      </w:pPr>
      <w:r>
        <w:rPr>
          <w:i/>
          <w:sz w:val="16"/>
        </w:rPr>
        <w:t xml:space="preserve">Federal Research Center “Krasnoyarsk Science Center of Siberian Branch of the Russian Academy of Sciences”,  </w:t>
      </w:r>
    </w:p>
    <w:p w:rsidR="006F5A4C" w:rsidRDefault="00730F7D">
      <w:pPr>
        <w:spacing w:after="217" w:line="265" w:lineRule="auto"/>
        <w:ind w:left="146" w:right="14" w:hanging="10"/>
      </w:pPr>
      <w:r>
        <w:rPr>
          <w:i/>
          <w:sz w:val="16"/>
        </w:rPr>
        <w:t>Separate Division “Scientific Research Institute of Medical Problems of the North”, Krasnoyarsk, Russian Federation</w:t>
      </w:r>
    </w:p>
    <w:p w:rsidR="006F5A4C" w:rsidRDefault="00730F7D">
      <w:pPr>
        <w:shd w:val="clear" w:color="auto" w:fill="F2F2F2"/>
        <w:spacing w:after="0" w:line="248" w:lineRule="auto"/>
        <w:ind w:left="132" w:right="278" w:hanging="4"/>
        <w:jc w:val="both"/>
      </w:pPr>
      <w:r>
        <w:rPr>
          <w:b/>
          <w:sz w:val="18"/>
        </w:rPr>
        <w:t>Aim.</w:t>
      </w:r>
      <w:r>
        <w:rPr>
          <w:sz w:val="18"/>
        </w:rPr>
        <w:t xml:space="preserve"> These recommendati</w:t>
      </w:r>
      <w:r>
        <w:rPr>
          <w:sz w:val="18"/>
        </w:rPr>
        <w:t xml:space="preserve">ons are developed for practitioners in order to familiarize them with modern diagnostic methods, management features and pharmacotherapy of patients with gastroesophageal reflux disease (GERD). </w:t>
      </w:r>
      <w:r>
        <w:rPr>
          <w:b/>
          <w:sz w:val="18"/>
        </w:rPr>
        <w:t>General provisions.</w:t>
      </w:r>
      <w:r>
        <w:rPr>
          <w:sz w:val="18"/>
        </w:rPr>
        <w:t xml:space="preserve"> GERD is the most common reason for patient</w:t>
      </w:r>
      <w:r>
        <w:rPr>
          <w:sz w:val="18"/>
        </w:rPr>
        <w:t>s to visit clinics. There are esophageal and extraesophageal manifestations of GERD. Patients' complaints of heartburn and regurgitation remain the most sensitive and specific clinical manifestations of GERD. The diagnosis of GERD is established on the bas</w:t>
      </w:r>
      <w:r>
        <w:rPr>
          <w:sz w:val="18"/>
        </w:rPr>
        <w:t>is of anamnestic data, instrumental examination (detection of reflux esophagitis during upper gastrointestinal endoscopy, detection of pathological gastroesophageal reflux with 24-hour pH-metry or/and 24-hour pH-impedance monitoring). Patients with suspect</w:t>
      </w:r>
      <w:r>
        <w:rPr>
          <w:sz w:val="18"/>
        </w:rPr>
        <w:t>ed GERD and the absence of erosive and ulcerative changes in the mucous membrane of the esophagus or the presence of erosive esophagitis of Grade A according to Los Angeles Classification of Gastroesophageal Reflux Disease are recommended to conduct 24-hou</w:t>
      </w:r>
      <w:r>
        <w:rPr>
          <w:sz w:val="18"/>
        </w:rPr>
        <w:t>r pH-metry on PPI off to exclude or confirm the diagnosis of GERD. Patients with extraesophageal manifestations of GERD without classic symptoms (heartburn, regurgitation) are recommended to undergo 24-hour pH-impedance monitoring with discontinuation of p</w:t>
      </w:r>
      <w:r>
        <w:rPr>
          <w:sz w:val="18"/>
        </w:rPr>
        <w:t>roton pump inhibitor therapy. When deciding on surgical treatment, all patients need to perform high-resolution esophageal manometry and 24-hour pH-impedance monitoring. Complications of GERD include bleeding, strictures, Barrett’s esopha-</w:t>
      </w:r>
    </w:p>
    <w:p w:rsidR="006F5A4C" w:rsidRDefault="00730F7D">
      <w:pPr>
        <w:shd w:val="clear" w:color="auto" w:fill="F2F2F2"/>
        <w:spacing w:after="0" w:line="248" w:lineRule="auto"/>
        <w:ind w:left="132" w:right="278" w:hanging="4"/>
        <w:jc w:val="both"/>
      </w:pPr>
      <w:r>
        <w:rPr>
          <w:sz w:val="18"/>
        </w:rPr>
        <w:t>gus and esophage</w:t>
      </w:r>
      <w:r>
        <w:rPr>
          <w:sz w:val="18"/>
        </w:rPr>
        <w:t>al adenocarcinoma. The main groups of medications used in the treatment of GERD are proton pump inhibitors (PPIs), potassium-competitive acid blockers (P-CABs), alginates, antacids, and prokinetics. PPIs are the drugs of choice in the treatment of both sym</w:t>
      </w:r>
      <w:r>
        <w:rPr>
          <w:sz w:val="18"/>
        </w:rPr>
        <w:t>ptoms of gastroesophageal reflux disease and existing erosive esop- hagitis. Combination therapy Rebamipide with PPIs increases the effectiveness of relief of GERD symptoms, as well as reduces the frequency of relapses.</w:t>
      </w:r>
    </w:p>
    <w:p w:rsidR="006F5A4C" w:rsidRDefault="00730F7D">
      <w:pPr>
        <w:shd w:val="clear" w:color="auto" w:fill="F2F2F2"/>
        <w:spacing w:after="184" w:line="248" w:lineRule="auto"/>
        <w:ind w:left="132" w:right="278" w:hanging="4"/>
        <w:jc w:val="both"/>
      </w:pPr>
      <w:r>
        <w:rPr>
          <w:b/>
          <w:sz w:val="18"/>
        </w:rPr>
        <w:t>Conclusion.</w:t>
      </w:r>
      <w:r>
        <w:rPr>
          <w:sz w:val="18"/>
        </w:rPr>
        <w:t xml:space="preserve"> These clinical recommendations will improve the quality of medical care for patients with GERD. </w:t>
      </w:r>
      <w:r>
        <w:rPr>
          <w:b/>
          <w:sz w:val="18"/>
        </w:rPr>
        <w:t>Keywords:</w:t>
      </w:r>
      <w:r>
        <w:rPr>
          <w:sz w:val="18"/>
        </w:rPr>
        <w:t xml:space="preserve"> gastroesophageal reflux disease, gastroesophageal reflux, extraesophageal manifestations, Barrett’s esophagus, high-resolution esophageal manometry, </w:t>
      </w:r>
      <w:r>
        <w:rPr>
          <w:sz w:val="18"/>
        </w:rPr>
        <w:t xml:space="preserve">24-hour pH-impedance monitoring </w:t>
      </w:r>
      <w:r>
        <w:rPr>
          <w:b/>
          <w:sz w:val="18"/>
        </w:rPr>
        <w:t>Conflict of interest:</w:t>
      </w:r>
      <w:r>
        <w:rPr>
          <w:sz w:val="18"/>
        </w:rPr>
        <w:t xml:space="preserve"> the authors declare no conflict of interest.</w:t>
      </w:r>
    </w:p>
    <w:p w:rsidR="006F5A4C" w:rsidRDefault="00730F7D">
      <w:pPr>
        <w:spacing w:after="8" w:line="248" w:lineRule="auto"/>
        <w:ind w:left="130" w:right="297" w:hanging="1"/>
        <w:jc w:val="both"/>
      </w:pPr>
      <w:r>
        <w:rPr>
          <w:b/>
          <w:sz w:val="16"/>
        </w:rPr>
        <w:t>For citation:</w:t>
      </w:r>
      <w:r>
        <w:rPr>
          <w:sz w:val="16"/>
        </w:rPr>
        <w:t xml:space="preserve"> Ivashkin V.T., Trukhmanov A.S., Maev I.V., Drapkina O.M., Livzan M.A., Martynov A.I., Lapina T.L., Paraskevova A.V., </w:t>
      </w:r>
    </w:p>
    <w:p w:rsidR="006F5A4C" w:rsidRDefault="00730F7D">
      <w:pPr>
        <w:spacing w:after="8" w:line="248" w:lineRule="auto"/>
        <w:ind w:left="130" w:right="297" w:hanging="1"/>
        <w:jc w:val="both"/>
      </w:pPr>
      <w:r>
        <w:rPr>
          <w:sz w:val="16"/>
        </w:rPr>
        <w:t>Andreev D.N., Alexeeva O.</w:t>
      </w:r>
      <w:r>
        <w:rPr>
          <w:sz w:val="16"/>
        </w:rPr>
        <w:t xml:space="preserve">P., Alekseenko S.A., Baranovsky A.Yu., Zayratyants O.V., Zolnikova O.Yu., Dronova O.B., Kliaritskaia I.L., </w:t>
      </w:r>
    </w:p>
    <w:p w:rsidR="006F5A4C" w:rsidRDefault="00730F7D">
      <w:pPr>
        <w:spacing w:after="568" w:line="248" w:lineRule="auto"/>
        <w:ind w:left="130" w:right="297" w:hanging="1"/>
        <w:jc w:val="both"/>
      </w:pPr>
      <w:r>
        <w:rPr>
          <w:sz w:val="16"/>
        </w:rPr>
        <w:t>Korochanskaya N.V., Kucheryavy Yu.A., Rumyantseva D.E., Mammaev S.N., Osipenko M.F., Pirogov S.S., Poluektova E.A., Saifutdinov R.G., Storonova O.A.</w:t>
      </w:r>
      <w:r>
        <w:rPr>
          <w:sz w:val="16"/>
        </w:rPr>
        <w:t xml:space="preserve">, Uspenskiy Yu.P., Khlynov I.B., Tsukanov V.V., Sheptulin A.A. Diagnosis and Treatment of Gastroesophageal Reflux Disease (Clinical Guidelines of the Russian Gastroenterological Association, Russian Scientific Medical Society of Internal Medicine, Russian </w:t>
      </w:r>
      <w:r>
        <w:rPr>
          <w:sz w:val="16"/>
        </w:rPr>
        <w:t>Society for the Prevention of Noncommunicable Diseases, Scientific Сommunity for Human Microbiome Research). Russian Journal of Gastroenterology, Hepatology, Coloproctology.  2024;34(5):111–135. https://doi. org/10.22416/1382-4376-2024-34-5-111-135</w:t>
      </w:r>
    </w:p>
    <w:p w:rsidR="006F5A4C" w:rsidRDefault="00730F7D">
      <w:pPr>
        <w:numPr>
          <w:ilvl w:val="0"/>
          <w:numId w:val="3"/>
        </w:numPr>
        <w:spacing w:after="3" w:line="254" w:lineRule="auto"/>
        <w:ind w:right="182" w:hanging="22"/>
        <w:jc w:val="both"/>
      </w:pPr>
      <w:r>
        <w:rPr>
          <w:rFonts w:ascii="Times New Roman" w:eastAsia="Times New Roman" w:hAnsi="Times New Roman" w:cs="Times New Roman"/>
          <w:b/>
          <w:color w:val="009EE3"/>
          <w:sz w:val="19"/>
        </w:rPr>
        <w:t>Краткая</w:t>
      </w:r>
      <w:r>
        <w:rPr>
          <w:rFonts w:ascii="Times New Roman" w:eastAsia="Times New Roman" w:hAnsi="Times New Roman" w:cs="Times New Roman"/>
          <w:b/>
          <w:color w:val="009EE3"/>
          <w:sz w:val="19"/>
        </w:rPr>
        <w:t xml:space="preserve"> информация о заболевании  </w:t>
      </w:r>
      <w:r>
        <w:rPr>
          <w:rFonts w:ascii="Times New Roman" w:eastAsia="Times New Roman" w:hAnsi="Times New Roman" w:cs="Times New Roman"/>
          <w:sz w:val="19"/>
        </w:rPr>
        <w:t>как желудочным, так и смешанным, включая ду</w:t>
      </w:r>
      <w:r>
        <w:rPr>
          <w:rFonts w:ascii="Times New Roman" w:eastAsia="Times New Roman" w:hAnsi="Times New Roman" w:cs="Times New Roman"/>
          <w:b/>
          <w:color w:val="009EE3"/>
          <w:sz w:val="29"/>
          <w:vertAlign w:val="superscript"/>
        </w:rPr>
        <w:t xml:space="preserve">или состоянии (группе заболеваний  </w:t>
      </w:r>
      <w:r>
        <w:rPr>
          <w:rFonts w:ascii="Times New Roman" w:eastAsia="Times New Roman" w:hAnsi="Times New Roman" w:cs="Times New Roman"/>
          <w:sz w:val="19"/>
        </w:rPr>
        <w:t>оденальное содержимое. В результате патологиче</w:t>
      </w:r>
      <w:r>
        <w:rPr>
          <w:rFonts w:ascii="Times New Roman" w:eastAsia="Times New Roman" w:hAnsi="Times New Roman" w:cs="Times New Roman"/>
          <w:b/>
          <w:color w:val="009EE3"/>
          <w:sz w:val="29"/>
          <w:vertAlign w:val="superscript"/>
        </w:rPr>
        <w:t xml:space="preserve">или состояний) </w:t>
      </w:r>
      <w:r>
        <w:rPr>
          <w:rFonts w:ascii="Times New Roman" w:eastAsia="Times New Roman" w:hAnsi="Times New Roman" w:cs="Times New Roman"/>
          <w:sz w:val="19"/>
        </w:rPr>
        <w:t xml:space="preserve">ского воздействия гастроэзофагеального рефлюктата на слизистую оболочку пищевода формируются </w:t>
      </w:r>
    </w:p>
    <w:p w:rsidR="006F5A4C" w:rsidRDefault="00730F7D">
      <w:pPr>
        <w:tabs>
          <w:tab w:val="center" w:pos="2450"/>
          <w:tab w:val="center" w:pos="7331"/>
        </w:tabs>
        <w:spacing w:after="47"/>
      </w:pPr>
      <w:r>
        <w:tab/>
      </w:r>
      <w:r>
        <w:rPr>
          <w:rFonts w:ascii="Times New Roman" w:eastAsia="Times New Roman" w:hAnsi="Times New Roman" w:cs="Times New Roman"/>
          <w:b/>
          <w:sz w:val="19"/>
        </w:rPr>
        <w:t xml:space="preserve">1.1. Определение заболевания или состояния </w:t>
      </w:r>
      <w:r>
        <w:rPr>
          <w:rFonts w:ascii="Times New Roman" w:eastAsia="Times New Roman" w:hAnsi="Times New Roman" w:cs="Times New Roman"/>
          <w:b/>
          <w:sz w:val="19"/>
        </w:rPr>
        <w:tab/>
      </w:r>
      <w:r>
        <w:rPr>
          <w:rFonts w:ascii="Times New Roman" w:eastAsia="Times New Roman" w:hAnsi="Times New Roman" w:cs="Times New Roman"/>
          <w:sz w:val="19"/>
        </w:rPr>
        <w:t>клинические симптомы, а при длительном воздей-</w:t>
      </w:r>
    </w:p>
    <w:p w:rsidR="006F5A4C" w:rsidRDefault="00730F7D">
      <w:pPr>
        <w:tabs>
          <w:tab w:val="center" w:pos="2058"/>
          <w:tab w:val="center" w:pos="7328"/>
        </w:tabs>
        <w:spacing w:after="69"/>
      </w:pPr>
      <w:r>
        <w:tab/>
      </w:r>
      <w:r>
        <w:rPr>
          <w:rFonts w:ascii="Times New Roman" w:eastAsia="Times New Roman" w:hAnsi="Times New Roman" w:cs="Times New Roman"/>
          <w:b/>
          <w:sz w:val="19"/>
        </w:rPr>
        <w:t>(группы заболеваний или состояний)</w:t>
      </w:r>
      <w:r>
        <w:rPr>
          <w:rFonts w:ascii="Times New Roman" w:eastAsia="Times New Roman" w:hAnsi="Times New Roman" w:cs="Times New Roman"/>
          <w:b/>
          <w:sz w:val="19"/>
        </w:rPr>
        <w:tab/>
      </w:r>
      <w:r>
        <w:rPr>
          <w:rFonts w:ascii="Times New Roman" w:eastAsia="Times New Roman" w:hAnsi="Times New Roman" w:cs="Times New Roman"/>
          <w:sz w:val="19"/>
        </w:rPr>
        <w:t>ствии в многослойном плоском эпите</w:t>
      </w:r>
      <w:r>
        <w:rPr>
          <w:rFonts w:ascii="Times New Roman" w:eastAsia="Times New Roman" w:hAnsi="Times New Roman" w:cs="Times New Roman"/>
          <w:sz w:val="19"/>
        </w:rPr>
        <w:t>лии могут раз-</w:t>
      </w:r>
    </w:p>
    <w:p w:rsidR="006F5A4C" w:rsidRDefault="00730F7D">
      <w:pPr>
        <w:spacing w:after="3" w:line="254" w:lineRule="auto"/>
        <w:ind w:left="5" w:right="181" w:firstLine="278"/>
        <w:jc w:val="both"/>
      </w:pPr>
      <w:r>
        <w:rPr>
          <w:rFonts w:ascii="Times New Roman" w:eastAsia="Times New Roman" w:hAnsi="Times New Roman" w:cs="Times New Roman"/>
          <w:i/>
          <w:sz w:val="19"/>
        </w:rPr>
        <w:t xml:space="preserve">Гастроэзофагеальная рефлюксная болезнь </w:t>
      </w:r>
      <w:r>
        <w:rPr>
          <w:rFonts w:ascii="Times New Roman" w:eastAsia="Times New Roman" w:hAnsi="Times New Roman" w:cs="Times New Roman"/>
          <w:sz w:val="19"/>
        </w:rPr>
        <w:t>виваться воспалительные, дистрофические, эрозив</w:t>
      </w:r>
      <w:r>
        <w:rPr>
          <w:rFonts w:ascii="Times New Roman" w:eastAsia="Times New Roman" w:hAnsi="Times New Roman" w:cs="Times New Roman"/>
          <w:i/>
          <w:sz w:val="19"/>
        </w:rPr>
        <w:t xml:space="preserve">(ГЭРБ) </w:t>
      </w:r>
      <w:r>
        <w:rPr>
          <w:rFonts w:ascii="Times New Roman" w:eastAsia="Times New Roman" w:hAnsi="Times New Roman" w:cs="Times New Roman"/>
          <w:sz w:val="19"/>
        </w:rPr>
        <w:t>— это хроническое заболевание, харак- но-язвенные и метапластические изменения [1, 2]. теризующееся первичным нарушением моторно- Одним из грозных о</w:t>
      </w:r>
      <w:r>
        <w:rPr>
          <w:rFonts w:ascii="Times New Roman" w:eastAsia="Times New Roman" w:hAnsi="Times New Roman" w:cs="Times New Roman"/>
          <w:sz w:val="19"/>
        </w:rPr>
        <w:t>сложнений ГЭРБ являетэвакуаторной функции верхних отделов желу- ся замещение многослойного плоского эпителия дочно-кишечного тракта, функции пищеводно- пищевода метаплазированным цилиндрическим желудочного перехода и наличием патологиче- эпителием кишечног</w:t>
      </w:r>
      <w:r>
        <w:rPr>
          <w:rFonts w:ascii="Times New Roman" w:eastAsia="Times New Roman" w:hAnsi="Times New Roman" w:cs="Times New Roman"/>
          <w:sz w:val="19"/>
        </w:rPr>
        <w:t>о типа (пищевод Баррета). ского гастроэзофагеального рефлюкса. Состав Пищевод Баррета (ПБ) является фактором риска гастроэзофагеального рефлюктата может быть, развития аденокарциномы пищевода (АКП).</w:t>
      </w:r>
    </w:p>
    <w:p w:rsidR="006F5A4C" w:rsidRDefault="006F5A4C">
      <w:pPr>
        <w:sectPr w:rsidR="006F5A4C">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5874"/>
          <w:pgMar w:top="1046" w:right="906" w:bottom="1126" w:left="1115" w:header="454" w:footer="484" w:gutter="0"/>
          <w:pgNumType w:start="111"/>
          <w:cols w:space="720"/>
        </w:sectPr>
      </w:pPr>
    </w:p>
    <w:p w:rsidR="006F5A4C" w:rsidRDefault="00730F7D">
      <w:pPr>
        <w:pStyle w:val="Heading1"/>
        <w:numPr>
          <w:ilvl w:val="0"/>
          <w:numId w:val="0"/>
        </w:numPr>
        <w:ind w:left="298" w:right="10"/>
      </w:pPr>
      <w:r>
        <w:t>1.2. Этиология и патогенез заболевания</w:t>
      </w:r>
    </w:p>
    <w:p w:rsidR="006F5A4C" w:rsidRDefault="00730F7D">
      <w:pPr>
        <w:spacing w:after="3" w:line="254" w:lineRule="auto"/>
        <w:ind w:left="5" w:right="13" w:firstLine="278"/>
        <w:jc w:val="both"/>
      </w:pPr>
      <w:r>
        <w:rPr>
          <w:rFonts w:ascii="Times New Roman" w:eastAsia="Times New Roman" w:hAnsi="Times New Roman" w:cs="Times New Roman"/>
          <w:sz w:val="19"/>
        </w:rPr>
        <w:t>В основе патогенеза ГЭРБ лежит нарушение функции пищеводно-желудочного перехода в сочетании с нарушением клиренса пищевода. Целостность слизистой оболочки пищевода обусловлена равновесием между факторами агрессии (частые и/или длительные гастроэзофагеальны</w:t>
      </w:r>
      <w:r>
        <w:rPr>
          <w:rFonts w:ascii="Times New Roman" w:eastAsia="Times New Roman" w:hAnsi="Times New Roman" w:cs="Times New Roman"/>
          <w:sz w:val="19"/>
        </w:rPr>
        <w:t>е рефлюксы (ГЭР)) и способностью слизистой оболочки противодействовать патологическому ГЭР [1].</w:t>
      </w:r>
    </w:p>
    <w:p w:rsidR="006F5A4C" w:rsidRDefault="00730F7D">
      <w:pPr>
        <w:spacing w:after="3" w:line="254" w:lineRule="auto"/>
        <w:ind w:left="5" w:right="13" w:firstLine="278"/>
        <w:jc w:val="both"/>
      </w:pPr>
      <w:r>
        <w:rPr>
          <w:rFonts w:ascii="Times New Roman" w:eastAsia="Times New Roman" w:hAnsi="Times New Roman" w:cs="Times New Roman"/>
          <w:sz w:val="19"/>
        </w:rPr>
        <w:t>На развитие ГЭРБ влияют наличие преходящих расслаблений нижнего пищеводного сфинктера (ПРНПС) и нарушение опорожнения желудка [9]. ПРНПС — это эпизоды кратковре</w:t>
      </w:r>
      <w:r>
        <w:rPr>
          <w:rFonts w:ascii="Times New Roman" w:eastAsia="Times New Roman" w:hAnsi="Times New Roman" w:cs="Times New Roman"/>
          <w:sz w:val="19"/>
        </w:rPr>
        <w:t>менного расслабления нижнего пищеводного сфинктера (НПС) вне акта глотка. Несмотря на то что они носят физиологический характер, увеличение количества ПРНПС в постпрандиальном периоде ведет к появлению патологического ГЭР у пациентов с ГЭРБ [10].</w:t>
      </w:r>
    </w:p>
    <w:p w:rsidR="006F5A4C" w:rsidRDefault="00730F7D">
      <w:pPr>
        <w:spacing w:after="3" w:line="254" w:lineRule="auto"/>
        <w:ind w:left="5" w:right="13" w:firstLine="278"/>
        <w:jc w:val="both"/>
      </w:pPr>
      <w:r>
        <w:rPr>
          <w:rFonts w:ascii="Times New Roman" w:eastAsia="Times New Roman" w:hAnsi="Times New Roman" w:cs="Times New Roman"/>
          <w:sz w:val="19"/>
        </w:rPr>
        <w:t>Наличие г</w:t>
      </w:r>
      <w:r>
        <w:rPr>
          <w:rFonts w:ascii="Times New Roman" w:eastAsia="Times New Roman" w:hAnsi="Times New Roman" w:cs="Times New Roman"/>
          <w:sz w:val="19"/>
        </w:rPr>
        <w:t>рыжи пищеводного отверстия диафрагмы (ГПОД) является важным патогенетическим фактором развития ГЭРБ [1, 3]. Пищеводножелудочный переход формирует антирефлюксный барьер, представленный гладкой мускулатурой НПС и окруженный косыми мышцами желудка. ГПОД предс</w:t>
      </w:r>
      <w:r>
        <w:rPr>
          <w:rFonts w:ascii="Times New Roman" w:eastAsia="Times New Roman" w:hAnsi="Times New Roman" w:cs="Times New Roman"/>
          <w:sz w:val="19"/>
        </w:rPr>
        <w:t>тавляет собой проксимальное смещение пищеводно-желудочного перехода, увеличивающее несостоятельность антирефлюксного барьера и количества ГЭР. Кроме того, у пациентов с ГПОД чаще определяются нарушения пищеводного клиренса, увеличение количества и продолжи</w:t>
      </w:r>
      <w:r>
        <w:rPr>
          <w:rFonts w:ascii="Times New Roman" w:eastAsia="Times New Roman" w:hAnsi="Times New Roman" w:cs="Times New Roman"/>
          <w:sz w:val="19"/>
        </w:rPr>
        <w:t>тельности ПРНПС [11].</w:t>
      </w:r>
    </w:p>
    <w:p w:rsidR="006F5A4C" w:rsidRDefault="00730F7D">
      <w:pPr>
        <w:spacing w:after="3" w:line="254" w:lineRule="auto"/>
        <w:ind w:left="5" w:right="13" w:firstLine="278"/>
        <w:jc w:val="both"/>
      </w:pPr>
      <w:r>
        <w:rPr>
          <w:rFonts w:ascii="Times New Roman" w:eastAsia="Times New Roman" w:hAnsi="Times New Roman" w:cs="Times New Roman"/>
          <w:sz w:val="19"/>
        </w:rPr>
        <w:t>Пищеводный клиренс защищает слизистую оболочку пищевода от патологического воздействия ГЭР. Выделяют объемный и химический пищеводный клиренс. Объемный клиренс определяется как очищение слизистой оболочки от рефлюктата во время перист</w:t>
      </w:r>
      <w:r>
        <w:rPr>
          <w:rFonts w:ascii="Times New Roman" w:eastAsia="Times New Roman" w:hAnsi="Times New Roman" w:cs="Times New Roman"/>
          <w:sz w:val="19"/>
        </w:rPr>
        <w:t>альтики пищевода, а химический обусловлен нейтрализующим действием бикарбонатов слюны [12].</w:t>
      </w:r>
    </w:p>
    <w:p w:rsidR="006F5A4C" w:rsidRDefault="00730F7D">
      <w:pPr>
        <w:spacing w:after="3" w:line="254" w:lineRule="auto"/>
        <w:ind w:left="5" w:right="13" w:firstLine="278"/>
        <w:jc w:val="both"/>
      </w:pPr>
      <w:r>
        <w:rPr>
          <w:rFonts w:ascii="Times New Roman" w:eastAsia="Times New Roman" w:hAnsi="Times New Roman" w:cs="Times New Roman"/>
          <w:sz w:val="19"/>
        </w:rPr>
        <w:t>Замедление моторно-эвакуаторной функции желудка и нарушение его опорожнения ведут к растяжению стенок желудка и увеличению внутрижелудочного давления, что, в свою о</w:t>
      </w:r>
      <w:r>
        <w:rPr>
          <w:rFonts w:ascii="Times New Roman" w:eastAsia="Times New Roman" w:hAnsi="Times New Roman" w:cs="Times New Roman"/>
          <w:sz w:val="19"/>
        </w:rPr>
        <w:t>чередь, провоцирует ПРНПС и увеличивает количество патологических ГЭР [11].</w:t>
      </w:r>
    </w:p>
    <w:p w:rsidR="006F5A4C" w:rsidRDefault="00730F7D">
      <w:pPr>
        <w:spacing w:after="3" w:line="254" w:lineRule="auto"/>
        <w:ind w:left="5" w:right="13" w:firstLine="278"/>
        <w:jc w:val="both"/>
      </w:pPr>
      <w:r>
        <w:rPr>
          <w:rFonts w:ascii="Times New Roman" w:eastAsia="Times New Roman" w:hAnsi="Times New Roman" w:cs="Times New Roman"/>
          <w:sz w:val="19"/>
        </w:rPr>
        <w:t>Патологический ГЭР вызывает высвобождение провоспалительных цитокинов и хемокинов, способствующих развитию эзофагита и его клинических проявлений [1, 3]. У пациентов с рефлюкс-эзоф</w:t>
      </w:r>
      <w:r>
        <w:rPr>
          <w:rFonts w:ascii="Times New Roman" w:eastAsia="Times New Roman" w:hAnsi="Times New Roman" w:cs="Times New Roman"/>
          <w:sz w:val="19"/>
        </w:rPr>
        <w:t>агитом отмечается увеличение экспрессии интерлейкина (ИЛ)-1β, ИЛ-8, интерферона-γ (ИФН-γ) [4]. Пациенты с высоким уровнем ИЛ-8 имеют более «яркую» клиническую и эндоскопическую картину ГЭРБ [5].</w:t>
      </w:r>
    </w:p>
    <w:p w:rsidR="006F5A4C" w:rsidRDefault="00730F7D">
      <w:pPr>
        <w:spacing w:after="3" w:line="254" w:lineRule="auto"/>
        <w:ind w:left="5" w:right="13" w:firstLine="278"/>
        <w:jc w:val="both"/>
      </w:pPr>
      <w:r>
        <w:rPr>
          <w:rFonts w:ascii="Times New Roman" w:eastAsia="Times New Roman" w:hAnsi="Times New Roman" w:cs="Times New Roman"/>
          <w:sz w:val="19"/>
        </w:rPr>
        <w:t>Важным компонентом в патогенезе развития ГЭРБ является наруше</w:t>
      </w:r>
      <w:r>
        <w:rPr>
          <w:rFonts w:ascii="Times New Roman" w:eastAsia="Times New Roman" w:hAnsi="Times New Roman" w:cs="Times New Roman"/>
          <w:sz w:val="19"/>
        </w:rPr>
        <w:t>ние строения и функционирования слизисто-эпителиального барьера пищевода, представленного преэпителиальным, эпителиальным и постэпителиальным уровнями [6]. Нарушение целостности эпителия слизистой оболочки пищевода и изменение ее барьерной функции приводят</w:t>
      </w:r>
      <w:r>
        <w:rPr>
          <w:rFonts w:ascii="Times New Roman" w:eastAsia="Times New Roman" w:hAnsi="Times New Roman" w:cs="Times New Roman"/>
          <w:sz w:val="19"/>
        </w:rPr>
        <w:t xml:space="preserve"> к воздействию ГЭР на субэпителиальном уровне, что ведет к висцеральной гиперчувствительности [6, 8].</w:t>
      </w:r>
    </w:p>
    <w:p w:rsidR="006F5A4C" w:rsidRDefault="00730F7D">
      <w:pPr>
        <w:spacing w:after="3" w:line="254" w:lineRule="auto"/>
        <w:ind w:left="5" w:right="13" w:firstLine="278"/>
        <w:jc w:val="both"/>
      </w:pPr>
      <w:r>
        <w:rPr>
          <w:rFonts w:ascii="Times New Roman" w:eastAsia="Times New Roman" w:hAnsi="Times New Roman" w:cs="Times New Roman"/>
          <w:sz w:val="19"/>
        </w:rPr>
        <w:t>У пациентов с ГЭРБ следует также обратить внимание на характер межклеточных соединений в слизистой оболочке эпителия пищевода. В исследовании, проведенном</w:t>
      </w:r>
      <w:r>
        <w:rPr>
          <w:rFonts w:ascii="Times New Roman" w:eastAsia="Times New Roman" w:hAnsi="Times New Roman" w:cs="Times New Roman"/>
          <w:sz w:val="19"/>
        </w:rPr>
        <w:t xml:space="preserve"> N.A. Tobey et al., было продемонстрировано, что размер межклеточных пространств в биоптатах слизистой пищевода был значительно больше у пациентов с жалобами на изжогу, чем в группе здоровых добровольцев [7].</w:t>
      </w:r>
    </w:p>
    <w:p w:rsidR="006F5A4C" w:rsidRDefault="00730F7D">
      <w:pPr>
        <w:spacing w:after="3" w:line="254" w:lineRule="auto"/>
        <w:ind w:left="5" w:right="13" w:firstLine="278"/>
        <w:jc w:val="both"/>
      </w:pPr>
      <w:r>
        <w:rPr>
          <w:rFonts w:ascii="Times New Roman" w:eastAsia="Times New Roman" w:hAnsi="Times New Roman" w:cs="Times New Roman"/>
          <w:sz w:val="19"/>
        </w:rPr>
        <w:t xml:space="preserve">Систематический анализ факторов риска развития </w:t>
      </w:r>
      <w:r>
        <w:rPr>
          <w:rFonts w:ascii="Times New Roman" w:eastAsia="Times New Roman" w:hAnsi="Times New Roman" w:cs="Times New Roman"/>
          <w:sz w:val="19"/>
        </w:rPr>
        <w:t>ГЭРБ показал, что симптомы заболевания чаще встречаются у лиц старше 50 лет, курящих, в анамнезе у которых есть прием нестероидных противовоспалительных препаратов (НПВС) и/или аспирина. При анализе 30 исследований было выявлено, что распространенность ГЭР</w:t>
      </w:r>
      <w:r>
        <w:rPr>
          <w:rFonts w:ascii="Times New Roman" w:eastAsia="Times New Roman" w:hAnsi="Times New Roman" w:cs="Times New Roman"/>
          <w:sz w:val="19"/>
        </w:rPr>
        <w:t>Б увеличивалась среди курящих лиц (ОШ — 19,6; 95%-ный ДИ (95% ДИ): 14,9–24,7), по сравнению с некурящими (ОШ — 15,9; 95% ДИ: 13,1–19,0). Анализ 10 исследований продемонстрировал, что среди пациентов, принимавших НПВС и/или аспирин, распространенность симпт</w:t>
      </w:r>
      <w:r>
        <w:rPr>
          <w:rFonts w:ascii="Times New Roman" w:eastAsia="Times New Roman" w:hAnsi="Times New Roman" w:cs="Times New Roman"/>
          <w:sz w:val="19"/>
        </w:rPr>
        <w:t>омов ГЭРБ была значительно выше (ОШ — 25,5; 95% ДИ: 18,4–33,3 vs. ОШ — 19,6; 95% ДИ: 14,5–25,1), чем у пациентов, которые эти лекарственные препараты не принимали (ОШ — 1,44; 95% ДИ: 1,10–1,88) [13].</w:t>
      </w:r>
    </w:p>
    <w:p w:rsidR="006F5A4C" w:rsidRDefault="00730F7D">
      <w:pPr>
        <w:spacing w:after="0"/>
        <w:ind w:left="10" w:right="74" w:hanging="10"/>
        <w:jc w:val="right"/>
      </w:pPr>
      <w:r>
        <w:rPr>
          <w:rFonts w:ascii="Times New Roman" w:eastAsia="Times New Roman" w:hAnsi="Times New Roman" w:cs="Times New Roman"/>
          <w:sz w:val="19"/>
        </w:rPr>
        <w:t xml:space="preserve">Еще одним важным фактором риска развития </w:t>
      </w:r>
    </w:p>
    <w:p w:rsidR="006F5A4C" w:rsidRDefault="00730F7D">
      <w:pPr>
        <w:spacing w:after="3" w:line="254" w:lineRule="auto"/>
        <w:ind w:left="5" w:right="13" w:firstLine="9"/>
        <w:jc w:val="both"/>
      </w:pPr>
      <w:r>
        <w:rPr>
          <w:rFonts w:ascii="Times New Roman" w:eastAsia="Times New Roman" w:hAnsi="Times New Roman" w:cs="Times New Roman"/>
          <w:sz w:val="19"/>
        </w:rPr>
        <w:t xml:space="preserve">ГЭРБ является </w:t>
      </w:r>
      <w:r>
        <w:rPr>
          <w:rFonts w:ascii="Times New Roman" w:eastAsia="Times New Roman" w:hAnsi="Times New Roman" w:cs="Times New Roman"/>
          <w:sz w:val="19"/>
        </w:rPr>
        <w:t>ожирение. При избыточной массе тела повышается внутрибрюшное давление и нарушается опорожнение желудка, что ведет к снижению давления покоя НПС, увеличению количества ПРНПС и частым патологическим ГЭР [13, 14]. Многие исследования демонстрируют влияние ожи</w:t>
      </w:r>
      <w:r>
        <w:rPr>
          <w:rFonts w:ascii="Times New Roman" w:eastAsia="Times New Roman" w:hAnsi="Times New Roman" w:cs="Times New Roman"/>
          <w:sz w:val="19"/>
        </w:rPr>
        <w:t>рения на тяжесть течения ГЭРБ. Систематический обзор и метаанализ 40 работ показал связь между абдоминальным ожирением и эрозивным эзофагитом, ПБ и АКП. Так, пациенты с абдоминальным ожирением имели более высокий риск развития эрозивного эзофагита (ОШ — 1,</w:t>
      </w:r>
      <w:r>
        <w:rPr>
          <w:rFonts w:ascii="Times New Roman" w:eastAsia="Times New Roman" w:hAnsi="Times New Roman" w:cs="Times New Roman"/>
          <w:sz w:val="19"/>
        </w:rPr>
        <w:t>87; 95% ДИ: 1,51–2,31), ПБ (ОШ — 1,98; 95% ДИ: 1,52–2,31) и АКП (ОШ — 2,51; 95% ДИ: 1,54–4,06) по сравнению с пациентами с нормальным индексом массы тела [15]. Последний метаанализ наглядно показал, что самая низкая распространенность ГЭРБ выявлена у лиц с</w:t>
      </w:r>
      <w:r>
        <w:rPr>
          <w:rFonts w:ascii="Times New Roman" w:eastAsia="Times New Roman" w:hAnsi="Times New Roman" w:cs="Times New Roman"/>
          <w:sz w:val="19"/>
        </w:rPr>
        <w:t xml:space="preserve"> ИМТ &lt; 18,5 кг/м</w:t>
      </w:r>
      <w:r>
        <w:rPr>
          <w:rFonts w:ascii="Times New Roman" w:eastAsia="Times New Roman" w:hAnsi="Times New Roman" w:cs="Times New Roman"/>
          <w:sz w:val="17"/>
          <w:vertAlign w:val="superscript"/>
        </w:rPr>
        <w:t>2</w:t>
      </w:r>
      <w:r>
        <w:rPr>
          <w:rFonts w:ascii="Times New Roman" w:eastAsia="Times New Roman" w:hAnsi="Times New Roman" w:cs="Times New Roman"/>
          <w:sz w:val="19"/>
        </w:rPr>
        <w:t xml:space="preserve"> (ОШ — 6,64; 95% ДИ: 3,40–110,82), тогда как самая высокая распространенность регистрировалась у лиц с ИМТ </w:t>
      </w:r>
    </w:p>
    <w:p w:rsidR="006F5A4C" w:rsidRDefault="00730F7D">
      <w:pPr>
        <w:spacing w:after="165" w:line="254" w:lineRule="auto"/>
        <w:ind w:left="5" w:right="13" w:firstLine="11"/>
        <w:jc w:val="both"/>
      </w:pPr>
      <w:r>
        <w:rPr>
          <w:rFonts w:ascii="Times New Roman" w:eastAsia="Times New Roman" w:hAnsi="Times New Roman" w:cs="Times New Roman"/>
          <w:sz w:val="19"/>
        </w:rPr>
        <w:t>≥ 30,0 кг/м</w:t>
      </w:r>
      <w:r>
        <w:rPr>
          <w:rFonts w:ascii="Times New Roman" w:eastAsia="Times New Roman" w:hAnsi="Times New Roman" w:cs="Times New Roman"/>
          <w:sz w:val="17"/>
          <w:vertAlign w:val="superscript"/>
        </w:rPr>
        <w:t>2</w:t>
      </w:r>
      <w:r>
        <w:rPr>
          <w:rFonts w:ascii="Times New Roman" w:eastAsia="Times New Roman" w:hAnsi="Times New Roman" w:cs="Times New Roman"/>
          <w:sz w:val="19"/>
        </w:rPr>
        <w:t xml:space="preserve"> (ОШ — 2,63; 95% ДИ: 17,33–128,41) [16]. Говоря об образе жизни пациентов с ожирением и ГЭРБ, следует отметить, что в д</w:t>
      </w:r>
      <w:r>
        <w:rPr>
          <w:rFonts w:ascii="Times New Roman" w:eastAsia="Times New Roman" w:hAnsi="Times New Roman" w:cs="Times New Roman"/>
          <w:sz w:val="19"/>
        </w:rPr>
        <w:t>анной группе пациентов на развитие патологического ГЭР влияет поздний ужин (&lt; 3 часов до сна) и еда в горизонтальном положении [17].</w:t>
      </w:r>
    </w:p>
    <w:p w:rsidR="006F5A4C" w:rsidRDefault="00730F7D">
      <w:pPr>
        <w:pStyle w:val="Heading1"/>
        <w:numPr>
          <w:ilvl w:val="0"/>
          <w:numId w:val="0"/>
        </w:numPr>
        <w:ind w:left="298" w:right="10"/>
      </w:pPr>
      <w:r>
        <w:t>1.3. Эпидемиология</w:t>
      </w:r>
    </w:p>
    <w:p w:rsidR="006F5A4C" w:rsidRDefault="00730F7D">
      <w:pPr>
        <w:spacing w:after="3" w:line="254" w:lineRule="auto"/>
        <w:ind w:left="5" w:right="13" w:firstLine="278"/>
        <w:jc w:val="both"/>
      </w:pPr>
      <w:r>
        <w:rPr>
          <w:rFonts w:ascii="Times New Roman" w:eastAsia="Times New Roman" w:hAnsi="Times New Roman" w:cs="Times New Roman"/>
          <w:sz w:val="19"/>
        </w:rPr>
        <w:t>ГЭРБ является наиболее частой причиной посещения пациентами поликлиник. Согласно последнему метаанализу,</w:t>
      </w:r>
      <w:r>
        <w:rPr>
          <w:rFonts w:ascii="Times New Roman" w:eastAsia="Times New Roman" w:hAnsi="Times New Roman" w:cs="Times New Roman"/>
          <w:sz w:val="19"/>
        </w:rPr>
        <w:t xml:space="preserve"> обобщившему результаты 102 исследований, глобальная распространенность ГЭРБ составляет 13,98 % (95% ДИ: 12,47– 15,56) [16]. Симптомы ГЭРБ снижают качество жизни и могут требовать изменения образа жизни, пожизненного приема лекарств, а также хирургического</w:t>
      </w:r>
      <w:r>
        <w:rPr>
          <w:rFonts w:ascii="Times New Roman" w:eastAsia="Times New Roman" w:hAnsi="Times New Roman" w:cs="Times New Roman"/>
          <w:sz w:val="19"/>
        </w:rPr>
        <w:t xml:space="preserve"> вмешательства [18].</w:t>
      </w:r>
    </w:p>
    <w:p w:rsidR="006F5A4C" w:rsidRDefault="00730F7D">
      <w:pPr>
        <w:spacing w:after="3" w:line="254" w:lineRule="auto"/>
        <w:ind w:left="5" w:right="13" w:firstLine="278"/>
        <w:jc w:val="both"/>
      </w:pPr>
      <w:r>
        <w:rPr>
          <w:rFonts w:ascii="Times New Roman" w:eastAsia="Times New Roman" w:hAnsi="Times New Roman" w:cs="Times New Roman"/>
          <w:sz w:val="19"/>
        </w:rPr>
        <w:t>В России опубликовано несколько крупных исследований по анализу распространенности ГЭРБ [19–21]. В крупном исследовании по распространенности изжоги («Анализ Распространенности Изжоги: нАциональное эпиДемиологическое исследоваНие взрос</w:t>
      </w:r>
      <w:r>
        <w:rPr>
          <w:rFonts w:ascii="Times New Roman" w:eastAsia="Times New Roman" w:hAnsi="Times New Roman" w:cs="Times New Roman"/>
          <w:sz w:val="19"/>
        </w:rPr>
        <w:t xml:space="preserve">лого городского нАселения (АРИАДНА)»), опубликованном в 2008 г., было опрошено 15 208 человек с конечным анализом данных 14 521 респондента. Исследование проводилось в таких крупных городах России, как Екатеринбург, </w:t>
      </w:r>
    </w:p>
    <w:p w:rsidR="006F5A4C" w:rsidRDefault="00730F7D">
      <w:pPr>
        <w:spacing w:after="3" w:line="254" w:lineRule="auto"/>
        <w:ind w:left="5" w:right="13"/>
        <w:jc w:val="both"/>
      </w:pPr>
      <w:r>
        <w:rPr>
          <w:rFonts w:ascii="Times New Roman" w:eastAsia="Times New Roman" w:hAnsi="Times New Roman" w:cs="Times New Roman"/>
          <w:sz w:val="19"/>
        </w:rPr>
        <w:t>Тюмень, Краснодар, Самара, Пермь, Казан</w:t>
      </w:r>
      <w:r>
        <w:rPr>
          <w:rFonts w:ascii="Times New Roman" w:eastAsia="Times New Roman" w:hAnsi="Times New Roman" w:cs="Times New Roman"/>
          <w:sz w:val="19"/>
        </w:rPr>
        <w:t xml:space="preserve">ь, </w:t>
      </w:r>
    </w:p>
    <w:p w:rsidR="006F5A4C" w:rsidRDefault="00730F7D">
      <w:pPr>
        <w:spacing w:after="3" w:line="254" w:lineRule="auto"/>
        <w:ind w:left="5" w:right="13"/>
        <w:jc w:val="both"/>
      </w:pPr>
      <w:r>
        <w:rPr>
          <w:rFonts w:ascii="Times New Roman" w:eastAsia="Times New Roman" w:hAnsi="Times New Roman" w:cs="Times New Roman"/>
          <w:sz w:val="19"/>
        </w:rPr>
        <w:t xml:space="preserve">Москва, Нижний Новгород, Кемерово, Новосибирск, </w:t>
      </w:r>
    </w:p>
    <w:p w:rsidR="006F5A4C" w:rsidRDefault="00730F7D">
      <w:pPr>
        <w:spacing w:after="3" w:line="254" w:lineRule="auto"/>
        <w:ind w:left="5" w:right="13" w:firstLine="4"/>
        <w:jc w:val="both"/>
      </w:pPr>
      <w:r>
        <w:rPr>
          <w:rFonts w:ascii="Times New Roman" w:eastAsia="Times New Roman" w:hAnsi="Times New Roman" w:cs="Times New Roman"/>
          <w:sz w:val="19"/>
        </w:rPr>
        <w:t>Красноярск. Полученные результаты показали, что 2/3 анкетируемых испытывали изжогу часто и постоянно, 22,7 % опрошенных испытывали изжогу более двух раз в неделю [19].</w:t>
      </w:r>
    </w:p>
    <w:p w:rsidR="006F5A4C" w:rsidRDefault="00730F7D">
      <w:pPr>
        <w:spacing w:after="3" w:line="254" w:lineRule="auto"/>
        <w:ind w:left="5" w:right="13" w:firstLine="278"/>
        <w:jc w:val="both"/>
      </w:pPr>
      <w:r>
        <w:rPr>
          <w:rFonts w:ascii="Times New Roman" w:eastAsia="Times New Roman" w:hAnsi="Times New Roman" w:cs="Times New Roman"/>
          <w:sz w:val="19"/>
        </w:rPr>
        <w:t xml:space="preserve">В еще одном исследовании, проводимом с 2006 по 2007 гг. с использованием опросника, созданного на основе опросника клиники Мэйо, было выявлено, что среди 7828 опрошенных 47,5 % респондентов когда-либо испытывали изжогу. Данное исследование проводилось в 6 </w:t>
      </w:r>
      <w:r>
        <w:rPr>
          <w:rFonts w:ascii="Times New Roman" w:eastAsia="Times New Roman" w:hAnsi="Times New Roman" w:cs="Times New Roman"/>
          <w:sz w:val="19"/>
        </w:rPr>
        <w:t>городах России: Казани, Кемерове, Красноярске, Рязани, СанктПетербурге, Саранске. По результатам этого исследования распространенность ГЭРБ среди населения составила 13,3 % [20].</w:t>
      </w:r>
    </w:p>
    <w:p w:rsidR="006F5A4C" w:rsidRDefault="00730F7D">
      <w:pPr>
        <w:spacing w:after="3" w:line="254" w:lineRule="auto"/>
        <w:ind w:left="5" w:right="13" w:firstLine="278"/>
        <w:jc w:val="both"/>
      </w:pPr>
      <w:r>
        <w:rPr>
          <w:rFonts w:ascii="Times New Roman" w:eastAsia="Times New Roman" w:hAnsi="Times New Roman" w:cs="Times New Roman"/>
          <w:sz w:val="19"/>
        </w:rPr>
        <w:t>Совсем недавно, в 2022 г., были опубликованы результаты многоцентрового иссле</w:t>
      </w:r>
      <w:r>
        <w:rPr>
          <w:rFonts w:ascii="Times New Roman" w:eastAsia="Times New Roman" w:hAnsi="Times New Roman" w:cs="Times New Roman"/>
          <w:sz w:val="19"/>
        </w:rPr>
        <w:t>дования по распространенности симптомов ГЭРБ у пациентов поликлиник в России. Исследование проводилось с 2015 по 2017 г. в Москве, Казани, Омске, Новосибирске, Ростове-на-Дону, Рязани, Твери и Челябинске. Анкетирование прошли 7216 человек, проанализировано</w:t>
      </w:r>
      <w:r>
        <w:rPr>
          <w:rFonts w:ascii="Times New Roman" w:eastAsia="Times New Roman" w:hAnsi="Times New Roman" w:cs="Times New Roman"/>
          <w:sz w:val="19"/>
        </w:rPr>
        <w:t xml:space="preserve"> было 6132 анкеты пациентов в возрасте от 18 до 90 лет. Распространенность ГЭРБ среди пациентов поликлиник составила 34,2 % [21].</w:t>
      </w:r>
    </w:p>
    <w:p w:rsidR="006F5A4C" w:rsidRDefault="00730F7D">
      <w:pPr>
        <w:spacing w:after="166" w:line="254" w:lineRule="auto"/>
        <w:ind w:left="5" w:right="13" w:firstLine="278"/>
        <w:jc w:val="both"/>
      </w:pPr>
      <w:r>
        <w:rPr>
          <w:rFonts w:ascii="Times New Roman" w:eastAsia="Times New Roman" w:hAnsi="Times New Roman" w:cs="Times New Roman"/>
          <w:sz w:val="19"/>
        </w:rPr>
        <w:t>Результаты проведенных крупных эпидемиологических исследований демонстрируют рост распространенности ГЭРБ среди населения Росс</w:t>
      </w:r>
      <w:r>
        <w:rPr>
          <w:rFonts w:ascii="Times New Roman" w:eastAsia="Times New Roman" w:hAnsi="Times New Roman" w:cs="Times New Roman"/>
          <w:sz w:val="19"/>
        </w:rPr>
        <w:t>ии. Как уже ранее было отмечено, одним из грозных осложнений ГЭРБ является ПБ, который, в свою очередь, является фактором риска развития АКП. Согласно недавнему метаанализу L.H. Eusebi et al. (2021 г.), обобщившему результаты 44 исследований, частота гисто</w:t>
      </w:r>
      <w:r>
        <w:rPr>
          <w:rFonts w:ascii="Times New Roman" w:eastAsia="Times New Roman" w:hAnsi="Times New Roman" w:cs="Times New Roman"/>
          <w:sz w:val="19"/>
        </w:rPr>
        <w:t>логически верифицированного ПБ у пациентов с ГЭРБ составляет 7,2 % (95% ДИ: 5,4–9,3), тогда как эндоскопические признаки ПБ выявляются у 12,0 % больных (95% ДИ: 5,5–20,3) [22]. Риск развития АКП у пациентов с ПБ без дисплазии эпителия составляет около 0,2–</w:t>
      </w:r>
      <w:r>
        <w:rPr>
          <w:rFonts w:ascii="Times New Roman" w:eastAsia="Times New Roman" w:hAnsi="Times New Roman" w:cs="Times New Roman"/>
          <w:sz w:val="19"/>
        </w:rPr>
        <w:t xml:space="preserve">0,5 % в год, при наличии дисплазии низкой степени ежегодный риск увеличивается до 0,7 %, а у пациентов с дисплазией высокой степени риск развития неоплазии составляет около 7 % в год [23]. В России заболеваемость раком пищевода в 2010 г. составляла 5,2 на </w:t>
      </w:r>
      <w:r>
        <w:rPr>
          <w:rFonts w:ascii="Times New Roman" w:eastAsia="Times New Roman" w:hAnsi="Times New Roman" w:cs="Times New Roman"/>
          <w:sz w:val="19"/>
        </w:rPr>
        <w:t>100 000 населения, а в 2020 г. — 5,4 на 100 000 населения [24]. Среднегодовой темп прироста заболеваемости составил 0,96 %, рост заболеваемости за 10 лет — 10,18 % [25].</w:t>
      </w:r>
    </w:p>
    <w:p w:rsidR="006F5A4C" w:rsidRDefault="00730F7D">
      <w:pPr>
        <w:spacing w:after="4"/>
        <w:ind w:left="282" w:right="726" w:hanging="10"/>
      </w:pPr>
      <w:r>
        <w:rPr>
          <w:rFonts w:ascii="Times New Roman" w:eastAsia="Times New Roman" w:hAnsi="Times New Roman" w:cs="Times New Roman"/>
          <w:b/>
          <w:sz w:val="19"/>
        </w:rPr>
        <w:t xml:space="preserve">1.4. Кодирование по МКБ-10 </w:t>
      </w:r>
      <w:r>
        <w:rPr>
          <w:rFonts w:ascii="Times New Roman" w:eastAsia="Times New Roman" w:hAnsi="Times New Roman" w:cs="Times New Roman"/>
          <w:sz w:val="19"/>
        </w:rPr>
        <w:t>K21 — Гастроэзофагеальный рефлюкс K21.0 — Гастроэзофагеальн</w:t>
      </w:r>
      <w:r>
        <w:rPr>
          <w:rFonts w:ascii="Times New Roman" w:eastAsia="Times New Roman" w:hAnsi="Times New Roman" w:cs="Times New Roman"/>
          <w:sz w:val="19"/>
        </w:rPr>
        <w:t>ый рефлюкс с эзофагитом</w:t>
      </w:r>
    </w:p>
    <w:p w:rsidR="006F5A4C" w:rsidRDefault="00730F7D">
      <w:pPr>
        <w:spacing w:after="4"/>
        <w:ind w:left="282" w:right="726" w:hanging="10"/>
      </w:pPr>
      <w:r>
        <w:rPr>
          <w:rFonts w:ascii="Times New Roman" w:eastAsia="Times New Roman" w:hAnsi="Times New Roman" w:cs="Times New Roman"/>
          <w:sz w:val="19"/>
        </w:rPr>
        <w:t>K21.9 — Гастроэзофагеальный рефлюкс без эзофагита K22.1 — Язва пищевода</w:t>
      </w:r>
    </w:p>
    <w:p w:rsidR="006F5A4C" w:rsidRDefault="00730F7D">
      <w:pPr>
        <w:spacing w:after="165" w:line="254" w:lineRule="auto"/>
        <w:ind w:left="284" w:right="13"/>
        <w:jc w:val="both"/>
      </w:pPr>
      <w:r>
        <w:rPr>
          <w:rFonts w:ascii="Times New Roman" w:eastAsia="Times New Roman" w:hAnsi="Times New Roman" w:cs="Times New Roman"/>
          <w:sz w:val="19"/>
        </w:rPr>
        <w:t>К22.7 – Пищевод Баррета</w:t>
      </w:r>
    </w:p>
    <w:p w:rsidR="006F5A4C" w:rsidRDefault="00730F7D">
      <w:pPr>
        <w:pStyle w:val="Heading1"/>
        <w:numPr>
          <w:ilvl w:val="0"/>
          <w:numId w:val="0"/>
        </w:numPr>
        <w:ind w:left="298" w:right="10"/>
      </w:pPr>
      <w:r>
        <w:t>1.5. Классификация</w:t>
      </w:r>
    </w:p>
    <w:p w:rsidR="006F5A4C" w:rsidRDefault="00730F7D">
      <w:pPr>
        <w:spacing w:after="3" w:line="254" w:lineRule="auto"/>
        <w:ind w:left="5" w:right="13" w:firstLine="278"/>
        <w:jc w:val="both"/>
      </w:pPr>
      <w:r>
        <w:rPr>
          <w:rFonts w:ascii="Times New Roman" w:eastAsia="Times New Roman" w:hAnsi="Times New Roman" w:cs="Times New Roman"/>
          <w:sz w:val="19"/>
        </w:rPr>
        <w:t>Согласно Монреальской классификации выделяют ГЭРБ с пищеводными и внепищеводными проявлениями [26].</w:t>
      </w:r>
    </w:p>
    <w:p w:rsidR="006F5A4C" w:rsidRDefault="00730F7D">
      <w:pPr>
        <w:spacing w:after="3" w:line="254" w:lineRule="auto"/>
        <w:ind w:left="5" w:right="13" w:firstLine="278"/>
        <w:jc w:val="both"/>
      </w:pPr>
      <w:r>
        <w:rPr>
          <w:rFonts w:ascii="Times New Roman" w:eastAsia="Times New Roman" w:hAnsi="Times New Roman" w:cs="Times New Roman"/>
          <w:i/>
          <w:sz w:val="19"/>
        </w:rPr>
        <w:t>К пищеводным проя</w:t>
      </w:r>
      <w:r>
        <w:rPr>
          <w:rFonts w:ascii="Times New Roman" w:eastAsia="Times New Roman" w:hAnsi="Times New Roman" w:cs="Times New Roman"/>
          <w:i/>
          <w:sz w:val="19"/>
        </w:rPr>
        <w:t>влениям ГЭРБ</w:t>
      </w:r>
      <w:r>
        <w:rPr>
          <w:rFonts w:ascii="Times New Roman" w:eastAsia="Times New Roman" w:hAnsi="Times New Roman" w:cs="Times New Roman"/>
          <w:sz w:val="19"/>
        </w:rPr>
        <w:t xml:space="preserve"> в первую очередь относят такие симптомы, как изжога и регургитация. Пациентов могут также беспокоить боль в эпигастрии, нарушение сна [26]. Клиническая картина ГЭРБ неспецифична, и необходимо проводить дифференциальный диагноз с такими заболев</w:t>
      </w:r>
      <w:r>
        <w:rPr>
          <w:rFonts w:ascii="Times New Roman" w:eastAsia="Times New Roman" w:hAnsi="Times New Roman" w:cs="Times New Roman"/>
          <w:sz w:val="19"/>
        </w:rPr>
        <w:t>аниями, как ахалазия кардии, эозинофильный эзофагит, гиперчувствительность к рефлюксу, функциональные расстройства, параэзофагеальная грыжа, а также сердечными и легочными заболеваниями [27].</w:t>
      </w:r>
    </w:p>
    <w:p w:rsidR="006F5A4C" w:rsidRDefault="00730F7D">
      <w:pPr>
        <w:spacing w:after="3" w:line="254" w:lineRule="auto"/>
        <w:ind w:left="5" w:right="13" w:firstLine="278"/>
        <w:jc w:val="both"/>
      </w:pPr>
      <w:r>
        <w:rPr>
          <w:rFonts w:ascii="Times New Roman" w:eastAsia="Times New Roman" w:hAnsi="Times New Roman" w:cs="Times New Roman"/>
          <w:sz w:val="19"/>
        </w:rPr>
        <w:t>Жалобы пациентов на изжогу и регургитацию остаются наиболее чувс</w:t>
      </w:r>
      <w:r>
        <w:rPr>
          <w:rFonts w:ascii="Times New Roman" w:eastAsia="Times New Roman" w:hAnsi="Times New Roman" w:cs="Times New Roman"/>
          <w:sz w:val="19"/>
        </w:rPr>
        <w:t>твительными (30–76 %) и специфичными (62–96 %) клиническими проявлениями ГЭРБ [28].</w:t>
      </w:r>
    </w:p>
    <w:p w:rsidR="006F5A4C" w:rsidRDefault="00730F7D">
      <w:pPr>
        <w:spacing w:after="3" w:line="254" w:lineRule="auto"/>
        <w:ind w:left="5" w:right="13" w:firstLine="278"/>
        <w:jc w:val="both"/>
      </w:pPr>
      <w:r>
        <w:rPr>
          <w:rFonts w:ascii="Times New Roman" w:eastAsia="Times New Roman" w:hAnsi="Times New Roman" w:cs="Times New Roman"/>
          <w:sz w:val="19"/>
        </w:rPr>
        <w:t>Наиболее изнурительна ночная изжога, так как она вызывает нарушения сна, что может приводить к дневной усталости, снижению выполнения повседневных задач, плохому настроению</w:t>
      </w:r>
      <w:r>
        <w:rPr>
          <w:rFonts w:ascii="Times New Roman" w:eastAsia="Times New Roman" w:hAnsi="Times New Roman" w:cs="Times New Roman"/>
          <w:sz w:val="19"/>
        </w:rPr>
        <w:t xml:space="preserve"> и ухудшению качества жизни пациентов с ГЭРБ [29–31]. До 75 % пациентов с ночной изжогой отмечают ее негативное влияние на качество сна [30].</w:t>
      </w:r>
    </w:p>
    <w:p w:rsidR="006F5A4C" w:rsidRDefault="00730F7D">
      <w:pPr>
        <w:spacing w:after="3" w:line="254" w:lineRule="auto"/>
        <w:ind w:left="5" w:right="13" w:firstLine="278"/>
        <w:jc w:val="both"/>
      </w:pPr>
      <w:r>
        <w:rPr>
          <w:rFonts w:ascii="Times New Roman" w:eastAsia="Times New Roman" w:hAnsi="Times New Roman" w:cs="Times New Roman"/>
          <w:sz w:val="19"/>
        </w:rPr>
        <w:t>Среди основных симптомов ГЭРБ можно выделить также отрыжку, которая встречается у 52 % больных, дисфагию и одинофа</w:t>
      </w:r>
      <w:r>
        <w:rPr>
          <w:rFonts w:ascii="Times New Roman" w:eastAsia="Times New Roman" w:hAnsi="Times New Roman" w:cs="Times New Roman"/>
          <w:sz w:val="19"/>
        </w:rPr>
        <w:t>гию, выявляемые у 19 % пациентов [32].</w:t>
      </w:r>
    </w:p>
    <w:p w:rsidR="006F5A4C" w:rsidRDefault="00730F7D">
      <w:pPr>
        <w:spacing w:after="3" w:line="254" w:lineRule="auto"/>
        <w:ind w:left="5" w:right="13" w:firstLine="278"/>
        <w:jc w:val="both"/>
      </w:pPr>
      <w:r>
        <w:rPr>
          <w:rFonts w:ascii="Times New Roman" w:eastAsia="Times New Roman" w:hAnsi="Times New Roman" w:cs="Times New Roman"/>
          <w:sz w:val="19"/>
        </w:rPr>
        <w:t>Некардиальная боль в грудной клетке является еще одним симптомом ГЭРБ. Патологический ГЭР может вызывать приступы боли за грудиной, по ходу пищевода, имитирующую коронарную боль, без сопутствующей изжоги или регургитации. Некардиальная боль в грудной клетк</w:t>
      </w:r>
      <w:r>
        <w:rPr>
          <w:rFonts w:ascii="Times New Roman" w:eastAsia="Times New Roman" w:hAnsi="Times New Roman" w:cs="Times New Roman"/>
          <w:sz w:val="19"/>
        </w:rPr>
        <w:t>е хоть и может купироваться приемом нитратов, но при проведении дифференциального диагноза следует обратить внимание на то, что она не связана с физической нагрузкой и обусловлена нарушениями перистальтики пищевода (неэффективная перистальтика пищевода, эз</w:t>
      </w:r>
      <w:r>
        <w:rPr>
          <w:rFonts w:ascii="Times New Roman" w:eastAsia="Times New Roman" w:hAnsi="Times New Roman" w:cs="Times New Roman"/>
          <w:sz w:val="19"/>
        </w:rPr>
        <w:t>офагоспазм). Также на некардиальную боль оказывает влияние снижение давления покоя нижнего пищеводного сфинктера, что способствует частым патологическим ГЭР [26, 32, 33].</w:t>
      </w:r>
    </w:p>
    <w:p w:rsidR="006F5A4C" w:rsidRDefault="00730F7D">
      <w:pPr>
        <w:spacing w:after="3" w:line="254" w:lineRule="auto"/>
        <w:ind w:left="5" w:right="13" w:firstLine="278"/>
        <w:jc w:val="both"/>
      </w:pPr>
      <w:r>
        <w:rPr>
          <w:rFonts w:ascii="Times New Roman" w:eastAsia="Times New Roman" w:hAnsi="Times New Roman" w:cs="Times New Roman"/>
          <w:i/>
          <w:sz w:val="19"/>
        </w:rPr>
        <w:t>К внепищеводным проявлениям ГЭРБ,</w:t>
      </w:r>
      <w:r>
        <w:rPr>
          <w:rFonts w:ascii="Times New Roman" w:eastAsia="Times New Roman" w:hAnsi="Times New Roman" w:cs="Times New Roman"/>
          <w:sz w:val="19"/>
        </w:rPr>
        <w:t xml:space="preserve"> </w:t>
      </w:r>
      <w:r>
        <w:rPr>
          <w:rFonts w:ascii="Times New Roman" w:eastAsia="Times New Roman" w:hAnsi="Times New Roman" w:cs="Times New Roman"/>
          <w:sz w:val="19"/>
        </w:rPr>
        <w:t>согласно Монреальской классификации, относят две группы симптомов, среди которых симптомы, достаточно убедительно связанные с ГЭРБ: хронический кашель, связанный с рефлюксом, хронический ларингит, бронхиальная астма, эрозии твердых тканей зубов, и те, связ</w:t>
      </w:r>
      <w:r>
        <w:rPr>
          <w:rFonts w:ascii="Times New Roman" w:eastAsia="Times New Roman" w:hAnsi="Times New Roman" w:cs="Times New Roman"/>
          <w:sz w:val="19"/>
        </w:rPr>
        <w:t>ь которых с ГЭРБ лишь предполагается: фарингит, синусит, легочный фиброз, средний отит [26, 32]. При этом внепищеводные проявления ГЭРБ редко протекают изолированно, без основных жалоб, характерных для ГЭРБ [26].</w:t>
      </w:r>
    </w:p>
    <w:p w:rsidR="006F5A4C" w:rsidRDefault="00730F7D">
      <w:pPr>
        <w:spacing w:after="3" w:line="254" w:lineRule="auto"/>
        <w:ind w:left="5" w:right="13" w:firstLine="278"/>
        <w:jc w:val="both"/>
      </w:pPr>
      <w:r>
        <w:rPr>
          <w:rFonts w:ascii="Times New Roman" w:eastAsia="Times New Roman" w:hAnsi="Times New Roman" w:cs="Times New Roman"/>
          <w:sz w:val="19"/>
        </w:rPr>
        <w:t>Для постановки диагноза ГЭРБ эти симптомы и</w:t>
      </w:r>
      <w:r>
        <w:rPr>
          <w:rFonts w:ascii="Times New Roman" w:eastAsia="Times New Roman" w:hAnsi="Times New Roman" w:cs="Times New Roman"/>
          <w:sz w:val="19"/>
        </w:rPr>
        <w:t>меют низкую чувствительность и специфичность. Использование в качестве основного метода диагностики ГЭРБ с внепищеводными проявлениями только положительного ответа на антисекреторную терапию может привести к несвоевременной диагностике других возможных при</w:t>
      </w:r>
      <w:r>
        <w:rPr>
          <w:rFonts w:ascii="Times New Roman" w:eastAsia="Times New Roman" w:hAnsi="Times New Roman" w:cs="Times New Roman"/>
          <w:sz w:val="19"/>
        </w:rPr>
        <w:t>чин данных жалоб, а именно заболеваний гортани и легких [3].</w:t>
      </w:r>
    </w:p>
    <w:p w:rsidR="006F5A4C" w:rsidRDefault="00730F7D">
      <w:pPr>
        <w:spacing w:after="3" w:line="254" w:lineRule="auto"/>
        <w:ind w:left="5" w:right="13" w:firstLine="278"/>
        <w:jc w:val="both"/>
      </w:pPr>
      <w:r>
        <w:rPr>
          <w:rFonts w:ascii="Times New Roman" w:eastAsia="Times New Roman" w:hAnsi="Times New Roman" w:cs="Times New Roman"/>
          <w:sz w:val="19"/>
        </w:rPr>
        <w:t>Недавно опубликованный метаанализ, обобщивший результаты 28 исследований с участием 4379 человек (2309 чел. — пациенты с ГЭРБ, 2070 чел. — группа контроля), показал, что обобщенная частота эрозий</w:t>
      </w:r>
      <w:r>
        <w:rPr>
          <w:rFonts w:ascii="Times New Roman" w:eastAsia="Times New Roman" w:hAnsi="Times New Roman" w:cs="Times New Roman"/>
          <w:sz w:val="19"/>
        </w:rPr>
        <w:t xml:space="preserve"> твердых тканей зубов у пациентов с ГЭРБ составила 51,524 % (95% ДИ: 39,742– 63,221), а в группе контроля — 21,351 % (95% ДИ: 9,234–36,807) [34]. Лечение внепищеводных проявлений ГЭРБ представляет собой сложную задачу. Даже при наличии подтвержденной ГЭРБ </w:t>
      </w:r>
      <w:r>
        <w:rPr>
          <w:rFonts w:ascii="Times New Roman" w:eastAsia="Times New Roman" w:hAnsi="Times New Roman" w:cs="Times New Roman"/>
          <w:sz w:val="19"/>
        </w:rPr>
        <w:t>трудно проследить причинно-следственную связь ГЭРБ с внепищеводными симптомами, особенно при отсутствии ответа на антисекреторную терапию ингибиторами протонной помпы [35]. Результаты метаанализа, опубликованного в 2016 г., продемонстрировали, что у пациен</w:t>
      </w:r>
      <w:r>
        <w:rPr>
          <w:rFonts w:ascii="Times New Roman" w:eastAsia="Times New Roman" w:hAnsi="Times New Roman" w:cs="Times New Roman"/>
          <w:sz w:val="19"/>
        </w:rPr>
        <w:t xml:space="preserve">тов с ларингофарингеальным рефлюксом (ЛФР), принимавшими ИПП и получавшими плацебо, статистически значимой разницы выявлено не было (ОШ — 1,22; 95% ДИ: 0,93–1,58; </w:t>
      </w:r>
      <w:r>
        <w:rPr>
          <w:rFonts w:ascii="Times New Roman" w:eastAsia="Times New Roman" w:hAnsi="Times New Roman" w:cs="Times New Roman"/>
          <w:i/>
          <w:sz w:val="19"/>
        </w:rPr>
        <w:t>р</w:t>
      </w:r>
      <w:r>
        <w:rPr>
          <w:rFonts w:ascii="Times New Roman" w:eastAsia="Times New Roman" w:hAnsi="Times New Roman" w:cs="Times New Roman"/>
          <w:sz w:val="19"/>
        </w:rPr>
        <w:t xml:space="preserve"> = 0,149) [36].</w:t>
      </w:r>
    </w:p>
    <w:p w:rsidR="006F5A4C" w:rsidRDefault="00730F7D">
      <w:pPr>
        <w:spacing w:after="3" w:line="254" w:lineRule="auto"/>
        <w:ind w:left="5" w:right="13" w:firstLine="278"/>
        <w:jc w:val="both"/>
      </w:pPr>
      <w:r>
        <w:rPr>
          <w:rFonts w:ascii="Times New Roman" w:eastAsia="Times New Roman" w:hAnsi="Times New Roman" w:cs="Times New Roman"/>
          <w:sz w:val="19"/>
        </w:rPr>
        <w:t xml:space="preserve">Першение в горле, осиплость голоса, сухой кашель могут быть результатом ЛФР </w:t>
      </w:r>
      <w:r>
        <w:rPr>
          <w:rFonts w:ascii="Times New Roman" w:eastAsia="Times New Roman" w:hAnsi="Times New Roman" w:cs="Times New Roman"/>
          <w:sz w:val="19"/>
        </w:rPr>
        <w:t>[32]. ЛФР представляет собой ретроградный заброс желудочного содержимого в глотку и гортань, вызывающий разнообразные симптомы [36]. Механизм развития ЛФР при ГЭРБ заключается в стимуляции желудочным содержимым афферентных путей блуждающего нерва и непосре</w:t>
      </w:r>
      <w:r>
        <w:rPr>
          <w:rFonts w:ascii="Times New Roman" w:eastAsia="Times New Roman" w:hAnsi="Times New Roman" w:cs="Times New Roman"/>
          <w:sz w:val="19"/>
        </w:rPr>
        <w:t>дственным действием на слизистую гортани ГЭР. По сравнению со слизистой оболочкой пищевода слизистые оболочки гортани и глотки менее устойчивы к действию патологического рефлюктата [36–38].</w:t>
      </w:r>
    </w:p>
    <w:p w:rsidR="006F5A4C" w:rsidRDefault="00730F7D">
      <w:pPr>
        <w:spacing w:after="3" w:line="254" w:lineRule="auto"/>
        <w:ind w:left="296" w:right="14"/>
        <w:jc w:val="both"/>
      </w:pPr>
      <w:r>
        <w:rPr>
          <w:rFonts w:ascii="Times New Roman" w:eastAsia="Times New Roman" w:hAnsi="Times New Roman" w:cs="Times New Roman"/>
          <w:i/>
          <w:sz w:val="19"/>
        </w:rPr>
        <w:t>Осложнения ГЭРБ</w:t>
      </w:r>
    </w:p>
    <w:p w:rsidR="006F5A4C" w:rsidRDefault="00730F7D">
      <w:pPr>
        <w:spacing w:after="3" w:line="254" w:lineRule="auto"/>
        <w:ind w:left="5" w:right="13" w:firstLine="278"/>
        <w:jc w:val="both"/>
      </w:pPr>
      <w:r>
        <w:rPr>
          <w:rFonts w:ascii="Times New Roman" w:eastAsia="Times New Roman" w:hAnsi="Times New Roman" w:cs="Times New Roman"/>
          <w:sz w:val="19"/>
        </w:rPr>
        <w:t>К осложнениям ГЭРБ относят кровотечения, стриктуры</w:t>
      </w:r>
      <w:r>
        <w:rPr>
          <w:rFonts w:ascii="Times New Roman" w:eastAsia="Times New Roman" w:hAnsi="Times New Roman" w:cs="Times New Roman"/>
          <w:sz w:val="19"/>
        </w:rPr>
        <w:t>, ПБ и АКП [26, 32]. ГЭРБ, осложненная кровотечением, встречается редко и наблюдается преимущественно у пациентов с эрозивно-язвенным эзофагитом [39].</w:t>
      </w:r>
    </w:p>
    <w:p w:rsidR="006F5A4C" w:rsidRDefault="00730F7D">
      <w:pPr>
        <w:spacing w:after="3" w:line="254" w:lineRule="auto"/>
        <w:ind w:left="5" w:right="13" w:firstLine="278"/>
        <w:jc w:val="both"/>
      </w:pPr>
      <w:r>
        <w:rPr>
          <w:rFonts w:ascii="Times New Roman" w:eastAsia="Times New Roman" w:hAnsi="Times New Roman" w:cs="Times New Roman"/>
          <w:sz w:val="19"/>
        </w:rPr>
        <w:t xml:space="preserve">Стриктуры пищевода развиваются в результате тяжелого течения ГЭРБ, когда воспаление в слизистой оболочке </w:t>
      </w:r>
      <w:r>
        <w:rPr>
          <w:rFonts w:ascii="Times New Roman" w:eastAsia="Times New Roman" w:hAnsi="Times New Roman" w:cs="Times New Roman"/>
          <w:sz w:val="19"/>
        </w:rPr>
        <w:t>пищевода приводит к сужению его просвета, что затрудняет прохождение пищи. Основной жалобой пациентов со стриктурой пищевода является дисфагия. В ведении пациентов со стриктурой в дополнение к антисекреторной терапии необходимо проведение эндоскопической д</w:t>
      </w:r>
      <w:r>
        <w:rPr>
          <w:rFonts w:ascii="Times New Roman" w:eastAsia="Times New Roman" w:hAnsi="Times New Roman" w:cs="Times New Roman"/>
          <w:sz w:val="19"/>
        </w:rPr>
        <w:t>илатации [26].</w:t>
      </w:r>
    </w:p>
    <w:p w:rsidR="006F5A4C" w:rsidRDefault="00730F7D">
      <w:pPr>
        <w:spacing w:after="166" w:line="254" w:lineRule="auto"/>
        <w:ind w:left="5" w:right="13" w:firstLine="278"/>
        <w:jc w:val="both"/>
      </w:pPr>
      <w:r>
        <w:rPr>
          <w:rFonts w:ascii="Times New Roman" w:eastAsia="Times New Roman" w:hAnsi="Times New Roman" w:cs="Times New Roman"/>
          <w:sz w:val="19"/>
        </w:rPr>
        <w:t>Риск развития ПБ у пациентов с ГЭРБ составляет 10–15 %. К факторам риска развития ПБ относят длительно текущую ГЭРБ, мужской пол, ожирение и возраст старше 50 лет [23]. В крупном систематическом обзоре и метаанализе, опубликованном в 2020 г.</w:t>
      </w:r>
      <w:r>
        <w:rPr>
          <w:rFonts w:ascii="Times New Roman" w:eastAsia="Times New Roman" w:hAnsi="Times New Roman" w:cs="Times New Roman"/>
          <w:sz w:val="19"/>
        </w:rPr>
        <w:t>, было продемонстрировано, что около 12 % пациентов с аденокарциномой пищевода ранее в анамнезе имели установленный диагноз ПБ [40].</w:t>
      </w:r>
    </w:p>
    <w:p w:rsidR="006F5A4C" w:rsidRDefault="00730F7D">
      <w:pPr>
        <w:spacing w:after="5" w:line="255" w:lineRule="auto"/>
        <w:ind w:left="291" w:right="130"/>
      </w:pPr>
      <w:r>
        <w:rPr>
          <w:rFonts w:ascii="Times New Roman" w:eastAsia="Times New Roman" w:hAnsi="Times New Roman" w:cs="Times New Roman"/>
          <w:b/>
          <w:color w:val="009EE3"/>
          <w:sz w:val="19"/>
        </w:rPr>
        <w:t>2. Диагностика заболевания или состояния  (группы заболеваний или состояний), медицинские показания и противопоказания  к п</w:t>
      </w:r>
      <w:r>
        <w:rPr>
          <w:rFonts w:ascii="Times New Roman" w:eastAsia="Times New Roman" w:hAnsi="Times New Roman" w:cs="Times New Roman"/>
          <w:b/>
          <w:color w:val="009EE3"/>
          <w:sz w:val="19"/>
        </w:rPr>
        <w:t xml:space="preserve">рименению методов диагностики </w:t>
      </w:r>
      <w:r>
        <w:rPr>
          <w:rFonts w:ascii="Times New Roman" w:eastAsia="Times New Roman" w:hAnsi="Times New Roman" w:cs="Times New Roman"/>
          <w:b/>
          <w:i/>
          <w:sz w:val="19"/>
        </w:rPr>
        <w:t xml:space="preserve">Критерии установления диагноза ГЭРБ </w:t>
      </w:r>
      <w:r>
        <w:rPr>
          <w:rFonts w:ascii="Times New Roman" w:eastAsia="Times New Roman" w:hAnsi="Times New Roman" w:cs="Times New Roman"/>
          <w:sz w:val="19"/>
        </w:rPr>
        <w:t>Диагноз ГЭРБ устанавливается на основании:</w:t>
      </w:r>
    </w:p>
    <w:p w:rsidR="006F5A4C" w:rsidRDefault="00730F7D">
      <w:pPr>
        <w:numPr>
          <w:ilvl w:val="0"/>
          <w:numId w:val="4"/>
        </w:numPr>
        <w:spacing w:after="3" w:line="254" w:lineRule="auto"/>
        <w:ind w:right="13" w:firstLine="278"/>
        <w:jc w:val="both"/>
      </w:pPr>
      <w:r>
        <w:rPr>
          <w:rFonts w:ascii="Times New Roman" w:eastAsia="Times New Roman" w:hAnsi="Times New Roman" w:cs="Times New Roman"/>
          <w:sz w:val="19"/>
        </w:rPr>
        <w:t>анамнестических данных (характерные жалобы, выявление ГЭРБ прежде);</w:t>
      </w:r>
    </w:p>
    <w:p w:rsidR="006F5A4C" w:rsidRDefault="00730F7D">
      <w:pPr>
        <w:numPr>
          <w:ilvl w:val="0"/>
          <w:numId w:val="4"/>
        </w:numPr>
        <w:spacing w:after="166" w:line="254" w:lineRule="auto"/>
        <w:ind w:right="13" w:firstLine="278"/>
        <w:jc w:val="both"/>
      </w:pPr>
      <w:r>
        <w:rPr>
          <w:rFonts w:ascii="Times New Roman" w:eastAsia="Times New Roman" w:hAnsi="Times New Roman" w:cs="Times New Roman"/>
          <w:sz w:val="19"/>
        </w:rPr>
        <w:t>инструментального обследования (обнаружение рефлюкс-эзофагита при эндоскопическ</w:t>
      </w:r>
      <w:r>
        <w:rPr>
          <w:rFonts w:ascii="Times New Roman" w:eastAsia="Times New Roman" w:hAnsi="Times New Roman" w:cs="Times New Roman"/>
          <w:sz w:val="19"/>
        </w:rPr>
        <w:t>ом исследовании пищевода, выявление патологического желудочно-пищеводного рефлюкса при рН-метрии и рН-импедансометрии).</w:t>
      </w:r>
    </w:p>
    <w:p w:rsidR="006F5A4C" w:rsidRDefault="00730F7D">
      <w:pPr>
        <w:pStyle w:val="Heading1"/>
        <w:numPr>
          <w:ilvl w:val="0"/>
          <w:numId w:val="0"/>
        </w:numPr>
        <w:ind w:left="298" w:right="10"/>
      </w:pPr>
      <w:r>
        <w:t>2.1. Жалобы и анамнез</w:t>
      </w:r>
    </w:p>
    <w:p w:rsidR="006F5A4C" w:rsidRDefault="00730F7D">
      <w:pPr>
        <w:spacing w:after="3" w:line="254" w:lineRule="auto"/>
        <w:ind w:left="5" w:right="13" w:firstLine="222"/>
        <w:jc w:val="both"/>
      </w:pPr>
      <w:r>
        <w:rPr>
          <w:rFonts w:ascii="Times New Roman" w:eastAsia="Times New Roman" w:hAnsi="Times New Roman" w:cs="Times New Roman"/>
          <w:sz w:val="19"/>
        </w:rPr>
        <w:t>• Всем пациентам с симптомами ГЭРБ необходимо разработать план обследования и определить тактику ведения [41].</w:t>
      </w:r>
    </w:p>
    <w:p w:rsidR="006F5A4C" w:rsidRDefault="00730F7D">
      <w:pPr>
        <w:spacing w:after="5" w:line="254" w:lineRule="auto"/>
        <w:ind w:left="10" w:firstLine="258"/>
      </w:pPr>
      <w:r>
        <w:rPr>
          <w:rFonts w:ascii="Times New Roman" w:eastAsia="Times New Roman" w:hAnsi="Times New Roman" w:cs="Times New Roman"/>
          <w:b/>
          <w:i/>
          <w:sz w:val="19"/>
        </w:rPr>
        <w:t>Уровень убедительности рекомендаций А (уровень достоверности доказательств — 1).</w:t>
      </w:r>
    </w:p>
    <w:p w:rsidR="006F5A4C" w:rsidRDefault="00730F7D">
      <w:pPr>
        <w:spacing w:after="166" w:line="254" w:lineRule="auto"/>
        <w:ind w:left="11" w:right="14" w:firstLine="284"/>
        <w:jc w:val="both"/>
      </w:pPr>
      <w:r>
        <w:rPr>
          <w:rFonts w:ascii="Times New Roman" w:eastAsia="Times New Roman" w:hAnsi="Times New Roman" w:cs="Times New Roman"/>
          <w:i/>
          <w:sz w:val="19"/>
        </w:rPr>
        <w:t>Комментарии:</w:t>
      </w:r>
      <w:r>
        <w:rPr>
          <w:rFonts w:ascii="Times New Roman" w:eastAsia="Times New Roman" w:hAnsi="Times New Roman" w:cs="Times New Roman"/>
          <w:sz w:val="19"/>
        </w:rPr>
        <w:t xml:space="preserve"> </w:t>
      </w:r>
      <w:r>
        <w:rPr>
          <w:rFonts w:ascii="Times New Roman" w:eastAsia="Times New Roman" w:hAnsi="Times New Roman" w:cs="Times New Roman"/>
          <w:i/>
          <w:sz w:val="19"/>
        </w:rPr>
        <w:t>изжога и регургитация являются основными характерными симптомами ГЭРБ. Традиционно изжога являлась основным симптомом, оцениваемым в клинических испытаниях, прово</w:t>
      </w:r>
      <w:r>
        <w:rPr>
          <w:rFonts w:ascii="Times New Roman" w:eastAsia="Times New Roman" w:hAnsi="Times New Roman" w:cs="Times New Roman"/>
          <w:i/>
          <w:sz w:val="19"/>
        </w:rPr>
        <w:t>димых у пациентов с ГЭРБ [42, 43]. Изжога является типичным симптомом ГЭРБ с высокой чувствительностью и специфичностью [41]. Так, для анализа эпидемиологии ГЭРБ в крупных систематических обзорах и метаанализах в качестве основного симптома ГЭРБ авторы час</w:t>
      </w:r>
      <w:r>
        <w:rPr>
          <w:rFonts w:ascii="Times New Roman" w:eastAsia="Times New Roman" w:hAnsi="Times New Roman" w:cs="Times New Roman"/>
          <w:i/>
          <w:sz w:val="19"/>
        </w:rPr>
        <w:t>то рассматривают жалобы на изжогу и регургитацию [44, 45].</w:t>
      </w:r>
    </w:p>
    <w:p w:rsidR="006F5A4C" w:rsidRDefault="00730F7D">
      <w:pPr>
        <w:pStyle w:val="Heading1"/>
        <w:numPr>
          <w:ilvl w:val="0"/>
          <w:numId w:val="0"/>
        </w:numPr>
        <w:ind w:left="298" w:right="10"/>
      </w:pPr>
      <w:r>
        <w:t>2.2. Инструментальная диагностика</w:t>
      </w:r>
    </w:p>
    <w:p w:rsidR="006F5A4C" w:rsidRDefault="00730F7D">
      <w:pPr>
        <w:spacing w:after="3" w:line="254" w:lineRule="auto"/>
        <w:ind w:left="5" w:right="13" w:firstLine="225"/>
        <w:jc w:val="both"/>
      </w:pPr>
      <w:r>
        <w:rPr>
          <w:rFonts w:ascii="Times New Roman" w:eastAsia="Times New Roman" w:hAnsi="Times New Roman" w:cs="Times New Roman"/>
          <w:sz w:val="19"/>
        </w:rPr>
        <w:t>•   Пациентам с симптомами ГЭРБ для подтверждения диагноза при отсутствии противопоказаний рекомендовано проведение эзофагогастродуоденоскопии (ЭГДС).</w:t>
      </w:r>
    </w:p>
    <w:p w:rsidR="006F5A4C" w:rsidRDefault="00730F7D">
      <w:pPr>
        <w:spacing w:after="0"/>
        <w:ind w:left="207"/>
        <w:jc w:val="center"/>
      </w:pPr>
      <w:r>
        <w:rPr>
          <w:rFonts w:ascii="Times New Roman" w:eastAsia="Times New Roman" w:hAnsi="Times New Roman" w:cs="Times New Roman"/>
          <w:b/>
          <w:i/>
          <w:sz w:val="19"/>
        </w:rPr>
        <w:t>Уровень убед</w:t>
      </w:r>
      <w:r>
        <w:rPr>
          <w:rFonts w:ascii="Times New Roman" w:eastAsia="Times New Roman" w:hAnsi="Times New Roman" w:cs="Times New Roman"/>
          <w:b/>
          <w:i/>
          <w:sz w:val="19"/>
        </w:rPr>
        <w:t>ительности рекомендаций C</w:t>
      </w:r>
    </w:p>
    <w:p w:rsidR="006F5A4C" w:rsidRDefault="00730F7D">
      <w:pPr>
        <w:spacing w:after="5" w:line="254" w:lineRule="auto"/>
        <w:ind w:left="10"/>
      </w:pPr>
      <w:r>
        <w:rPr>
          <w:rFonts w:ascii="Times New Roman" w:eastAsia="Times New Roman" w:hAnsi="Times New Roman" w:cs="Times New Roman"/>
          <w:b/>
          <w:i/>
          <w:sz w:val="19"/>
        </w:rPr>
        <w:t>(уровень достоверности доказательств — 5).</w:t>
      </w:r>
    </w:p>
    <w:p w:rsidR="006F5A4C" w:rsidRDefault="00730F7D">
      <w:pPr>
        <w:spacing w:after="3" w:line="254" w:lineRule="auto"/>
        <w:ind w:left="11" w:right="14" w:firstLine="284"/>
        <w:jc w:val="both"/>
      </w:pPr>
      <w:r>
        <w:rPr>
          <w:rFonts w:ascii="Times New Roman" w:eastAsia="Times New Roman" w:hAnsi="Times New Roman" w:cs="Times New Roman"/>
          <w:i/>
          <w:sz w:val="19"/>
        </w:rPr>
        <w:t xml:space="preserve">Комментарии: при проведении ЭГДС и выявлении эрозивно-язвенных изменений слизистой оболочки пищевода используется Лос-Анджелесская классификация, согласно которой выделяют четыре степени </w:t>
      </w:r>
      <w:r>
        <w:rPr>
          <w:rFonts w:ascii="Times New Roman" w:eastAsia="Times New Roman" w:hAnsi="Times New Roman" w:cs="Times New Roman"/>
          <w:i/>
          <w:sz w:val="19"/>
        </w:rPr>
        <w:t>эрозивного эзофагита: A–D степени [46].</w:t>
      </w:r>
    </w:p>
    <w:p w:rsidR="006F5A4C" w:rsidRDefault="00730F7D">
      <w:pPr>
        <w:spacing w:after="3" w:line="254" w:lineRule="auto"/>
        <w:ind w:left="11" w:right="14" w:firstLine="284"/>
        <w:jc w:val="both"/>
      </w:pPr>
      <w:r>
        <w:rPr>
          <w:rFonts w:ascii="Times New Roman" w:eastAsia="Times New Roman" w:hAnsi="Times New Roman" w:cs="Times New Roman"/>
          <w:i/>
          <w:sz w:val="19"/>
        </w:rPr>
        <w:t>Степень А — один (или более) участок поврежденной слизистой оболочки размером до 5 мм, расположенный на вершине складки.</w:t>
      </w:r>
    </w:p>
    <w:p w:rsidR="006F5A4C" w:rsidRDefault="00730F7D">
      <w:pPr>
        <w:spacing w:after="3" w:line="254" w:lineRule="auto"/>
        <w:ind w:left="11" w:right="14" w:firstLine="284"/>
        <w:jc w:val="both"/>
      </w:pPr>
      <w:r>
        <w:rPr>
          <w:rFonts w:ascii="Times New Roman" w:eastAsia="Times New Roman" w:hAnsi="Times New Roman" w:cs="Times New Roman"/>
          <w:i/>
          <w:sz w:val="19"/>
        </w:rPr>
        <w:t>Степень В — один (или более) участок поврежденной слизистой оболочки размером более 5 мм, распо</w:t>
      </w:r>
      <w:r>
        <w:rPr>
          <w:rFonts w:ascii="Times New Roman" w:eastAsia="Times New Roman" w:hAnsi="Times New Roman" w:cs="Times New Roman"/>
          <w:i/>
          <w:sz w:val="19"/>
        </w:rPr>
        <w:t>ложенный на вершине складки.</w:t>
      </w:r>
    </w:p>
    <w:p w:rsidR="006F5A4C" w:rsidRDefault="00730F7D">
      <w:pPr>
        <w:spacing w:after="3" w:line="254" w:lineRule="auto"/>
        <w:ind w:left="11" w:right="14" w:firstLine="284"/>
        <w:jc w:val="both"/>
      </w:pPr>
      <w:r>
        <w:rPr>
          <w:rFonts w:ascii="Times New Roman" w:eastAsia="Times New Roman" w:hAnsi="Times New Roman" w:cs="Times New Roman"/>
          <w:i/>
          <w:sz w:val="19"/>
        </w:rPr>
        <w:t>Степень С — один (или более) участок поврежденной слизистой оболочки, распространяющийся на слизистую оболочку между двумя или более складками с вовлечением менее 75 % окружности пищевода.</w:t>
      </w:r>
    </w:p>
    <w:p w:rsidR="006F5A4C" w:rsidRDefault="00730F7D">
      <w:pPr>
        <w:spacing w:after="3" w:line="254" w:lineRule="auto"/>
        <w:ind w:left="11" w:right="14" w:firstLine="284"/>
        <w:jc w:val="both"/>
      </w:pPr>
      <w:r>
        <w:rPr>
          <w:rFonts w:ascii="Times New Roman" w:eastAsia="Times New Roman" w:hAnsi="Times New Roman" w:cs="Times New Roman"/>
          <w:i/>
          <w:sz w:val="19"/>
        </w:rPr>
        <w:t>Степень D — один (или более) участок п</w:t>
      </w:r>
      <w:r>
        <w:rPr>
          <w:rFonts w:ascii="Times New Roman" w:eastAsia="Times New Roman" w:hAnsi="Times New Roman" w:cs="Times New Roman"/>
          <w:i/>
          <w:sz w:val="19"/>
        </w:rPr>
        <w:t>оврежденной слизистой оболочки с вовлечением более 75 % окружности пищевода.</w:t>
      </w:r>
    </w:p>
    <w:p w:rsidR="006F5A4C" w:rsidRDefault="00730F7D">
      <w:pPr>
        <w:spacing w:after="3" w:line="254" w:lineRule="auto"/>
        <w:ind w:left="11" w:right="14" w:firstLine="284"/>
        <w:jc w:val="both"/>
      </w:pPr>
      <w:r>
        <w:rPr>
          <w:rFonts w:ascii="Times New Roman" w:eastAsia="Times New Roman" w:hAnsi="Times New Roman" w:cs="Times New Roman"/>
          <w:i/>
          <w:sz w:val="19"/>
        </w:rPr>
        <w:t>Кроме этого, при эндоскопическом исследовании можно диагностировать ПБ с его оценкой по Пражской классификации при наличии морфологического подтверждения [41, 47].</w:t>
      </w:r>
    </w:p>
    <w:p w:rsidR="006F5A4C" w:rsidRDefault="00730F7D">
      <w:pPr>
        <w:spacing w:after="3" w:line="254" w:lineRule="auto"/>
        <w:ind w:left="11" w:right="14" w:firstLine="284"/>
        <w:jc w:val="both"/>
      </w:pPr>
      <w:r>
        <w:rPr>
          <w:rFonts w:ascii="Times New Roman" w:eastAsia="Times New Roman" w:hAnsi="Times New Roman" w:cs="Times New Roman"/>
          <w:i/>
          <w:sz w:val="19"/>
        </w:rPr>
        <w:t>Оценить замыкательную функцию кардии при эзофагогастродуоденоскопии достаточно сложно, так как рефлекторно в ответ на введение эндоскопа и инсуффляцию воздуха кардия открывается [32].</w:t>
      </w:r>
    </w:p>
    <w:p w:rsidR="006F5A4C" w:rsidRDefault="00730F7D">
      <w:pPr>
        <w:spacing w:after="3" w:line="254" w:lineRule="auto"/>
        <w:ind w:left="11" w:right="14" w:firstLine="284"/>
        <w:jc w:val="both"/>
      </w:pPr>
      <w:r>
        <w:rPr>
          <w:rFonts w:ascii="Times New Roman" w:eastAsia="Times New Roman" w:hAnsi="Times New Roman" w:cs="Times New Roman"/>
          <w:i/>
          <w:sz w:val="19"/>
        </w:rPr>
        <w:t>К изменениям, однозначно устанавливающим наличие у пациента ГЭРБ по резу</w:t>
      </w:r>
      <w:r>
        <w:rPr>
          <w:rFonts w:ascii="Times New Roman" w:eastAsia="Times New Roman" w:hAnsi="Times New Roman" w:cs="Times New Roman"/>
          <w:i/>
          <w:sz w:val="19"/>
        </w:rPr>
        <w:t>льтатам эзофагогастродуоденоскопии, относят эзофагиты степени С и D по Лос-Анджелесской классификации, ПБ, стриктуры пищевода [48]. Только у 30 % пациентов с изжогой, не получавших ранее терапию, выявляется эрозивный эзофагит. Среди пациентов с изжогой, по</w:t>
      </w:r>
      <w:r>
        <w:rPr>
          <w:rFonts w:ascii="Times New Roman" w:eastAsia="Times New Roman" w:hAnsi="Times New Roman" w:cs="Times New Roman"/>
          <w:i/>
          <w:sz w:val="19"/>
        </w:rPr>
        <w:t>лучавших антисекреторную терапию, эрозивный эзофагит диагностируется менее чем в 10 % случаев [49]. Эрозивный эзофагит степени А по Лос-Анджелесской классификации может обнаруживаться у 5–7,5 % здоровых добровольцев [1, 50–52]. Согласно данным Лионского ко</w:t>
      </w:r>
      <w:r>
        <w:rPr>
          <w:rFonts w:ascii="Times New Roman" w:eastAsia="Times New Roman" w:hAnsi="Times New Roman" w:cs="Times New Roman"/>
          <w:i/>
          <w:sz w:val="19"/>
        </w:rPr>
        <w:t>нсенсуса наличие эзофагита степени А у пациентов без клинических проявлений не является достаточным для установления диагноза эрозивной ГЭРБ [1, 3, 53].</w:t>
      </w:r>
    </w:p>
    <w:p w:rsidR="006F5A4C" w:rsidRDefault="00730F7D">
      <w:pPr>
        <w:spacing w:after="0"/>
        <w:ind w:right="75"/>
        <w:jc w:val="right"/>
      </w:pPr>
      <w:r>
        <w:rPr>
          <w:rFonts w:ascii="Times New Roman" w:eastAsia="Times New Roman" w:hAnsi="Times New Roman" w:cs="Times New Roman"/>
          <w:i/>
          <w:sz w:val="19"/>
        </w:rPr>
        <w:t>Эрозивный эзофагит степени В по Лос-</w:t>
      </w:r>
    </w:p>
    <w:p w:rsidR="006F5A4C" w:rsidRDefault="00730F7D">
      <w:pPr>
        <w:spacing w:after="3" w:line="254" w:lineRule="auto"/>
        <w:ind w:left="12" w:right="14" w:hanging="1"/>
        <w:jc w:val="both"/>
      </w:pPr>
      <w:r>
        <w:rPr>
          <w:rFonts w:ascii="Times New Roman" w:eastAsia="Times New Roman" w:hAnsi="Times New Roman" w:cs="Times New Roman"/>
          <w:i/>
          <w:sz w:val="19"/>
        </w:rPr>
        <w:t>Анджелесской классификации, при наличии типичных клинических симпт</w:t>
      </w:r>
      <w:r>
        <w:rPr>
          <w:rFonts w:ascii="Times New Roman" w:eastAsia="Times New Roman" w:hAnsi="Times New Roman" w:cs="Times New Roman"/>
          <w:i/>
          <w:sz w:val="19"/>
        </w:rPr>
        <w:t>омов, является диагностическим критерием ГЭРБ. Эрозивный эзофагит степени D по Лос-Анджелесской классификации является манифестацией тяжелой ГЭРБ [32, 41].</w:t>
      </w:r>
    </w:p>
    <w:p w:rsidR="006F5A4C" w:rsidRDefault="00730F7D">
      <w:pPr>
        <w:spacing w:after="3" w:line="254" w:lineRule="auto"/>
        <w:ind w:left="11" w:right="14" w:firstLine="284"/>
        <w:jc w:val="both"/>
      </w:pPr>
      <w:r>
        <w:rPr>
          <w:rFonts w:ascii="Times New Roman" w:eastAsia="Times New Roman" w:hAnsi="Times New Roman" w:cs="Times New Roman"/>
          <w:i/>
          <w:sz w:val="19"/>
        </w:rPr>
        <w:t>При сохранении жалоб эзофагогастродуоденоскопию целесообразно повторить через 2–4 недели после отмен</w:t>
      </w:r>
      <w:r>
        <w:rPr>
          <w:rFonts w:ascii="Times New Roman" w:eastAsia="Times New Roman" w:hAnsi="Times New Roman" w:cs="Times New Roman"/>
          <w:i/>
          <w:sz w:val="19"/>
        </w:rPr>
        <w:t xml:space="preserve">ы антисекреторной терапии для уточнения диагноза и проведения дифференциального диагноза с эозинофильным эзофагитом. </w:t>
      </w:r>
    </w:p>
    <w:p w:rsidR="006F5A4C" w:rsidRDefault="00730F7D">
      <w:pPr>
        <w:spacing w:after="3" w:line="254" w:lineRule="auto"/>
        <w:ind w:left="11" w:right="14" w:firstLine="4"/>
        <w:jc w:val="both"/>
      </w:pPr>
      <w:r>
        <w:rPr>
          <w:rFonts w:ascii="Times New Roman" w:eastAsia="Times New Roman" w:hAnsi="Times New Roman" w:cs="Times New Roman"/>
          <w:i/>
          <w:sz w:val="19"/>
        </w:rPr>
        <w:t>В свою очередь, эозинофильный эзофагит — это диагноз, требующий морфологического подтверждения. В биоптатах слизистой оболочки пищевода пр</w:t>
      </w:r>
      <w:r>
        <w:rPr>
          <w:rFonts w:ascii="Times New Roman" w:eastAsia="Times New Roman" w:hAnsi="Times New Roman" w:cs="Times New Roman"/>
          <w:i/>
          <w:sz w:val="19"/>
        </w:rPr>
        <w:t>и окраске гематоксилином и эозином при большом увеличении (</w:t>
      </w:r>
      <w:r>
        <w:rPr>
          <w:rFonts w:ascii="Times New Roman" w:eastAsia="Times New Roman" w:hAnsi="Times New Roman" w:cs="Times New Roman"/>
          <w:sz w:val="19"/>
        </w:rPr>
        <w:t>×</w:t>
      </w:r>
      <w:r>
        <w:rPr>
          <w:rFonts w:ascii="Times New Roman" w:eastAsia="Times New Roman" w:hAnsi="Times New Roman" w:cs="Times New Roman"/>
          <w:i/>
          <w:sz w:val="19"/>
        </w:rPr>
        <w:t>400) микроскопа определяется более 15 эозинофилов в поле зрения микроскопа [54].</w:t>
      </w:r>
    </w:p>
    <w:p w:rsidR="006F5A4C" w:rsidRDefault="00730F7D">
      <w:pPr>
        <w:spacing w:after="3" w:line="254" w:lineRule="auto"/>
        <w:ind w:left="5" w:right="13" w:firstLine="226"/>
        <w:jc w:val="both"/>
      </w:pPr>
      <w:r>
        <w:rPr>
          <w:rFonts w:ascii="Times New Roman" w:eastAsia="Times New Roman" w:hAnsi="Times New Roman" w:cs="Times New Roman"/>
          <w:sz w:val="19"/>
        </w:rPr>
        <w:t>• Пациентам с подозрением на ГЭРБ и отсутствием эрозивно-язвенных изменений слизистой оболочки пищевода или наличие</w:t>
      </w:r>
      <w:r>
        <w:rPr>
          <w:rFonts w:ascii="Times New Roman" w:eastAsia="Times New Roman" w:hAnsi="Times New Roman" w:cs="Times New Roman"/>
          <w:sz w:val="19"/>
        </w:rPr>
        <w:t>м эрозивного эзофагита степени А по Лос-Анджелесской классификации рекомендовано проведение суточной рН-метрии на фоне отмены ингибиторов протонной помпы для исключения или подтверждения диагноза ГЭРБ.</w:t>
      </w:r>
    </w:p>
    <w:p w:rsidR="006F5A4C" w:rsidRDefault="00730F7D">
      <w:pPr>
        <w:spacing w:after="5" w:line="254" w:lineRule="auto"/>
        <w:ind w:left="10" w:firstLine="258"/>
      </w:pPr>
      <w:r>
        <w:rPr>
          <w:rFonts w:ascii="Times New Roman" w:eastAsia="Times New Roman" w:hAnsi="Times New Roman" w:cs="Times New Roman"/>
          <w:b/>
          <w:i/>
          <w:sz w:val="19"/>
        </w:rPr>
        <w:t>Уровень убедительности рекомендаций C (уровень достове</w:t>
      </w:r>
      <w:r>
        <w:rPr>
          <w:rFonts w:ascii="Times New Roman" w:eastAsia="Times New Roman" w:hAnsi="Times New Roman" w:cs="Times New Roman"/>
          <w:b/>
          <w:i/>
          <w:sz w:val="19"/>
        </w:rPr>
        <w:t>рности доказательств — 5).</w:t>
      </w:r>
    </w:p>
    <w:p w:rsidR="006F5A4C" w:rsidRDefault="00730F7D">
      <w:pPr>
        <w:spacing w:after="3" w:line="254" w:lineRule="auto"/>
        <w:ind w:left="11" w:right="14" w:firstLine="284"/>
        <w:jc w:val="both"/>
      </w:pPr>
      <w:r>
        <w:rPr>
          <w:rFonts w:ascii="Times New Roman" w:eastAsia="Times New Roman" w:hAnsi="Times New Roman" w:cs="Times New Roman"/>
          <w:i/>
          <w:sz w:val="19"/>
        </w:rPr>
        <w:t>Комментарии: Внутрипищеводная суточная рН-метрия — метод диагностики, направленный на выявление патологического гастроэзофагеaльного рефлюкса. Основным показателем суточной рН-метрии является общее время с рН &lt; 4,0 единиц в пищев</w:t>
      </w:r>
      <w:r>
        <w:rPr>
          <w:rFonts w:ascii="Times New Roman" w:eastAsia="Times New Roman" w:hAnsi="Times New Roman" w:cs="Times New Roman"/>
          <w:i/>
          <w:sz w:val="19"/>
        </w:rPr>
        <w:t xml:space="preserve">оде. Согласно Лионскому консенсусу общее время с рН &lt; 4,0 единиц в пищеводе менее 4 % — норма, </w:t>
      </w:r>
    </w:p>
    <w:p w:rsidR="006F5A4C" w:rsidRDefault="00730F7D">
      <w:pPr>
        <w:spacing w:after="3" w:line="254" w:lineRule="auto"/>
        <w:ind w:left="18" w:right="14" w:hanging="7"/>
        <w:jc w:val="both"/>
      </w:pPr>
      <w:r>
        <w:rPr>
          <w:rFonts w:ascii="Times New Roman" w:eastAsia="Times New Roman" w:hAnsi="Times New Roman" w:cs="Times New Roman"/>
          <w:i/>
          <w:sz w:val="19"/>
        </w:rPr>
        <w:t>4–6 % — сомнительно в установлении диагноза ГЭРБ, более 6 % характерно для ГЭРБ [53].</w:t>
      </w:r>
    </w:p>
    <w:p w:rsidR="006F5A4C" w:rsidRDefault="00730F7D">
      <w:pPr>
        <w:spacing w:after="3" w:line="254" w:lineRule="auto"/>
        <w:ind w:left="11" w:right="14" w:firstLine="284"/>
        <w:jc w:val="both"/>
      </w:pPr>
      <w:r>
        <w:rPr>
          <w:rFonts w:ascii="Times New Roman" w:eastAsia="Times New Roman" w:hAnsi="Times New Roman" w:cs="Times New Roman"/>
          <w:i/>
          <w:sz w:val="19"/>
        </w:rPr>
        <w:t>Проведение суточной рН-импедансометрии пищевода является более информативным методом диагностики ГЭРБ, позволяющим диагностировать и слабокислые, и слабощелочные рефлюксы в пищевод, а не только кислые [55]. Согласно Лионскому консенсусу количество рефлюксо</w:t>
      </w:r>
      <w:r>
        <w:rPr>
          <w:rFonts w:ascii="Times New Roman" w:eastAsia="Times New Roman" w:hAnsi="Times New Roman" w:cs="Times New Roman"/>
          <w:i/>
          <w:sz w:val="19"/>
        </w:rPr>
        <w:t>в менее 40 по данным суточной рНимпедансометрии является физиологическим, 40––80 ГЭР — неубедительным для установления диагноза ГЭРБ, а более 80 рефлюксов является патологическим и характерным для ГЭРБ. Также рН-импедансометрия позволяет выявить патологиче</w:t>
      </w:r>
      <w:r>
        <w:rPr>
          <w:rFonts w:ascii="Times New Roman" w:eastAsia="Times New Roman" w:hAnsi="Times New Roman" w:cs="Times New Roman"/>
          <w:i/>
          <w:sz w:val="19"/>
        </w:rPr>
        <w:t>скую отрыжку и руминацию, которые необходимо дифференцировать с патологи-</w:t>
      </w:r>
    </w:p>
    <w:p w:rsidR="006F5A4C" w:rsidRDefault="00730F7D">
      <w:pPr>
        <w:spacing w:after="3" w:line="254" w:lineRule="auto"/>
        <w:ind w:left="11" w:right="14"/>
        <w:jc w:val="both"/>
      </w:pPr>
      <w:r>
        <w:rPr>
          <w:rFonts w:ascii="Times New Roman" w:eastAsia="Times New Roman" w:hAnsi="Times New Roman" w:cs="Times New Roman"/>
          <w:i/>
          <w:sz w:val="19"/>
        </w:rPr>
        <w:t>ческим ГЭР [53].</w:t>
      </w:r>
    </w:p>
    <w:p w:rsidR="006F5A4C" w:rsidRDefault="00730F7D">
      <w:pPr>
        <w:spacing w:after="3" w:line="254" w:lineRule="auto"/>
        <w:ind w:left="11" w:right="14" w:firstLine="284"/>
        <w:jc w:val="both"/>
      </w:pPr>
      <w:r>
        <w:rPr>
          <w:rFonts w:ascii="Times New Roman" w:eastAsia="Times New Roman" w:hAnsi="Times New Roman" w:cs="Times New Roman"/>
          <w:i/>
          <w:sz w:val="19"/>
        </w:rPr>
        <w:t>Такие дополнительные параметры импедансометрии, как средний ночной базальный импеданс (СНБИ) и индекс пост-рефлюксной глоток индуцированной перистальтической волны (ПГПВ), позволяют оценить клиренс пищевода, снижение резистентности его слизистой оболочки и</w:t>
      </w:r>
      <w:r>
        <w:rPr>
          <w:rFonts w:ascii="Times New Roman" w:eastAsia="Times New Roman" w:hAnsi="Times New Roman" w:cs="Times New Roman"/>
          <w:i/>
          <w:sz w:val="19"/>
        </w:rPr>
        <w:t xml:space="preserve"> эффективность перистальтики, тем самым повышая диагностическую ценность импедансометрии в установлении диагноза ГЭРБ </w:t>
      </w:r>
    </w:p>
    <w:p w:rsidR="006F5A4C" w:rsidRDefault="00730F7D">
      <w:pPr>
        <w:spacing w:after="3" w:line="254" w:lineRule="auto"/>
        <w:ind w:left="11" w:right="14"/>
        <w:jc w:val="both"/>
      </w:pPr>
      <w:r>
        <w:rPr>
          <w:rFonts w:ascii="Times New Roman" w:eastAsia="Times New Roman" w:hAnsi="Times New Roman" w:cs="Times New Roman"/>
          <w:i/>
          <w:sz w:val="19"/>
        </w:rPr>
        <w:t>[32, 48].</w:t>
      </w:r>
    </w:p>
    <w:p w:rsidR="006F5A4C" w:rsidRDefault="00730F7D">
      <w:pPr>
        <w:spacing w:after="3" w:line="254" w:lineRule="auto"/>
        <w:ind w:left="11" w:right="14" w:firstLine="284"/>
        <w:jc w:val="both"/>
      </w:pPr>
      <w:r>
        <w:rPr>
          <w:rFonts w:ascii="Times New Roman" w:eastAsia="Times New Roman" w:hAnsi="Times New Roman" w:cs="Times New Roman"/>
          <w:i/>
          <w:sz w:val="19"/>
        </w:rPr>
        <w:t>СНБИ — параметр, отражающий средний уровень базального импеданса слизистой оболочки пищевода. Уровень СНБИ коррелирует с воспал</w:t>
      </w:r>
      <w:r>
        <w:rPr>
          <w:rFonts w:ascii="Times New Roman" w:eastAsia="Times New Roman" w:hAnsi="Times New Roman" w:cs="Times New Roman"/>
          <w:i/>
          <w:sz w:val="19"/>
        </w:rPr>
        <w:t>ительными изменениями в пищеводе. Результаты проведенных исследований продемонстрировали, что этот показатель ниже у пациентов с эрозивным эзофагитом по сравнению с пациентами с неэрозивным рефлюкс эзофагитом [56, 57].</w:t>
      </w:r>
    </w:p>
    <w:p w:rsidR="006F5A4C" w:rsidRDefault="00730F7D">
      <w:pPr>
        <w:spacing w:after="3" w:line="254" w:lineRule="auto"/>
        <w:ind w:left="11" w:right="80" w:firstLine="284"/>
        <w:jc w:val="both"/>
      </w:pPr>
      <w:r>
        <w:rPr>
          <w:rFonts w:ascii="Times New Roman" w:eastAsia="Times New Roman" w:hAnsi="Times New Roman" w:cs="Times New Roman"/>
          <w:i/>
          <w:sz w:val="19"/>
        </w:rPr>
        <w:t>Индекс ПГПВ — еще один параметр импед</w:t>
      </w:r>
      <w:r>
        <w:rPr>
          <w:rFonts w:ascii="Times New Roman" w:eastAsia="Times New Roman" w:hAnsi="Times New Roman" w:cs="Times New Roman"/>
          <w:i/>
          <w:sz w:val="19"/>
        </w:rPr>
        <w:t>ансометрии для оценки химического пищеводного клиренса и эффективности двигательной функции пищевода. Может также рассматриваться как дополнительный критерий дифференциального диагноза между эрозивной и неэрозивной формами ГЭРБ [56].</w:t>
      </w:r>
    </w:p>
    <w:p w:rsidR="006F5A4C" w:rsidRDefault="00730F7D">
      <w:pPr>
        <w:spacing w:after="3" w:line="254" w:lineRule="auto"/>
        <w:ind w:left="11" w:right="14" w:firstLine="284"/>
        <w:jc w:val="both"/>
      </w:pPr>
      <w:r>
        <w:rPr>
          <w:rFonts w:ascii="Times New Roman" w:eastAsia="Times New Roman" w:hAnsi="Times New Roman" w:cs="Times New Roman"/>
          <w:i/>
          <w:sz w:val="19"/>
        </w:rPr>
        <w:t>Взаимосвязь между симп</w:t>
      </w:r>
      <w:r>
        <w:rPr>
          <w:rFonts w:ascii="Times New Roman" w:eastAsia="Times New Roman" w:hAnsi="Times New Roman" w:cs="Times New Roman"/>
          <w:i/>
          <w:sz w:val="19"/>
        </w:rPr>
        <w:t>томами и гастроэзофагеальным рефлюксом можно оценить с помощью индекс симптома и вероятности ассоциации симптома. Чтобы рассчитать индекс симптома, вычисляется отношение общего количества ГЭР, связанных с жалобами, к общему количеству жалоб в течение всего</w:t>
      </w:r>
      <w:r>
        <w:rPr>
          <w:rFonts w:ascii="Times New Roman" w:eastAsia="Times New Roman" w:hAnsi="Times New Roman" w:cs="Times New Roman"/>
          <w:i/>
          <w:sz w:val="19"/>
        </w:rPr>
        <w:t xml:space="preserve"> периода наблюдения. Индекс симптома более 50 % и вероятность ассоциации симптома более 95 % считаются положительными [3].</w:t>
      </w:r>
    </w:p>
    <w:p w:rsidR="006F5A4C" w:rsidRDefault="00730F7D">
      <w:pPr>
        <w:spacing w:after="3" w:line="254" w:lineRule="auto"/>
        <w:ind w:left="5" w:right="82" w:firstLine="221"/>
        <w:jc w:val="both"/>
      </w:pPr>
      <w:r>
        <w:rPr>
          <w:rFonts w:ascii="Times New Roman" w:eastAsia="Times New Roman" w:hAnsi="Times New Roman" w:cs="Times New Roman"/>
          <w:sz w:val="19"/>
        </w:rPr>
        <w:t>• Пациентам с ГЭРБ, с сохраняющимися на фоне терапии ингибиторами протонной помпы жалобами на изжогу, регургитацию и/или некардиальну</w:t>
      </w:r>
      <w:r>
        <w:rPr>
          <w:rFonts w:ascii="Times New Roman" w:eastAsia="Times New Roman" w:hAnsi="Times New Roman" w:cs="Times New Roman"/>
          <w:sz w:val="19"/>
        </w:rPr>
        <w:t>ю боль в груди, рекомендовано проведение суточной рН-импедансометрии на фоне терапии ингибиторами протонной помпы для исключения рефрактерной ГЭРБ.</w:t>
      </w:r>
    </w:p>
    <w:p w:rsidR="006F5A4C" w:rsidRDefault="00730F7D">
      <w:pPr>
        <w:spacing w:after="5" w:line="254" w:lineRule="auto"/>
        <w:ind w:left="10" w:firstLine="258"/>
      </w:pPr>
      <w:r>
        <w:rPr>
          <w:rFonts w:ascii="Times New Roman" w:eastAsia="Times New Roman" w:hAnsi="Times New Roman" w:cs="Times New Roman"/>
          <w:b/>
          <w:i/>
          <w:sz w:val="19"/>
        </w:rPr>
        <w:t>Уровень убедительности рекомендаций В (уровень достоверности доказательств — 3).</w:t>
      </w:r>
    </w:p>
    <w:p w:rsidR="006F5A4C" w:rsidRDefault="00730F7D">
      <w:pPr>
        <w:spacing w:after="3" w:line="254" w:lineRule="auto"/>
        <w:ind w:left="11" w:right="14" w:firstLine="284"/>
        <w:jc w:val="both"/>
      </w:pPr>
      <w:r>
        <w:rPr>
          <w:rFonts w:ascii="Times New Roman" w:eastAsia="Times New Roman" w:hAnsi="Times New Roman" w:cs="Times New Roman"/>
          <w:i/>
          <w:sz w:val="19"/>
        </w:rPr>
        <w:t>Комментарии: за последние т</w:t>
      </w:r>
      <w:r>
        <w:rPr>
          <w:rFonts w:ascii="Times New Roman" w:eastAsia="Times New Roman" w:hAnsi="Times New Roman" w:cs="Times New Roman"/>
          <w:i/>
          <w:sz w:val="19"/>
        </w:rPr>
        <w:t>ри десятилетия роль суточной рН-импедансометрии в диагностике ГЭРБ, в том числе рефрактерной, усилилась [58]. Суточная рН-импедансометрия у пациентов с сохраняющимися клиническими проявлениями ГЭРБ рекомендована на фоне антисекреторной терапии. С целью диа</w:t>
      </w:r>
      <w:r>
        <w:rPr>
          <w:rFonts w:ascii="Times New Roman" w:eastAsia="Times New Roman" w:hAnsi="Times New Roman" w:cs="Times New Roman"/>
          <w:i/>
          <w:sz w:val="19"/>
        </w:rPr>
        <w:t>гностики возможной гиперчувствительности к рефлюксу необходимо проведение суточной рН-импедансометрии, которая является «золотым стандартом» обследования пациентов с рефрактерной ГЭРБ [59]. Механизм развития гиперчувствительности пищевода до конца не ясен.</w:t>
      </w:r>
      <w:r>
        <w:rPr>
          <w:rFonts w:ascii="Times New Roman" w:eastAsia="Times New Roman" w:hAnsi="Times New Roman" w:cs="Times New Roman"/>
          <w:i/>
          <w:sz w:val="19"/>
        </w:rPr>
        <w:t xml:space="preserve"> Одним из возможных механизмов является воздействие гастроэзофагеального рефлюктата на нервные окончания слизистой оболочки пищевода [7, 60].</w:t>
      </w:r>
    </w:p>
    <w:p w:rsidR="006F5A4C" w:rsidRDefault="00730F7D">
      <w:pPr>
        <w:spacing w:after="3" w:line="254" w:lineRule="auto"/>
        <w:ind w:left="11" w:right="81" w:firstLine="284"/>
        <w:jc w:val="both"/>
      </w:pPr>
      <w:r>
        <w:rPr>
          <w:rFonts w:ascii="Times New Roman" w:eastAsia="Times New Roman" w:hAnsi="Times New Roman" w:cs="Times New Roman"/>
          <w:i/>
          <w:sz w:val="19"/>
        </w:rPr>
        <w:t xml:space="preserve">Причинами рефрактерности к терапии ингибиторами протонной помпы, кроме гиперчувствительности пищевода, могут быть </w:t>
      </w:r>
      <w:r>
        <w:rPr>
          <w:rFonts w:ascii="Times New Roman" w:eastAsia="Times New Roman" w:hAnsi="Times New Roman" w:cs="Times New Roman"/>
          <w:i/>
          <w:sz w:val="19"/>
        </w:rPr>
        <w:t>сохраняющийся патологический ГЭР или другие заболевания (ахалазия кардии, внепищеводные проявления ГЭРБ, функциональная изжога, болезни сердца) [61].</w:t>
      </w:r>
    </w:p>
    <w:p w:rsidR="006F5A4C" w:rsidRDefault="00730F7D">
      <w:pPr>
        <w:spacing w:after="3" w:line="254" w:lineRule="auto"/>
        <w:ind w:left="11" w:right="81" w:firstLine="284"/>
        <w:jc w:val="both"/>
      </w:pPr>
      <w:r>
        <w:rPr>
          <w:rFonts w:ascii="Times New Roman" w:eastAsia="Times New Roman" w:hAnsi="Times New Roman" w:cs="Times New Roman"/>
          <w:i/>
          <w:sz w:val="19"/>
        </w:rPr>
        <w:t>При выявлении по данным суточной рН-импедансометрии уровня общего времени с рН &lt; 4,0 единиц в пищеводе бол</w:t>
      </w:r>
      <w:r>
        <w:rPr>
          <w:rFonts w:ascii="Times New Roman" w:eastAsia="Times New Roman" w:hAnsi="Times New Roman" w:cs="Times New Roman"/>
          <w:i/>
          <w:sz w:val="19"/>
        </w:rPr>
        <w:t>ьше 6 % времени исследования на фоне антисекреторной терапии можно сделать вывод о неэффективности проводимой антисекреторной терапии.</w:t>
      </w:r>
    </w:p>
    <w:p w:rsidR="006F5A4C" w:rsidRDefault="00730F7D">
      <w:pPr>
        <w:spacing w:after="3" w:line="254" w:lineRule="auto"/>
        <w:ind w:left="11" w:right="14" w:firstLine="284"/>
        <w:jc w:val="both"/>
      </w:pPr>
      <w:r>
        <w:rPr>
          <w:rFonts w:ascii="Times New Roman" w:eastAsia="Times New Roman" w:hAnsi="Times New Roman" w:cs="Times New Roman"/>
          <w:i/>
          <w:sz w:val="19"/>
        </w:rPr>
        <w:t>При выявлении по данным суточной рН-импедансометрии общего времени с рН &lt; 4,0 единиц в пищеводе менее 4 % времени исследо</w:t>
      </w:r>
      <w:r>
        <w:rPr>
          <w:rFonts w:ascii="Times New Roman" w:eastAsia="Times New Roman" w:hAnsi="Times New Roman" w:cs="Times New Roman"/>
          <w:i/>
          <w:sz w:val="19"/>
        </w:rPr>
        <w:t>вания; физиологического количества рефлюксов (менее 40) можно предположить функциональное расстройство пищевода [35].</w:t>
      </w:r>
    </w:p>
    <w:p w:rsidR="006F5A4C" w:rsidRDefault="00730F7D">
      <w:pPr>
        <w:numPr>
          <w:ilvl w:val="0"/>
          <w:numId w:val="5"/>
        </w:numPr>
        <w:spacing w:after="3" w:line="254" w:lineRule="auto"/>
        <w:ind w:right="13" w:firstLine="228"/>
        <w:jc w:val="both"/>
      </w:pPr>
      <w:r>
        <w:rPr>
          <w:rFonts w:ascii="Times New Roman" w:eastAsia="Times New Roman" w:hAnsi="Times New Roman" w:cs="Times New Roman"/>
          <w:sz w:val="19"/>
        </w:rPr>
        <w:t>Пациентам с внепищеводными проявлениями ГЭРБ без классических симптомов (изжога, регургитация) рекомендовано проведение суточной рН-импеда</w:t>
      </w:r>
      <w:r>
        <w:rPr>
          <w:rFonts w:ascii="Times New Roman" w:eastAsia="Times New Roman" w:hAnsi="Times New Roman" w:cs="Times New Roman"/>
          <w:sz w:val="19"/>
        </w:rPr>
        <w:t>нсометрии с отменой терапии ингибиторами протонной помпы.</w:t>
      </w:r>
    </w:p>
    <w:p w:rsidR="006F5A4C" w:rsidRDefault="00730F7D">
      <w:pPr>
        <w:spacing w:after="5" w:line="254" w:lineRule="auto"/>
        <w:ind w:left="10" w:firstLine="258"/>
      </w:pPr>
      <w:r>
        <w:rPr>
          <w:rFonts w:ascii="Times New Roman" w:eastAsia="Times New Roman" w:hAnsi="Times New Roman" w:cs="Times New Roman"/>
          <w:b/>
          <w:i/>
          <w:sz w:val="19"/>
        </w:rPr>
        <w:t>Уровень убедительности рекомендаций С (уровень достоверности доказательств — 5).</w:t>
      </w:r>
    </w:p>
    <w:p w:rsidR="006F5A4C" w:rsidRDefault="00730F7D">
      <w:pPr>
        <w:spacing w:after="3" w:line="254" w:lineRule="auto"/>
        <w:ind w:left="11" w:right="14" w:firstLine="284"/>
        <w:jc w:val="both"/>
      </w:pPr>
      <w:r>
        <w:rPr>
          <w:rFonts w:ascii="Times New Roman" w:eastAsia="Times New Roman" w:hAnsi="Times New Roman" w:cs="Times New Roman"/>
          <w:i/>
          <w:sz w:val="19"/>
        </w:rPr>
        <w:t>Комментарии: для исследования внепищеводных проявлений суточная рН-импедансометрия проводится с отменой антисекреторной терапии [32]. Индекс симптома &gt; 50 %, вероятность ассоциации симптомов &gt; 95 % и высокий уровень времени с рН &lt; 4,0 единиц в пищеводе уве</w:t>
      </w:r>
      <w:r>
        <w:rPr>
          <w:rFonts w:ascii="Times New Roman" w:eastAsia="Times New Roman" w:hAnsi="Times New Roman" w:cs="Times New Roman"/>
          <w:i/>
          <w:sz w:val="19"/>
        </w:rPr>
        <w:t>личивают достоверность диагноза ГЭРБ [62]. Ранние исследования pH ротоглотки были многообещающими и демонстрировали связь с ЛФР. Однако в последующем результаты суточной рН-импедансометрии показали, что снижение pH в ротоглотке может быть связано не только</w:t>
      </w:r>
      <w:r>
        <w:rPr>
          <w:rFonts w:ascii="Times New Roman" w:eastAsia="Times New Roman" w:hAnsi="Times New Roman" w:cs="Times New Roman"/>
          <w:i/>
          <w:sz w:val="19"/>
        </w:rPr>
        <w:t xml:space="preserve"> с ЛФР [63, 64]. Для диагностики ЛФР рекомендуется применение современных комбинированных рН-импедансометрических зондов с расположением как минимум одного pH-датчика и одного импедансного канала на 1 см выше ВПС [65, 66].</w:t>
      </w:r>
    </w:p>
    <w:p w:rsidR="006F5A4C" w:rsidRDefault="00730F7D">
      <w:pPr>
        <w:numPr>
          <w:ilvl w:val="0"/>
          <w:numId w:val="5"/>
        </w:numPr>
        <w:spacing w:after="3" w:line="254" w:lineRule="auto"/>
        <w:ind w:right="13" w:firstLine="228"/>
        <w:jc w:val="both"/>
      </w:pPr>
      <w:r>
        <w:rPr>
          <w:rFonts w:ascii="Times New Roman" w:eastAsia="Times New Roman" w:hAnsi="Times New Roman" w:cs="Times New Roman"/>
          <w:sz w:val="19"/>
        </w:rPr>
        <w:t>При решении вопроса о хирургическ</w:t>
      </w:r>
      <w:r>
        <w:rPr>
          <w:rFonts w:ascii="Times New Roman" w:eastAsia="Times New Roman" w:hAnsi="Times New Roman" w:cs="Times New Roman"/>
          <w:sz w:val="19"/>
        </w:rPr>
        <w:t>ом лече-нии всем пациентам необходимо проведение манометрии пищевода высокого разрешения и суточной рН-импедансометрии. Манометрия пищевода высокого разрешения и суточная рН-импедансометрия являются «золотым стандартом» обследования пациентов с ГЭРБ при ре</w:t>
      </w:r>
      <w:r>
        <w:rPr>
          <w:rFonts w:ascii="Times New Roman" w:eastAsia="Times New Roman" w:hAnsi="Times New Roman" w:cs="Times New Roman"/>
          <w:sz w:val="19"/>
        </w:rPr>
        <w:t>шении вопроса о хирургическом лечении.</w:t>
      </w:r>
    </w:p>
    <w:p w:rsidR="006F5A4C" w:rsidRDefault="00730F7D">
      <w:pPr>
        <w:spacing w:after="5" w:line="254" w:lineRule="auto"/>
        <w:ind w:left="10" w:firstLine="258"/>
      </w:pPr>
      <w:r>
        <w:rPr>
          <w:rFonts w:ascii="Times New Roman" w:eastAsia="Times New Roman" w:hAnsi="Times New Roman" w:cs="Times New Roman"/>
          <w:b/>
          <w:i/>
          <w:sz w:val="19"/>
        </w:rPr>
        <w:t>Уровень убедительности рекомендаций А (уровень достоверности доказательств — 1).</w:t>
      </w:r>
    </w:p>
    <w:p w:rsidR="006F5A4C" w:rsidRDefault="00730F7D">
      <w:pPr>
        <w:spacing w:after="3" w:line="254" w:lineRule="auto"/>
        <w:ind w:left="11" w:right="14" w:firstLine="284"/>
        <w:jc w:val="both"/>
      </w:pPr>
      <w:r>
        <w:rPr>
          <w:rFonts w:ascii="Times New Roman" w:eastAsia="Times New Roman" w:hAnsi="Times New Roman" w:cs="Times New Roman"/>
          <w:i/>
          <w:sz w:val="19"/>
        </w:rPr>
        <w:t>Комментарии: перед проведением антирефлюксной операции рекомендовано проведение манометрии пищевода высокого разрешения для оценки сокра</w:t>
      </w:r>
      <w:r>
        <w:rPr>
          <w:rFonts w:ascii="Times New Roman" w:eastAsia="Times New Roman" w:hAnsi="Times New Roman" w:cs="Times New Roman"/>
          <w:i/>
          <w:sz w:val="19"/>
        </w:rPr>
        <w:t>тительного резерва пищевода и исключения ахалазии кардии [32]. Манометрия пищевода высокого разрешения  — это метод диагностики, направленный на исследование двигательной функции пищевода, оценку давления покоя верхнего и нижнего пищеводных сфинктеров [67]</w:t>
      </w:r>
      <w:r>
        <w:rPr>
          <w:rFonts w:ascii="Times New Roman" w:eastAsia="Times New Roman" w:hAnsi="Times New Roman" w:cs="Times New Roman"/>
          <w:i/>
          <w:sz w:val="19"/>
        </w:rPr>
        <w:t>. Низкое давление покоя нижнего пищеводного сфинктера и неэффективная перистальтика пищевода часто сопровождают тяжелые формы ГЭРБ. Кроме того, манометрия пищевода высокого разрешения позволяет оценить уровень нижнего пищеводного сфинктера для последующего</w:t>
      </w:r>
      <w:r>
        <w:rPr>
          <w:rFonts w:ascii="Times New Roman" w:eastAsia="Times New Roman" w:hAnsi="Times New Roman" w:cs="Times New Roman"/>
          <w:i/>
          <w:sz w:val="19"/>
        </w:rPr>
        <w:t xml:space="preserve"> установления зонда для проведения суточной рН-импедансометрии [3].</w:t>
      </w:r>
    </w:p>
    <w:p w:rsidR="006F5A4C" w:rsidRDefault="00730F7D">
      <w:pPr>
        <w:spacing w:after="3" w:line="254" w:lineRule="auto"/>
        <w:ind w:left="11" w:right="14" w:firstLine="284"/>
        <w:jc w:val="both"/>
      </w:pPr>
      <w:r>
        <w:rPr>
          <w:rFonts w:ascii="Times New Roman" w:eastAsia="Times New Roman" w:hAnsi="Times New Roman" w:cs="Times New Roman"/>
          <w:i/>
          <w:sz w:val="19"/>
        </w:rPr>
        <w:t>Современная манометрия пищевода высокого разрешения позволяет определить резерв сократительной способности грудного отдела пищевода, с помощью которого можно спрогнозировать вероятность во</w:t>
      </w:r>
      <w:r>
        <w:rPr>
          <w:rFonts w:ascii="Times New Roman" w:eastAsia="Times New Roman" w:hAnsi="Times New Roman" w:cs="Times New Roman"/>
          <w:i/>
          <w:sz w:val="19"/>
        </w:rPr>
        <w:t xml:space="preserve">зникновения осложнений в постоперационном периоде после фундопликации [67]. Проведение теста быстрых глотков позволяет спрогнозировать появление в первую очередь дисфагии, которая является наиболее частым осложнением у пациентов в постоперационном периоде </w:t>
      </w:r>
      <w:r>
        <w:rPr>
          <w:rFonts w:ascii="Times New Roman" w:eastAsia="Times New Roman" w:hAnsi="Times New Roman" w:cs="Times New Roman"/>
          <w:i/>
          <w:sz w:val="19"/>
        </w:rPr>
        <w:t>после антирефлюксного хирургического вмешательства [68]. Дисфагия является потенциальным осложнением антирефлюксной хирургии [69].</w:t>
      </w:r>
    </w:p>
    <w:p w:rsidR="006F5A4C" w:rsidRDefault="00730F7D">
      <w:pPr>
        <w:spacing w:after="3" w:line="254" w:lineRule="auto"/>
        <w:ind w:left="11" w:right="81" w:firstLine="284"/>
        <w:jc w:val="both"/>
      </w:pPr>
      <w:r>
        <w:rPr>
          <w:rFonts w:ascii="Times New Roman" w:eastAsia="Times New Roman" w:hAnsi="Times New Roman" w:cs="Times New Roman"/>
          <w:i/>
          <w:sz w:val="19"/>
        </w:rPr>
        <w:t>Манометрия пищевода высокого разрешения рекомендована пациентам с некардиальной болью в грудной клетке и пациентам, не отвеча</w:t>
      </w:r>
      <w:r>
        <w:rPr>
          <w:rFonts w:ascii="Times New Roman" w:eastAsia="Times New Roman" w:hAnsi="Times New Roman" w:cs="Times New Roman"/>
          <w:i/>
          <w:sz w:val="19"/>
        </w:rPr>
        <w:t>ющим на терапию ингибиторами протонной помпы, для уточнения диагноза [3].</w:t>
      </w:r>
    </w:p>
    <w:p w:rsidR="006F5A4C" w:rsidRDefault="00730F7D">
      <w:pPr>
        <w:spacing w:after="3" w:line="254" w:lineRule="auto"/>
        <w:ind w:left="11" w:right="14" w:firstLine="284"/>
        <w:jc w:val="both"/>
      </w:pPr>
      <w:r>
        <w:rPr>
          <w:rFonts w:ascii="Times New Roman" w:eastAsia="Times New Roman" w:hAnsi="Times New Roman" w:cs="Times New Roman"/>
          <w:i/>
          <w:sz w:val="19"/>
        </w:rPr>
        <w:t xml:space="preserve">Выполнение манометрии пищевода высокого разрешения в предоперационном периоде позволяет исключить наличие таких заболеваний, как первичные нарушения перистальтики пищевода: ахалазия </w:t>
      </w:r>
      <w:r>
        <w:rPr>
          <w:rFonts w:ascii="Times New Roman" w:eastAsia="Times New Roman" w:hAnsi="Times New Roman" w:cs="Times New Roman"/>
          <w:i/>
          <w:sz w:val="19"/>
        </w:rPr>
        <w:t>кардии или диффузный эзофагоспазм, а также определить уровень, на который необходимо будет в последующем установить зонд для проведения суточной рН-импедансометрии [70]. Пациентам с доказанным гиперконтрактильным пищеводом, ГЭРБ с нормальной функцией пищев</w:t>
      </w:r>
      <w:r>
        <w:rPr>
          <w:rFonts w:ascii="Times New Roman" w:eastAsia="Times New Roman" w:hAnsi="Times New Roman" w:cs="Times New Roman"/>
          <w:i/>
          <w:sz w:val="19"/>
        </w:rPr>
        <w:t>одно-желудочного перехода хирургическое лечение не показано [1].</w:t>
      </w:r>
    </w:p>
    <w:p w:rsidR="006F5A4C" w:rsidRDefault="00730F7D">
      <w:pPr>
        <w:spacing w:after="166" w:line="254" w:lineRule="auto"/>
        <w:ind w:left="5" w:right="81" w:firstLine="230"/>
        <w:jc w:val="both"/>
      </w:pPr>
      <w:r>
        <w:rPr>
          <w:rFonts w:ascii="Times New Roman" w:eastAsia="Times New Roman" w:hAnsi="Times New Roman" w:cs="Times New Roman"/>
          <w:sz w:val="19"/>
        </w:rPr>
        <w:t>• Рентгенологическое исследование пищевода с сульфатом бария не следует использовать в качестве непосредственной диагностики ГЭРБ [1, 3]. Выявление патологического рефлюкса путем рентгенологи</w:t>
      </w:r>
      <w:r>
        <w:rPr>
          <w:rFonts w:ascii="Times New Roman" w:eastAsia="Times New Roman" w:hAnsi="Times New Roman" w:cs="Times New Roman"/>
          <w:sz w:val="19"/>
        </w:rPr>
        <w:t>ческого исследования пищевода с бариевой взвесью является менее чувствительным и специфичным по сравнению с рН-импедансометрией [3]. Однако данное исследование необходимо для выявления ГПОД и определения ее типа.</w:t>
      </w:r>
    </w:p>
    <w:p w:rsidR="006F5A4C" w:rsidRDefault="00730F7D">
      <w:pPr>
        <w:spacing w:after="222" w:line="255" w:lineRule="auto"/>
        <w:ind w:left="291" w:right="130"/>
      </w:pPr>
      <w:r>
        <w:rPr>
          <w:rFonts w:ascii="Times New Roman" w:eastAsia="Times New Roman" w:hAnsi="Times New Roman" w:cs="Times New Roman"/>
          <w:b/>
          <w:color w:val="009EE3"/>
          <w:sz w:val="19"/>
        </w:rPr>
        <w:t>3. Лечение, включая медикаментозную  и неме</w:t>
      </w:r>
      <w:r>
        <w:rPr>
          <w:rFonts w:ascii="Times New Roman" w:eastAsia="Times New Roman" w:hAnsi="Times New Roman" w:cs="Times New Roman"/>
          <w:b/>
          <w:color w:val="009EE3"/>
          <w:sz w:val="19"/>
        </w:rPr>
        <w:t>дикаментозную терапии, диетотерапию, обезболивание, медицинские показания  и противопоказания к применению методов лечения</w:t>
      </w:r>
    </w:p>
    <w:p w:rsidR="006F5A4C" w:rsidRDefault="00730F7D">
      <w:pPr>
        <w:pStyle w:val="Heading1"/>
        <w:numPr>
          <w:ilvl w:val="0"/>
          <w:numId w:val="0"/>
        </w:numPr>
        <w:ind w:left="298" w:right="10"/>
      </w:pPr>
      <w:r>
        <w:t>3.1. Консервативное лечение</w:t>
      </w:r>
    </w:p>
    <w:p w:rsidR="006F5A4C" w:rsidRDefault="00730F7D">
      <w:pPr>
        <w:spacing w:after="3" w:line="254" w:lineRule="auto"/>
        <w:ind w:left="5" w:right="80" w:firstLine="278"/>
        <w:jc w:val="both"/>
      </w:pPr>
      <w:r>
        <w:rPr>
          <w:rFonts w:ascii="Times New Roman" w:eastAsia="Times New Roman" w:hAnsi="Times New Roman" w:cs="Times New Roman"/>
          <w:sz w:val="19"/>
        </w:rPr>
        <w:t>Большинство пациентов с нетяжелой формой ГЭРБ отмечают положительную динамику регресса и контроля симптомов при оптимизации образа жизни и питания, нормализации веса, использовании фармакотерапии, особенно ингибиторов протонной помпы. Основными группами пр</w:t>
      </w:r>
      <w:r>
        <w:rPr>
          <w:rFonts w:ascii="Times New Roman" w:eastAsia="Times New Roman" w:hAnsi="Times New Roman" w:cs="Times New Roman"/>
          <w:sz w:val="19"/>
        </w:rPr>
        <w:t>епаратов, используемых в лечении ГЭРБ, являются ингибиторы протонной помпы, калий-конкурентные блокаторы протонной помпы, альгинаты, антациды, прокинетики [71].</w:t>
      </w:r>
    </w:p>
    <w:p w:rsidR="006F5A4C" w:rsidRDefault="00730F7D">
      <w:pPr>
        <w:spacing w:after="3" w:line="254" w:lineRule="auto"/>
        <w:ind w:left="5" w:right="79" w:firstLine="226"/>
        <w:jc w:val="both"/>
      </w:pPr>
      <w:r>
        <w:rPr>
          <w:rFonts w:ascii="Times New Roman" w:eastAsia="Times New Roman" w:hAnsi="Times New Roman" w:cs="Times New Roman"/>
          <w:sz w:val="19"/>
        </w:rPr>
        <w:t xml:space="preserve">• Изменение образа жизни пациентов с ГЭРБ включает следующие рекомендации: снижение массы тела </w:t>
      </w:r>
      <w:r>
        <w:rPr>
          <w:rFonts w:ascii="Times New Roman" w:eastAsia="Times New Roman" w:hAnsi="Times New Roman" w:cs="Times New Roman"/>
          <w:sz w:val="19"/>
        </w:rPr>
        <w:t>для пациентов с избыточным весом, сон с приподнятым изголовьем кровати у пациентов с ночными симптомами, отказ от курения и употребления алкоголя, избегание позднего ужина, уменьшение в рационе продуктов, потенциально усугубляющих патологический рефлюкс (к</w:t>
      </w:r>
      <w:r>
        <w:rPr>
          <w:rFonts w:ascii="Times New Roman" w:eastAsia="Times New Roman" w:hAnsi="Times New Roman" w:cs="Times New Roman"/>
          <w:sz w:val="19"/>
        </w:rPr>
        <w:t>офе, шоколад, газированные напитки, острые и кислые продукты, цитрусовые, продукты с высоким содержанием жира).</w:t>
      </w:r>
    </w:p>
    <w:p w:rsidR="006F5A4C" w:rsidRDefault="00730F7D">
      <w:pPr>
        <w:spacing w:after="5" w:line="254" w:lineRule="auto"/>
        <w:ind w:left="10" w:firstLine="258"/>
      </w:pPr>
      <w:r>
        <w:rPr>
          <w:rFonts w:ascii="Times New Roman" w:eastAsia="Times New Roman" w:hAnsi="Times New Roman" w:cs="Times New Roman"/>
          <w:b/>
          <w:i/>
          <w:sz w:val="19"/>
        </w:rPr>
        <w:t>Уровень убедительности рекомендаций С (уровень достоверности доказательств — 5).</w:t>
      </w:r>
    </w:p>
    <w:p w:rsidR="006F5A4C" w:rsidRDefault="00730F7D">
      <w:pPr>
        <w:spacing w:after="3" w:line="254" w:lineRule="auto"/>
        <w:ind w:left="11" w:right="14" w:firstLine="284"/>
        <w:jc w:val="both"/>
      </w:pPr>
      <w:r>
        <w:rPr>
          <w:rFonts w:ascii="Times New Roman" w:eastAsia="Times New Roman" w:hAnsi="Times New Roman" w:cs="Times New Roman"/>
          <w:i/>
          <w:sz w:val="19"/>
        </w:rPr>
        <w:t>Комментарии: неправильные пищевые привычки, переедание и ночные</w:t>
      </w:r>
      <w:r>
        <w:rPr>
          <w:rFonts w:ascii="Times New Roman" w:eastAsia="Times New Roman" w:hAnsi="Times New Roman" w:cs="Times New Roman"/>
          <w:i/>
          <w:sz w:val="19"/>
        </w:rPr>
        <w:t xml:space="preserve"> «перекусы» влияют на развитие ГЭРБ. Анализ 50 статей, касающихся диеты и образа жизни пациентов с ГЭРБ, продемонстрировал положительную корреляционную связь между рефлюкс-эзофагитом и чрезмерным потреблением кофе и чая. Анализ данных 60 718 пациентов, сре</w:t>
      </w:r>
      <w:r>
        <w:rPr>
          <w:rFonts w:ascii="Times New Roman" w:eastAsia="Times New Roman" w:hAnsi="Times New Roman" w:cs="Times New Roman"/>
          <w:i/>
          <w:sz w:val="19"/>
        </w:rPr>
        <w:t xml:space="preserve">ди которых было 38 104 мужчины и 22 614 женщин, среди которых у 1438 был подтвержден диагноз рефлюкс-эзофагита, показал, что злоупотребление жирной едой, курение и употребление алкоголя положительно коррелируют с развитием рефлюксэзофагита. В то время как </w:t>
      </w:r>
      <w:r>
        <w:rPr>
          <w:rFonts w:ascii="Times New Roman" w:eastAsia="Times New Roman" w:hAnsi="Times New Roman" w:cs="Times New Roman"/>
          <w:i/>
          <w:sz w:val="19"/>
        </w:rPr>
        <w:t>соблюдение вегетарианской диеты, наличие в рационе фруктов и овощей отрицательно коррелировало с риском развития ГЭРБ [72].</w:t>
      </w:r>
    </w:p>
    <w:p w:rsidR="006F5A4C" w:rsidRDefault="00730F7D">
      <w:pPr>
        <w:spacing w:after="3" w:line="254" w:lineRule="auto"/>
        <w:ind w:left="11" w:right="14" w:firstLine="284"/>
        <w:jc w:val="both"/>
      </w:pPr>
      <w:r>
        <w:rPr>
          <w:rFonts w:ascii="Times New Roman" w:eastAsia="Times New Roman" w:hAnsi="Times New Roman" w:cs="Times New Roman"/>
          <w:i/>
          <w:sz w:val="19"/>
        </w:rPr>
        <w:t xml:space="preserve">В систематическом обзоре 2017 г. было продемонстрировано, что симптомы ГЭРБ чаще встречаются у пациентов в возрасте старше 50 лет с </w:t>
      </w:r>
      <w:r>
        <w:rPr>
          <w:rFonts w:ascii="Times New Roman" w:eastAsia="Times New Roman" w:hAnsi="Times New Roman" w:cs="Times New Roman"/>
          <w:i/>
          <w:sz w:val="19"/>
        </w:rPr>
        <w:t>ожирением [13].</w:t>
      </w:r>
    </w:p>
    <w:p w:rsidR="006F5A4C" w:rsidRDefault="00730F7D">
      <w:pPr>
        <w:spacing w:after="3" w:line="254" w:lineRule="auto"/>
        <w:ind w:left="11" w:right="14" w:firstLine="284"/>
        <w:jc w:val="both"/>
      </w:pPr>
      <w:r>
        <w:rPr>
          <w:rFonts w:ascii="Times New Roman" w:eastAsia="Times New Roman" w:hAnsi="Times New Roman" w:cs="Times New Roman"/>
          <w:i/>
          <w:sz w:val="19"/>
        </w:rPr>
        <w:t>Первым шагом в лечении ГЭРБ является модификация образа жизни с рекомендациями по питанию, такими как увеличение потребления клетчатки и снижение содержания жира в пище [73].</w:t>
      </w:r>
    </w:p>
    <w:p w:rsidR="006F5A4C" w:rsidRDefault="00730F7D">
      <w:pPr>
        <w:spacing w:after="3" w:line="254" w:lineRule="auto"/>
        <w:ind w:left="11" w:right="14" w:firstLine="284"/>
        <w:jc w:val="both"/>
      </w:pPr>
      <w:r>
        <w:rPr>
          <w:rFonts w:ascii="Times New Roman" w:eastAsia="Times New Roman" w:hAnsi="Times New Roman" w:cs="Times New Roman"/>
          <w:i/>
          <w:sz w:val="19"/>
        </w:rPr>
        <w:t>Общая рекомендация для пациентов — избегать продуктов и напитков,</w:t>
      </w:r>
      <w:r>
        <w:rPr>
          <w:rFonts w:ascii="Times New Roman" w:eastAsia="Times New Roman" w:hAnsi="Times New Roman" w:cs="Times New Roman"/>
          <w:i/>
          <w:sz w:val="19"/>
        </w:rPr>
        <w:t xml:space="preserve"> которые, по их опыту, вызывают симптомы ГЭРБ [73].</w:t>
      </w:r>
    </w:p>
    <w:p w:rsidR="006F5A4C" w:rsidRDefault="00730F7D">
      <w:pPr>
        <w:spacing w:after="3" w:line="254" w:lineRule="auto"/>
        <w:ind w:left="11" w:right="14" w:firstLine="284"/>
        <w:jc w:val="both"/>
      </w:pPr>
      <w:r>
        <w:rPr>
          <w:rFonts w:ascii="Times New Roman" w:eastAsia="Times New Roman" w:hAnsi="Times New Roman" w:cs="Times New Roman"/>
          <w:i/>
          <w:sz w:val="19"/>
        </w:rPr>
        <w:t xml:space="preserve">В недавнем проспективном когортном исследовании M. Singh et al. показали, что лица с избыточным весом, прошедшие структурированную программу снижения веса в сочетании с повышенной физической активностью, </w:t>
      </w:r>
      <w:r>
        <w:rPr>
          <w:rFonts w:ascii="Times New Roman" w:eastAsia="Times New Roman" w:hAnsi="Times New Roman" w:cs="Times New Roman"/>
          <w:i/>
          <w:sz w:val="19"/>
        </w:rPr>
        <w:t>не только потеряли вес, но и продемонстрировали уменьшение тяжести ГЭРБ [74].</w:t>
      </w:r>
    </w:p>
    <w:p w:rsidR="006F5A4C" w:rsidRDefault="00730F7D">
      <w:pPr>
        <w:spacing w:after="3" w:line="254" w:lineRule="auto"/>
        <w:ind w:left="11" w:right="14" w:firstLine="284"/>
        <w:jc w:val="both"/>
      </w:pPr>
      <w:r>
        <w:rPr>
          <w:rFonts w:ascii="Times New Roman" w:eastAsia="Times New Roman" w:hAnsi="Times New Roman" w:cs="Times New Roman"/>
          <w:i/>
          <w:sz w:val="19"/>
        </w:rPr>
        <w:t>Результаты метаанализа, опубликованного в 2019 г., показали, что не было существенной связи между потреблением чая и риском развития ГЭРБ [75].</w:t>
      </w:r>
    </w:p>
    <w:p w:rsidR="006F5A4C" w:rsidRDefault="00730F7D">
      <w:pPr>
        <w:spacing w:after="3" w:line="254" w:lineRule="auto"/>
        <w:ind w:left="11" w:right="14" w:firstLine="284"/>
        <w:jc w:val="both"/>
      </w:pPr>
      <w:r>
        <w:rPr>
          <w:rFonts w:ascii="Times New Roman" w:eastAsia="Times New Roman" w:hAnsi="Times New Roman" w:cs="Times New Roman"/>
          <w:i/>
          <w:sz w:val="19"/>
        </w:rPr>
        <w:t>Существует множество исследований,</w:t>
      </w:r>
      <w:r>
        <w:rPr>
          <w:rFonts w:ascii="Times New Roman" w:eastAsia="Times New Roman" w:hAnsi="Times New Roman" w:cs="Times New Roman"/>
          <w:i/>
          <w:sz w:val="19"/>
        </w:rPr>
        <w:t xml:space="preserve"> посвященных риску развития ГЭРБ и употреблению кофе. Однако результаты метаанализа, опубликованного в 2014 г., продемонстрировали отсутствие влияния кофе на давление нижнего пищеводного сфинктера [76].</w:t>
      </w:r>
    </w:p>
    <w:p w:rsidR="006F5A4C" w:rsidRDefault="00730F7D">
      <w:pPr>
        <w:spacing w:after="3" w:line="254" w:lineRule="auto"/>
        <w:ind w:left="11" w:right="14" w:firstLine="284"/>
        <w:jc w:val="both"/>
      </w:pPr>
      <w:r>
        <w:rPr>
          <w:rFonts w:ascii="Times New Roman" w:eastAsia="Times New Roman" w:hAnsi="Times New Roman" w:cs="Times New Roman"/>
          <w:i/>
          <w:sz w:val="19"/>
        </w:rPr>
        <w:t>Говоря о связи развития симптомов ГЭРБ с употребление</w:t>
      </w:r>
      <w:r>
        <w:rPr>
          <w:rFonts w:ascii="Times New Roman" w:eastAsia="Times New Roman" w:hAnsi="Times New Roman" w:cs="Times New Roman"/>
          <w:i/>
          <w:sz w:val="19"/>
        </w:rPr>
        <w:t>м алкоголя, следует отметить, что концентрация алкоголя в сыворотке крови &lt; 70 мг/дл не влияет на функцию нижнего пищеводного сфинктера. При анализе частоты употребления алкоголя субъекты, которые пили чаще, чем 3–5 раз в неделю, имели более сильную коррел</w:t>
      </w:r>
      <w:r>
        <w:rPr>
          <w:rFonts w:ascii="Times New Roman" w:eastAsia="Times New Roman" w:hAnsi="Times New Roman" w:cs="Times New Roman"/>
          <w:i/>
          <w:sz w:val="19"/>
        </w:rPr>
        <w:t>яцию с риском развития ГЭРБ по сравнению с теми, кто употреблял алкоголь реже [77].</w:t>
      </w:r>
    </w:p>
    <w:p w:rsidR="006F5A4C" w:rsidRDefault="00730F7D">
      <w:pPr>
        <w:spacing w:after="3" w:line="254" w:lineRule="auto"/>
        <w:ind w:left="11" w:right="80" w:firstLine="284"/>
        <w:jc w:val="both"/>
      </w:pPr>
      <w:r>
        <w:rPr>
          <w:rFonts w:ascii="Times New Roman" w:eastAsia="Times New Roman" w:hAnsi="Times New Roman" w:cs="Times New Roman"/>
          <w:i/>
          <w:sz w:val="19"/>
        </w:rPr>
        <w:t>В ходе недавнего систематического обзора было выявлено, что ГЭРБ связана со многими нерегулярными привычками в питании и образе жизни, например привычкой перекусывать ночью</w:t>
      </w:r>
      <w:r>
        <w:rPr>
          <w:rFonts w:ascii="Times New Roman" w:eastAsia="Times New Roman" w:hAnsi="Times New Roman" w:cs="Times New Roman"/>
          <w:i/>
          <w:sz w:val="19"/>
        </w:rPr>
        <w:t xml:space="preserve">: ОШ — 5,08 (95% ДИ: 4,03–6,4); пропуском завтрака: ОШ — 2,7 (95% ДИ: 2,17– 3,35); поспешной едой: ОШ — 4,06 (95% ДИ: 3,11–5,29); употреблением очень горячей еды: ОШ — 1,81 (95% ДИ: 1,37–2,4); перееданием: ОШ — 2,85 (95% ДИ: 2,18–3,73). Ведет к увеличению </w:t>
      </w:r>
      <w:r>
        <w:rPr>
          <w:rFonts w:ascii="Times New Roman" w:eastAsia="Times New Roman" w:hAnsi="Times New Roman" w:cs="Times New Roman"/>
          <w:i/>
          <w:sz w:val="19"/>
        </w:rPr>
        <w:t>распространенности ГЭРБ и рацион с высоким содержанием жира (ОШ — 7,568; 95% ДИ: 4,557–8,908). Последний прием пищи менее чем за три часа до сна также влияет на развитие симптомов ГЭРБ (ОШ — 7,45; 95% ДИ: 3,38–16,4). А вот физическая активность (физические</w:t>
      </w:r>
      <w:r>
        <w:rPr>
          <w:rFonts w:ascii="Times New Roman" w:eastAsia="Times New Roman" w:hAnsi="Times New Roman" w:cs="Times New Roman"/>
          <w:i/>
          <w:sz w:val="19"/>
        </w:rPr>
        <w:t xml:space="preserve"> упражнения более 30 минут более 3 раз в неделю) уменьшает риск развития ГЭРБ (ОШ — 0,7; 95% ДИ: 0,6–0,9). Говоря о курении и потреблении алкоголя, следует отметить, что они также влияют на развитие ГЭРБ (ОШ — 1,19; 95% ДИ: 1,12–1,264 и ОШ — 1,278; 95% ДИ:</w:t>
      </w:r>
      <w:r>
        <w:rPr>
          <w:rFonts w:ascii="Times New Roman" w:eastAsia="Times New Roman" w:hAnsi="Times New Roman" w:cs="Times New Roman"/>
          <w:i/>
          <w:sz w:val="19"/>
        </w:rPr>
        <w:t xml:space="preserve"> 1,207–1,353 соответственно) [72].</w:t>
      </w:r>
    </w:p>
    <w:p w:rsidR="006F5A4C" w:rsidRDefault="00730F7D">
      <w:pPr>
        <w:spacing w:after="3" w:line="254" w:lineRule="auto"/>
        <w:ind w:left="5" w:right="13" w:firstLine="226"/>
        <w:jc w:val="both"/>
      </w:pPr>
      <w:r>
        <w:rPr>
          <w:rFonts w:ascii="Times New Roman" w:eastAsia="Times New Roman" w:hAnsi="Times New Roman" w:cs="Times New Roman"/>
          <w:sz w:val="19"/>
        </w:rPr>
        <w:t>• Пациентам с ГЭРБ рекомендована терапия ИПП с целью лечения эрозивного эзофагита.</w:t>
      </w:r>
    </w:p>
    <w:p w:rsidR="006F5A4C" w:rsidRDefault="00730F7D">
      <w:pPr>
        <w:spacing w:after="5" w:line="254" w:lineRule="auto"/>
        <w:ind w:left="10" w:firstLine="258"/>
      </w:pPr>
      <w:r>
        <w:rPr>
          <w:rFonts w:ascii="Times New Roman" w:eastAsia="Times New Roman" w:hAnsi="Times New Roman" w:cs="Times New Roman"/>
          <w:b/>
          <w:i/>
          <w:sz w:val="19"/>
        </w:rPr>
        <w:t>Уровень убедительности рекомендаций А (уровень достоверности доказательств — 1).</w:t>
      </w:r>
    </w:p>
    <w:p w:rsidR="006F5A4C" w:rsidRDefault="00730F7D">
      <w:pPr>
        <w:spacing w:after="3" w:line="254" w:lineRule="auto"/>
        <w:ind w:left="11" w:right="14" w:firstLine="284"/>
        <w:jc w:val="both"/>
      </w:pPr>
      <w:r>
        <w:rPr>
          <w:rFonts w:ascii="Times New Roman" w:eastAsia="Times New Roman" w:hAnsi="Times New Roman" w:cs="Times New Roman"/>
          <w:i/>
          <w:sz w:val="19"/>
        </w:rPr>
        <w:t>Комментарии: ингибиторы протонной помпы являются препаратами выбора при лечении и симптомов гастроэзофагеальной рефлюксной болезни, и имеющегося эрозивного эзофагита [79, 80]. В настоящее время применяются следующие ИПП: омепразол, лансопразол, рабепразол,</w:t>
      </w:r>
      <w:r>
        <w:rPr>
          <w:rFonts w:ascii="Times New Roman" w:eastAsia="Times New Roman" w:hAnsi="Times New Roman" w:cs="Times New Roman"/>
          <w:i/>
          <w:sz w:val="19"/>
        </w:rPr>
        <w:t xml:space="preserve"> пантопразол, эзомепразол и декслансопразол. Проведенные метаанализы не показывают существенных различий в их эффективности в качестве терапии ГЭРБ [81, 82]. ИПП следует принимать за 30 минут до еды, чтобы обеспечить максимальную их эффективность. Хотя сме</w:t>
      </w:r>
      <w:r>
        <w:rPr>
          <w:rFonts w:ascii="Times New Roman" w:eastAsia="Times New Roman" w:hAnsi="Times New Roman" w:cs="Times New Roman"/>
          <w:i/>
          <w:sz w:val="19"/>
        </w:rPr>
        <w:t>на ИПП распространена в клинической практике, существует ограниченное количество данных, подтверждающих эту практику. Результаты рандомизированного двойного слепого исследования показали, что пациенты с ГЭРБ, не отвечающие на терапию лансопразолом один раз</w:t>
      </w:r>
      <w:r>
        <w:rPr>
          <w:rFonts w:ascii="Times New Roman" w:eastAsia="Times New Roman" w:hAnsi="Times New Roman" w:cs="Times New Roman"/>
          <w:i/>
          <w:sz w:val="19"/>
        </w:rPr>
        <w:t xml:space="preserve"> в день, отмечают такой же клинический эффект при увеличении дозировки лансопразола до двух раз в день, как и от его замены на эзомепразол один раз в день. Необходимость перехода с одного ИПП на другой при частичном клиническом ответе на терапию или отсутс</w:t>
      </w:r>
      <w:r>
        <w:rPr>
          <w:rFonts w:ascii="Times New Roman" w:eastAsia="Times New Roman" w:hAnsi="Times New Roman" w:cs="Times New Roman"/>
          <w:i/>
          <w:sz w:val="19"/>
        </w:rPr>
        <w:t>твии ответа должна быть подтверждена при проведении суточной рН-метрии. Смена ИПП может быть рассмотрена для пациентов с незначительными побочными эффектами [3].</w:t>
      </w:r>
    </w:p>
    <w:p w:rsidR="006F5A4C" w:rsidRDefault="00730F7D">
      <w:pPr>
        <w:spacing w:after="3" w:line="254" w:lineRule="auto"/>
        <w:ind w:left="11" w:right="14" w:firstLine="284"/>
        <w:jc w:val="both"/>
      </w:pPr>
      <w:r>
        <w:rPr>
          <w:rFonts w:ascii="Times New Roman" w:eastAsia="Times New Roman" w:hAnsi="Times New Roman" w:cs="Times New Roman"/>
          <w:i/>
          <w:sz w:val="19"/>
        </w:rPr>
        <w:t>Благодаря высокой константе диссоциации рКа рабепразол способен быстро аккумулироваться в большом числе париетальных клеток и приводить к быстрому и выраженному торможению секреции кислоты, ингибируя протонную помпу, что обеспечивает высокую скорость дейст</w:t>
      </w:r>
      <w:r>
        <w:rPr>
          <w:rFonts w:ascii="Times New Roman" w:eastAsia="Times New Roman" w:hAnsi="Times New Roman" w:cs="Times New Roman"/>
          <w:i/>
          <w:sz w:val="19"/>
        </w:rPr>
        <w:t>вия и позволяет достичь стойкого антисекреторного эффекта уже после первых суток приема препарата [83–88].</w:t>
      </w:r>
    </w:p>
    <w:p w:rsidR="006F5A4C" w:rsidRDefault="00730F7D">
      <w:pPr>
        <w:spacing w:after="3" w:line="254" w:lineRule="auto"/>
        <w:ind w:left="11" w:right="14" w:firstLine="284"/>
        <w:jc w:val="both"/>
      </w:pPr>
      <w:r>
        <w:rPr>
          <w:rFonts w:ascii="Times New Roman" w:eastAsia="Times New Roman" w:hAnsi="Times New Roman" w:cs="Times New Roman"/>
          <w:i/>
          <w:sz w:val="19"/>
        </w:rPr>
        <w:t xml:space="preserve"> Фармакокинетические особенности рабепразола обуславливают эффективное купирование дневной и контроль ночной изжоги с первого дня терапии [89, 90]. Б</w:t>
      </w:r>
      <w:r>
        <w:rPr>
          <w:rFonts w:ascii="Times New Roman" w:eastAsia="Times New Roman" w:hAnsi="Times New Roman" w:cs="Times New Roman"/>
          <w:i/>
          <w:sz w:val="19"/>
        </w:rPr>
        <w:t>лагородя стимуляции синтеза слизи и муцинов обеспечивается собственный цитопротективный эффект, что обеспечивает высокую частоту заживления эрозий пищевода [83] и поддержания длительной ремиссии ГЭРБ, в том числе при приеме по требованию [89, 90].</w:t>
      </w:r>
    </w:p>
    <w:p w:rsidR="006F5A4C" w:rsidRDefault="00730F7D">
      <w:pPr>
        <w:spacing w:after="3" w:line="254" w:lineRule="auto"/>
        <w:ind w:left="11" w:right="14" w:firstLine="284"/>
        <w:jc w:val="both"/>
      </w:pPr>
      <w:r>
        <w:rPr>
          <w:rFonts w:ascii="Times New Roman" w:eastAsia="Times New Roman" w:hAnsi="Times New Roman" w:cs="Times New Roman"/>
          <w:i/>
          <w:sz w:val="19"/>
        </w:rPr>
        <w:t>ИПП боле</w:t>
      </w:r>
      <w:r>
        <w:rPr>
          <w:rFonts w:ascii="Times New Roman" w:eastAsia="Times New Roman" w:hAnsi="Times New Roman" w:cs="Times New Roman"/>
          <w:i/>
          <w:sz w:val="19"/>
        </w:rPr>
        <w:t xml:space="preserve">е эффективны в лечении эрозивного эзофагита по сравнению с Н2-блокаторами гистаминовых рецепторов [80]. Оптимизация назначения ИПП представляет собой прием ИПП в адекватной дозе с возможностью повышения до двойной дозы и/или переходом на другой ИПП. Около </w:t>
      </w:r>
      <w:r>
        <w:rPr>
          <w:rFonts w:ascii="Times New Roman" w:eastAsia="Times New Roman" w:hAnsi="Times New Roman" w:cs="Times New Roman"/>
          <w:i/>
          <w:sz w:val="19"/>
        </w:rPr>
        <w:t>40 % пациентов с симптомами ГЭРБ не отвечают на терапию ИПП [26]. Длительный прием ИПП рекомендован пациентам с тяжелым эрозивным эзофагитом или ПБ.</w:t>
      </w:r>
    </w:p>
    <w:p w:rsidR="006F5A4C" w:rsidRDefault="00730F7D">
      <w:pPr>
        <w:spacing w:after="3" w:line="254" w:lineRule="auto"/>
        <w:ind w:left="11" w:right="14" w:firstLine="284"/>
        <w:jc w:val="both"/>
      </w:pPr>
      <w:r>
        <w:rPr>
          <w:rFonts w:ascii="Times New Roman" w:eastAsia="Times New Roman" w:hAnsi="Times New Roman" w:cs="Times New Roman"/>
          <w:i/>
          <w:sz w:val="19"/>
        </w:rPr>
        <w:t>Отсутствие у пациентов по данным ЭГДС эрозивно-язвенных изменений пищевода, нормальные показатели общего вр</w:t>
      </w:r>
      <w:r>
        <w:rPr>
          <w:rFonts w:ascii="Times New Roman" w:eastAsia="Times New Roman" w:hAnsi="Times New Roman" w:cs="Times New Roman"/>
          <w:i/>
          <w:sz w:val="19"/>
        </w:rPr>
        <w:t xml:space="preserve">емени с рН &lt; 4,0 единицы в пищеводе в течение суток (менее 4 % времени исследования) свидетельствуют в пользу функционального заболевания пищевода. В таком случае пациентам необходимо дообследование и проведение манометрии пищевода высокого разрешения для </w:t>
      </w:r>
      <w:r>
        <w:rPr>
          <w:rFonts w:ascii="Times New Roman" w:eastAsia="Times New Roman" w:hAnsi="Times New Roman" w:cs="Times New Roman"/>
          <w:i/>
          <w:sz w:val="19"/>
        </w:rPr>
        <w:t xml:space="preserve">исключения двигательных нарушений пищевода. Необходимо рекомендовать прекращение терапии ингибиторами протонной помпы и соблюдение рекомендаций по образу жизни. Пациенты без ГЭРБ, вероятно, имеют альтернативное объяснение беспокоящих их симптомов, которые </w:t>
      </w:r>
      <w:r>
        <w:rPr>
          <w:rFonts w:ascii="Times New Roman" w:eastAsia="Times New Roman" w:hAnsi="Times New Roman" w:cs="Times New Roman"/>
          <w:i/>
          <w:sz w:val="19"/>
        </w:rPr>
        <w:t>могут быть рассмотрены в рамках функционального расстройства [3].</w:t>
      </w:r>
    </w:p>
    <w:p w:rsidR="006F5A4C" w:rsidRDefault="00730F7D">
      <w:pPr>
        <w:spacing w:after="3" w:line="254" w:lineRule="auto"/>
        <w:ind w:left="11" w:right="14" w:firstLine="284"/>
        <w:jc w:val="both"/>
      </w:pPr>
      <w:r>
        <w:rPr>
          <w:rFonts w:ascii="Times New Roman" w:eastAsia="Times New Roman" w:hAnsi="Times New Roman" w:cs="Times New Roman"/>
          <w:i/>
          <w:sz w:val="19"/>
        </w:rPr>
        <w:t>Пациентов с неэрозивным рефлюкс-эзофагитом и другими неосложненными формами ГЭРБ можно успешно лечить в режиме дозирования ИПП «по требованию». В рандомизированном контролируемом исследовани</w:t>
      </w:r>
      <w:r>
        <w:rPr>
          <w:rFonts w:ascii="Times New Roman" w:eastAsia="Times New Roman" w:hAnsi="Times New Roman" w:cs="Times New Roman"/>
          <w:i/>
          <w:sz w:val="19"/>
        </w:rPr>
        <w:t>и, опубликованном в 1999 г., 83 % пациентов с неэрозивным рефлюкс-эзофагитом, принимавших 20 мг омепразола в режиме «по требованию», чувствовали себя удовлетворительно и находились в ремиссии в течение 6 месяцев по сравнению с 56 % пациентов с ГЭРБ, получа</w:t>
      </w:r>
      <w:r>
        <w:rPr>
          <w:rFonts w:ascii="Times New Roman" w:eastAsia="Times New Roman" w:hAnsi="Times New Roman" w:cs="Times New Roman"/>
          <w:i/>
          <w:sz w:val="19"/>
        </w:rPr>
        <w:t>вших плацебо [90].</w:t>
      </w:r>
    </w:p>
    <w:p w:rsidR="006F5A4C" w:rsidRDefault="00730F7D">
      <w:pPr>
        <w:spacing w:after="3" w:line="254" w:lineRule="auto"/>
        <w:ind w:left="11" w:right="14" w:firstLine="284"/>
        <w:jc w:val="both"/>
      </w:pPr>
      <w:r>
        <w:rPr>
          <w:rFonts w:ascii="Times New Roman" w:eastAsia="Times New Roman" w:hAnsi="Times New Roman" w:cs="Times New Roman"/>
          <w:i/>
          <w:sz w:val="19"/>
        </w:rPr>
        <w:t>При выявлении эрозивного эзофагита степени А по Лос-Анджелесской классификации вероятность его заживления в течение 4 недель лечения высока. Основной курс в данном случае может составлять 4 недели с использованием стандартной дозы ИПП (р</w:t>
      </w:r>
      <w:r>
        <w:rPr>
          <w:rFonts w:ascii="Times New Roman" w:eastAsia="Times New Roman" w:hAnsi="Times New Roman" w:cs="Times New Roman"/>
          <w:i/>
          <w:sz w:val="19"/>
        </w:rPr>
        <w:t>абепразол 20 мг в день, или эзомепразол 40 мг в день, или омепразол 20 мг два раза в день, или декслансопразол 60 мг в день, или пантопразол 40 мг в день) желательно с проведением контрольной эзофагогастродуоденоскопии [1].</w:t>
      </w:r>
    </w:p>
    <w:p w:rsidR="006F5A4C" w:rsidRDefault="00730F7D">
      <w:pPr>
        <w:spacing w:after="3" w:line="254" w:lineRule="auto"/>
        <w:ind w:left="11" w:right="81" w:firstLine="284"/>
        <w:jc w:val="both"/>
      </w:pPr>
      <w:r>
        <w:rPr>
          <w:rFonts w:ascii="Times New Roman" w:eastAsia="Times New Roman" w:hAnsi="Times New Roman" w:cs="Times New Roman"/>
          <w:i/>
          <w:sz w:val="19"/>
        </w:rPr>
        <w:t>У пациентов с эрозивным эзофагит</w:t>
      </w:r>
      <w:r>
        <w:rPr>
          <w:rFonts w:ascii="Times New Roman" w:eastAsia="Times New Roman" w:hAnsi="Times New Roman" w:cs="Times New Roman"/>
          <w:i/>
          <w:sz w:val="19"/>
        </w:rPr>
        <w:t>ом В, С, D по данным ЭГДС и общим временем с рН &lt; 4,0 единиц в пищеводе в течение суток более 6 % времени исследования на фоне положительной клинической и эндоскопической картины при приеме ИПП в стандартной дозировке рекомендовано снижение дозы ИПП с посл</w:t>
      </w:r>
      <w:r>
        <w:rPr>
          <w:rFonts w:ascii="Times New Roman" w:eastAsia="Times New Roman" w:hAnsi="Times New Roman" w:cs="Times New Roman"/>
          <w:i/>
          <w:sz w:val="19"/>
        </w:rPr>
        <w:t>едующей поддерживающей терапией [3]. При выявлении множественных эрозий пищевода, а также осложнений ГЭРБ курс лечения ИПП должен составлять не менее 8 недель.</w:t>
      </w:r>
    </w:p>
    <w:p w:rsidR="006F5A4C" w:rsidRDefault="00730F7D">
      <w:pPr>
        <w:spacing w:after="3" w:line="254" w:lineRule="auto"/>
        <w:ind w:left="11" w:right="81" w:firstLine="284"/>
        <w:jc w:val="both"/>
      </w:pPr>
      <w:r>
        <w:rPr>
          <w:rFonts w:ascii="Times New Roman" w:eastAsia="Times New Roman" w:hAnsi="Times New Roman" w:cs="Times New Roman"/>
          <w:i/>
          <w:sz w:val="19"/>
        </w:rPr>
        <w:t>Прием ИПП в стандартной дозе от 4 до 8 недель считается безопасным и подходит для пациентов с ти</w:t>
      </w:r>
      <w:r>
        <w:rPr>
          <w:rFonts w:ascii="Times New Roman" w:eastAsia="Times New Roman" w:hAnsi="Times New Roman" w:cs="Times New Roman"/>
          <w:i/>
          <w:sz w:val="19"/>
        </w:rPr>
        <w:t>пичными симптомами патологического ГЭР [9]. Клиническое улучшение после 8-недельного курса терапии ИПП в стандартной дозировке отмечается у большинства больных с ГЭРБ [91].</w:t>
      </w:r>
    </w:p>
    <w:p w:rsidR="006F5A4C" w:rsidRDefault="00730F7D">
      <w:pPr>
        <w:spacing w:after="3" w:line="254" w:lineRule="auto"/>
        <w:ind w:left="11" w:right="14" w:firstLine="284"/>
        <w:jc w:val="both"/>
      </w:pPr>
      <w:r>
        <w:rPr>
          <w:rFonts w:ascii="Times New Roman" w:eastAsia="Times New Roman" w:hAnsi="Times New Roman" w:cs="Times New Roman"/>
          <w:i/>
          <w:sz w:val="19"/>
        </w:rPr>
        <w:t>В то же время, согласно рандомизированным клиническим исследованиям, около трети па</w:t>
      </w:r>
      <w:r>
        <w:rPr>
          <w:rFonts w:ascii="Times New Roman" w:eastAsia="Times New Roman" w:hAnsi="Times New Roman" w:cs="Times New Roman"/>
          <w:i/>
          <w:sz w:val="19"/>
        </w:rPr>
        <w:t>циентов с ГЭРБ, получающих ИПП в стандартной дозе в течение 8 недель лечения, не полностью отвечают на терапию. Результаты рандомизированных клинических исследований показали, что наименее эффективны ИПП в стандартной дозе в течение 8 недель при лечении тя</w:t>
      </w:r>
      <w:r>
        <w:rPr>
          <w:rFonts w:ascii="Times New Roman" w:eastAsia="Times New Roman" w:hAnsi="Times New Roman" w:cs="Times New Roman"/>
          <w:i/>
          <w:sz w:val="19"/>
        </w:rPr>
        <w:t>желого эрозивного эзофагита. В связи с чем продолжительность терапии ИПП у пациентов с таким эрозивным эзофагитом может быть увеличена до 12 недель [35].</w:t>
      </w:r>
    </w:p>
    <w:p w:rsidR="006F5A4C" w:rsidRDefault="00730F7D">
      <w:pPr>
        <w:spacing w:after="3" w:line="254" w:lineRule="auto"/>
        <w:ind w:left="11" w:right="80" w:firstLine="284"/>
        <w:jc w:val="both"/>
      </w:pPr>
      <w:r>
        <w:rPr>
          <w:rFonts w:ascii="Times New Roman" w:eastAsia="Times New Roman" w:hAnsi="Times New Roman" w:cs="Times New Roman"/>
          <w:i/>
          <w:sz w:val="19"/>
        </w:rPr>
        <w:t>При рефрактерной ГЭРБ жалобы у пациентов сохраняются, несмотря на проводимую терапию. Также сохраняютс</w:t>
      </w:r>
      <w:r>
        <w:rPr>
          <w:rFonts w:ascii="Times New Roman" w:eastAsia="Times New Roman" w:hAnsi="Times New Roman" w:cs="Times New Roman"/>
          <w:i/>
          <w:sz w:val="19"/>
        </w:rPr>
        <w:t>я эрозивные изменения по данным ЭГДС и/или изменения по данным суточной рН-импедансометрии, характерные для патологического ГЭР. Под термином рефрактерной ГЭРБ понимается ранее диагностированная ГЭРБ, которая остается клинически резистентной к проводимой т</w:t>
      </w:r>
      <w:r>
        <w:rPr>
          <w:rFonts w:ascii="Times New Roman" w:eastAsia="Times New Roman" w:hAnsi="Times New Roman" w:cs="Times New Roman"/>
          <w:i/>
          <w:sz w:val="19"/>
        </w:rPr>
        <w:t xml:space="preserve">ерапии. Наиболее </w:t>
      </w:r>
    </w:p>
    <w:p w:rsidR="006F5A4C" w:rsidRDefault="00730F7D">
      <w:pPr>
        <w:spacing w:after="3" w:line="254" w:lineRule="auto"/>
        <w:ind w:left="11" w:right="80"/>
        <w:jc w:val="both"/>
      </w:pPr>
      <w:r>
        <w:rPr>
          <w:rFonts w:ascii="Times New Roman" w:eastAsia="Times New Roman" w:hAnsi="Times New Roman" w:cs="Times New Roman"/>
          <w:i/>
          <w:sz w:val="19"/>
        </w:rPr>
        <w:t>часто рефрактерная ГЭРБ встречается у женщин с низким индексом массы тела, диспепсическими жалобами или синдромом раздраженного кишечника, нарушениями сна [35].</w:t>
      </w:r>
    </w:p>
    <w:p w:rsidR="006F5A4C" w:rsidRDefault="00730F7D">
      <w:pPr>
        <w:spacing w:after="3" w:line="254" w:lineRule="auto"/>
        <w:ind w:left="11" w:right="14" w:firstLine="284"/>
        <w:jc w:val="both"/>
      </w:pPr>
      <w:r>
        <w:rPr>
          <w:rFonts w:ascii="Times New Roman" w:eastAsia="Times New Roman" w:hAnsi="Times New Roman" w:cs="Times New Roman"/>
          <w:i/>
          <w:sz w:val="19"/>
        </w:rPr>
        <w:t>Что касается лечения ГЭРБ, гастроэнтерологи в целом согласны с тем, что общеп</w:t>
      </w:r>
      <w:r>
        <w:rPr>
          <w:rFonts w:ascii="Times New Roman" w:eastAsia="Times New Roman" w:hAnsi="Times New Roman" w:cs="Times New Roman"/>
          <w:i/>
          <w:sz w:val="19"/>
        </w:rPr>
        <w:t xml:space="preserve">ризнанные преимущества ИПП намного перевешивают их теоретические риски [3]. В опубликованном ранее систематическом обзоре было продемонстрировано, что у пациентов с ГЭРБ на фоне терапии ингибиторами протонной помпы отмечается положительная динамика. До 93 </w:t>
      </w:r>
      <w:r>
        <w:rPr>
          <w:rFonts w:ascii="Times New Roman" w:eastAsia="Times New Roman" w:hAnsi="Times New Roman" w:cs="Times New Roman"/>
          <w:i/>
          <w:sz w:val="19"/>
        </w:rPr>
        <w:t>% пациентов отмечали уменьшение симптомов на фоне терапии (95% ДИ: 87–99) [92]. В систематический обзор, опубликованный в 2023 г., был включен 1691 пациент, среди которых были пациенты с неэрозивным, эрозивным эзофагитом и некардиальной болью в грудной кле</w:t>
      </w:r>
      <w:r>
        <w:rPr>
          <w:rFonts w:ascii="Times New Roman" w:eastAsia="Times New Roman" w:hAnsi="Times New Roman" w:cs="Times New Roman"/>
          <w:i/>
          <w:sz w:val="19"/>
        </w:rPr>
        <w:t xml:space="preserve">тке. Тест с ИПП по результатам исследования в отношении диагноза ГЭРБ обладал высокой чувствительностью — 79 % (95% ДИ: 72–84), но не такой высокой специфичностью — 45 % (95% ДИ: 40–49). Причем и для НЭРБ, и для эрозивного эзофагита результаты были схожи. </w:t>
      </w:r>
      <w:r>
        <w:rPr>
          <w:rFonts w:ascii="Times New Roman" w:eastAsia="Times New Roman" w:hAnsi="Times New Roman" w:cs="Times New Roman"/>
          <w:i/>
          <w:sz w:val="19"/>
        </w:rPr>
        <w:t>В отношении диагноза некардиальной боли в грудной клетке и чувствительность, и специфичность теста с ИПП были высокие и составили 79 % (95% ДИ: 69–86) и 79 % (95% ДИ: 69–86) соответственно [93].</w:t>
      </w:r>
    </w:p>
    <w:p w:rsidR="006F5A4C" w:rsidRDefault="00730F7D">
      <w:pPr>
        <w:spacing w:after="3" w:line="254" w:lineRule="auto"/>
        <w:ind w:left="11" w:right="14" w:firstLine="284"/>
        <w:jc w:val="both"/>
      </w:pPr>
      <w:r>
        <w:rPr>
          <w:rFonts w:ascii="Times New Roman" w:eastAsia="Times New Roman" w:hAnsi="Times New Roman" w:cs="Times New Roman"/>
          <w:i/>
          <w:sz w:val="19"/>
        </w:rPr>
        <w:t>ИПП используются не только в лечении ГЭРБ, но и в лечении язв</w:t>
      </w:r>
      <w:r>
        <w:rPr>
          <w:rFonts w:ascii="Times New Roman" w:eastAsia="Times New Roman" w:hAnsi="Times New Roman" w:cs="Times New Roman"/>
          <w:i/>
          <w:sz w:val="19"/>
        </w:rPr>
        <w:t>енной болезни, функциональной диспепсии, при синдроме Золлингера — Эллисона и других заболеваниях [94]. Последние годы уделяется большое внимание вопросам депрескрайбинга ИПП [95]. Стратегия депрескрайбинга ИПП направлена на снижение дозировки ИПП или пере</w:t>
      </w:r>
      <w:r>
        <w:rPr>
          <w:rFonts w:ascii="Times New Roman" w:eastAsia="Times New Roman" w:hAnsi="Times New Roman" w:cs="Times New Roman"/>
          <w:i/>
          <w:sz w:val="19"/>
        </w:rPr>
        <w:t>ход на терапию по схеме «в режиме по требованию» после достижения желаемого эффекта от ИПП [95].</w:t>
      </w:r>
    </w:p>
    <w:p w:rsidR="006F5A4C" w:rsidRDefault="00730F7D">
      <w:pPr>
        <w:spacing w:after="3" w:line="254" w:lineRule="auto"/>
        <w:ind w:left="11" w:right="14" w:firstLine="284"/>
        <w:jc w:val="both"/>
      </w:pPr>
      <w:r>
        <w:rPr>
          <w:rFonts w:ascii="Times New Roman" w:eastAsia="Times New Roman" w:hAnsi="Times New Roman" w:cs="Times New Roman"/>
          <w:i/>
          <w:sz w:val="19"/>
        </w:rPr>
        <w:t xml:space="preserve">У ИПП так же, как и у других препаратов, есть побочные эффекты. Среди побочных эффектов выделяют головную боль, боль в животе, тошноту, рвоту, диарею, запор и </w:t>
      </w:r>
      <w:r>
        <w:rPr>
          <w:rFonts w:ascii="Times New Roman" w:eastAsia="Times New Roman" w:hAnsi="Times New Roman" w:cs="Times New Roman"/>
          <w:i/>
          <w:sz w:val="19"/>
        </w:rPr>
        <w:t>метеоризм [3]. Эти относительно незначительные побочные эффекты возникают нечасто и уменьшаются при прекращении их приема. Иногда эти побочные эффекты могут быть специфичными для конкретного препарата из группы ИПП, и при переходе на другой ИПП побочные эф</w:t>
      </w:r>
      <w:r>
        <w:rPr>
          <w:rFonts w:ascii="Times New Roman" w:eastAsia="Times New Roman" w:hAnsi="Times New Roman" w:cs="Times New Roman"/>
          <w:i/>
          <w:sz w:val="19"/>
        </w:rPr>
        <w:t>фекты нивелируются [3]. ИПП в целом демонстрируют невысокую частоту побочных эффектов (&lt; 2 %) [1]. При назначении ИПП в больших дозах на длительный срок следует учитывать возможность развития таких побочных эффектов, как избыточный бактериальный рост, инфе</w:t>
      </w:r>
      <w:r>
        <w:rPr>
          <w:rFonts w:ascii="Times New Roman" w:eastAsia="Times New Roman" w:hAnsi="Times New Roman" w:cs="Times New Roman"/>
          <w:i/>
          <w:sz w:val="19"/>
        </w:rPr>
        <w:t>кция Clostridiodes difficile (C. difficile), остеопороз и пневмония среди пациентов старше 65 лет [1].</w:t>
      </w:r>
    </w:p>
    <w:p w:rsidR="006F5A4C" w:rsidRDefault="00730F7D">
      <w:pPr>
        <w:spacing w:after="3" w:line="254" w:lineRule="auto"/>
        <w:ind w:left="11" w:right="14" w:firstLine="284"/>
        <w:jc w:val="both"/>
      </w:pPr>
      <w:r>
        <w:rPr>
          <w:rFonts w:ascii="Times New Roman" w:eastAsia="Times New Roman" w:hAnsi="Times New Roman" w:cs="Times New Roman"/>
          <w:i/>
          <w:sz w:val="19"/>
        </w:rPr>
        <w:t>В опубликованном недавно крупном плацебоконтролируемом рандомизированном исследовании P. Moayyedi et al. исследовали 17 598 пациентов в возрасте 65 лет и</w:t>
      </w:r>
      <w:r>
        <w:rPr>
          <w:rFonts w:ascii="Times New Roman" w:eastAsia="Times New Roman" w:hAnsi="Times New Roman" w:cs="Times New Roman"/>
          <w:i/>
          <w:sz w:val="19"/>
        </w:rPr>
        <w:t xml:space="preserve"> старше, получавших лечение ривароксабаном и/или аспирином. Все пациенты были случайным образом распределены для терапии ИПП (пантопразол 40 мг в день, n = 8791, или плацебо, n = 8807). После рандомизации данные собирались и анализировались с 6-месячными и</w:t>
      </w:r>
      <w:r>
        <w:rPr>
          <w:rFonts w:ascii="Times New Roman" w:eastAsia="Times New Roman" w:hAnsi="Times New Roman" w:cs="Times New Roman"/>
          <w:i/>
          <w:sz w:val="19"/>
        </w:rPr>
        <w:t xml:space="preserve">нтервалами в течение 3 лет с целью выявления потенциальных побочных эффектов ИПП, включая пневмонию, инфекцию </w:t>
      </w:r>
    </w:p>
    <w:p w:rsidR="006F5A4C" w:rsidRDefault="00730F7D">
      <w:pPr>
        <w:spacing w:after="166" w:line="254" w:lineRule="auto"/>
        <w:ind w:left="11" w:right="14" w:firstLine="10"/>
        <w:jc w:val="both"/>
      </w:pPr>
      <w:r>
        <w:rPr>
          <w:rFonts w:ascii="Times New Roman" w:eastAsia="Times New Roman" w:hAnsi="Times New Roman" w:cs="Times New Roman"/>
          <w:i/>
          <w:sz w:val="19"/>
        </w:rPr>
        <w:t>Clostridiodes difficile (C. difficile), другие кишечные инфекции, переломы, атрофию слизистой оболочки желудка, хроническую болезнь почек, слабоу</w:t>
      </w:r>
      <w:r>
        <w:rPr>
          <w:rFonts w:ascii="Times New Roman" w:eastAsia="Times New Roman" w:hAnsi="Times New Roman" w:cs="Times New Roman"/>
          <w:i/>
          <w:sz w:val="19"/>
        </w:rPr>
        <w:t>мие, сердечно-сосудистые заболевания. В ходе исследования существенных различий между группами, принимавшими ИПП и получавшими плацебо, выявлено не было. За исключением кишечных инфекций (1,0 % в группе плацебо против 1,4 % в группе ИПП): ОШ — 1,33, 95% ДИ</w:t>
      </w:r>
      <w:r>
        <w:rPr>
          <w:rFonts w:ascii="Times New Roman" w:eastAsia="Times New Roman" w:hAnsi="Times New Roman" w:cs="Times New Roman"/>
          <w:i/>
          <w:sz w:val="19"/>
        </w:rPr>
        <w:t>: 1,01–1,75. Авторы пришли к выводу, что применение пантопразола в течение 3 лет ассоциировалось только с незначительным повышением риска развития кишечных инфекций [96].</w:t>
      </w:r>
    </w:p>
    <w:p w:rsidR="006F5A4C" w:rsidRDefault="00730F7D">
      <w:pPr>
        <w:spacing w:after="53" w:line="255" w:lineRule="auto"/>
        <w:ind w:left="291" w:right="130"/>
      </w:pPr>
      <w:r>
        <w:rPr>
          <w:rFonts w:ascii="Times New Roman" w:eastAsia="Times New Roman" w:hAnsi="Times New Roman" w:cs="Times New Roman"/>
          <w:b/>
          <w:color w:val="009EE3"/>
          <w:sz w:val="19"/>
        </w:rPr>
        <w:t>Дополнительная фармакотерапия</w:t>
      </w:r>
    </w:p>
    <w:p w:rsidR="006F5A4C" w:rsidRDefault="00730F7D">
      <w:pPr>
        <w:spacing w:after="3" w:line="254" w:lineRule="auto"/>
        <w:ind w:left="5" w:right="93" w:firstLine="226"/>
        <w:jc w:val="both"/>
      </w:pPr>
      <w:r>
        <w:rPr>
          <w:rFonts w:ascii="Times New Roman" w:eastAsia="Times New Roman" w:hAnsi="Times New Roman" w:cs="Times New Roman"/>
          <w:sz w:val="19"/>
        </w:rPr>
        <w:t xml:space="preserve">• </w:t>
      </w:r>
      <w:r>
        <w:rPr>
          <w:rFonts w:ascii="Times New Roman" w:eastAsia="Times New Roman" w:hAnsi="Times New Roman" w:cs="Times New Roman"/>
          <w:sz w:val="19"/>
        </w:rPr>
        <w:t>Клиницисты должны персонализировать дополнительную фармакотерапию в зависимости от фенотипа ГЭРБ, в отличие от эмпирического использования этих лекарственных средств. К дополнительным средствам лечения ГЭРБ относят альгинаты для облегчения симптомов, эзофа</w:t>
      </w:r>
      <w:r>
        <w:rPr>
          <w:rFonts w:ascii="Times New Roman" w:eastAsia="Times New Roman" w:hAnsi="Times New Roman" w:cs="Times New Roman"/>
          <w:sz w:val="19"/>
        </w:rPr>
        <w:t>гопротекторы для ускорения эпителизации эрозий и защиты слизистой, блокаторы Н2-гистаминовых рецепторов для купирования ночной симптоматики, прокинетики при замедлении моторно-эвакуаторной функции желудка, препараты урсодезоксихолевой кислоты при дуоденога</w:t>
      </w:r>
      <w:r>
        <w:rPr>
          <w:rFonts w:ascii="Times New Roman" w:eastAsia="Times New Roman" w:hAnsi="Times New Roman" w:cs="Times New Roman"/>
          <w:sz w:val="19"/>
        </w:rPr>
        <w:t>строэзофагеальном рефлюксе.</w:t>
      </w:r>
    </w:p>
    <w:p w:rsidR="006F5A4C" w:rsidRDefault="00730F7D">
      <w:pPr>
        <w:spacing w:after="5" w:line="254" w:lineRule="auto"/>
        <w:ind w:left="10" w:firstLine="258"/>
      </w:pPr>
      <w:r>
        <w:rPr>
          <w:rFonts w:ascii="Times New Roman" w:eastAsia="Times New Roman" w:hAnsi="Times New Roman" w:cs="Times New Roman"/>
          <w:b/>
          <w:i/>
          <w:sz w:val="19"/>
        </w:rPr>
        <w:t>Уровень убедительности рекомендаций C (уровень достоверности доказательств — 4).</w:t>
      </w:r>
    </w:p>
    <w:p w:rsidR="006F5A4C" w:rsidRDefault="00730F7D">
      <w:pPr>
        <w:spacing w:after="3" w:line="254" w:lineRule="auto"/>
        <w:ind w:left="11" w:right="93" w:firstLine="284"/>
        <w:jc w:val="both"/>
      </w:pPr>
      <w:r>
        <w:rPr>
          <w:rFonts w:ascii="Times New Roman" w:eastAsia="Times New Roman" w:hAnsi="Times New Roman" w:cs="Times New Roman"/>
          <w:i/>
          <w:sz w:val="19"/>
        </w:rPr>
        <w:t>Комментарии: в качестве дополнительной терапии можно использовать блокаторы Н2-гистаминовых рецепторов, одновременное применение которых с ИПП не с</w:t>
      </w:r>
      <w:r>
        <w:rPr>
          <w:rFonts w:ascii="Times New Roman" w:eastAsia="Times New Roman" w:hAnsi="Times New Roman" w:cs="Times New Roman"/>
          <w:i/>
          <w:sz w:val="19"/>
        </w:rPr>
        <w:t>нижает антисекреторный эффект ИПП, а наоборот, способствует лучшему контролю за рН желудка [97].</w:t>
      </w:r>
    </w:p>
    <w:p w:rsidR="006F5A4C" w:rsidRDefault="00730F7D">
      <w:pPr>
        <w:spacing w:after="3" w:line="254" w:lineRule="auto"/>
        <w:ind w:left="11" w:right="14" w:firstLine="284"/>
        <w:jc w:val="both"/>
      </w:pPr>
      <w:r>
        <w:rPr>
          <w:rFonts w:ascii="Times New Roman" w:eastAsia="Times New Roman" w:hAnsi="Times New Roman" w:cs="Times New Roman"/>
          <w:i/>
          <w:sz w:val="19"/>
        </w:rPr>
        <w:t>Причина, по которой терапия ИПП может быть неэффективна у пациентов с ГЭРБ, может заключаться в наличии у пациента не кислого, а слабокислого или слабощелочног</w:t>
      </w:r>
      <w:r>
        <w:rPr>
          <w:rFonts w:ascii="Times New Roman" w:eastAsia="Times New Roman" w:hAnsi="Times New Roman" w:cs="Times New Roman"/>
          <w:i/>
          <w:sz w:val="19"/>
        </w:rPr>
        <w:t>о рефлюкса, который может быть диагностирован при проведении суточной рН-импедансометрии. Гастроэзофагеальный рефлюктат имеет преимущественно кислый характер у 50 % больных ГЭРБ, кислый с желчным компонентом — у 39,7 %, и 10,3 % пациентов имеют желчный реф</w:t>
      </w:r>
      <w:r>
        <w:rPr>
          <w:rFonts w:ascii="Times New Roman" w:eastAsia="Times New Roman" w:hAnsi="Times New Roman" w:cs="Times New Roman"/>
          <w:i/>
          <w:sz w:val="19"/>
        </w:rPr>
        <w:t>люкс [1]. В таком случае к терапии ИПП следует добавлять в различных комбинациях следующие препараты: антациды, эзофагопротекторы, прокинетики, урсодезоксихолевую кислоту, ребамипид [1].</w:t>
      </w:r>
    </w:p>
    <w:p w:rsidR="006F5A4C" w:rsidRDefault="00730F7D">
      <w:pPr>
        <w:spacing w:after="3" w:line="254" w:lineRule="auto"/>
        <w:ind w:left="11" w:right="14" w:firstLine="284"/>
        <w:jc w:val="both"/>
      </w:pPr>
      <w:r>
        <w:rPr>
          <w:rFonts w:ascii="Times New Roman" w:eastAsia="Times New Roman" w:hAnsi="Times New Roman" w:cs="Times New Roman"/>
          <w:i/>
          <w:sz w:val="19"/>
        </w:rPr>
        <w:t>Ребамипид обладает особым механизмом защиты слизистой оболочки пищево</w:t>
      </w:r>
      <w:r>
        <w:rPr>
          <w:rFonts w:ascii="Times New Roman" w:eastAsia="Times New Roman" w:hAnsi="Times New Roman" w:cs="Times New Roman"/>
          <w:i/>
          <w:sz w:val="19"/>
        </w:rPr>
        <w:t>да, положительно влияя на эпителиальную проницаемость, основную причину нарушения защитных механизмов слизистой оболочки. Ребамипид стимулирует синтез белков плотных контактов (клаудин-3, клаудин-4) [1, 6, 95, 98]. S.M. Yoon et al. продемонстрировали в сво</w:t>
      </w:r>
      <w:r>
        <w:rPr>
          <w:rFonts w:ascii="Times New Roman" w:eastAsia="Times New Roman" w:hAnsi="Times New Roman" w:cs="Times New Roman"/>
          <w:i/>
          <w:sz w:val="19"/>
        </w:rPr>
        <w:t>ей работе, что при морфологическом исследовании биоптатов слизистой оболочки пищевода пациентов с НЭРБ, получавших ребамипид в течение 8 недель, определялась более выраженная положительная динамика — значительное уменьшение количества лимфоцитов и размеров</w:t>
      </w:r>
      <w:r>
        <w:rPr>
          <w:rFonts w:ascii="Times New Roman" w:eastAsia="Times New Roman" w:hAnsi="Times New Roman" w:cs="Times New Roman"/>
          <w:i/>
          <w:sz w:val="19"/>
        </w:rPr>
        <w:t xml:space="preserve"> межклеточных пространств в эпителии пищевода — по сравнению с группой плацебо (р = 0,026 и р =  0,024 соответственно) [100, 101]. В другом исследовании было продемонстрировано, что ребамипид снижает экспрессию мРНК ИЛ-8, тем самым предотвращая рецидив сим</w:t>
      </w:r>
      <w:r>
        <w:rPr>
          <w:rFonts w:ascii="Times New Roman" w:eastAsia="Times New Roman" w:hAnsi="Times New Roman" w:cs="Times New Roman"/>
          <w:i/>
          <w:sz w:val="19"/>
        </w:rPr>
        <w:t>птомов ГЭРБ [101, 102].</w:t>
      </w:r>
    </w:p>
    <w:p w:rsidR="006F5A4C" w:rsidRDefault="00730F7D">
      <w:pPr>
        <w:numPr>
          <w:ilvl w:val="0"/>
          <w:numId w:val="6"/>
        </w:numPr>
        <w:spacing w:after="0" w:line="254" w:lineRule="auto"/>
        <w:ind w:right="13" w:firstLine="223"/>
        <w:jc w:val="both"/>
      </w:pPr>
      <w:r>
        <w:rPr>
          <w:rFonts w:ascii="Times New Roman" w:eastAsia="Times New Roman" w:hAnsi="Times New Roman" w:cs="Times New Roman"/>
          <w:b/>
          <w:sz w:val="19"/>
        </w:rPr>
        <w:t>Комбинированная терапия ребамипидом с ин-гибиторами протонной помпы повышает эффективность купирования симптомов ГЭРБ, а также сокращает частоту рецидивов.</w:t>
      </w:r>
    </w:p>
    <w:p w:rsidR="006F5A4C" w:rsidRDefault="00730F7D">
      <w:pPr>
        <w:spacing w:after="5" w:line="254" w:lineRule="auto"/>
        <w:ind w:left="10" w:firstLine="258"/>
      </w:pPr>
      <w:r>
        <w:rPr>
          <w:rFonts w:ascii="Times New Roman" w:eastAsia="Times New Roman" w:hAnsi="Times New Roman" w:cs="Times New Roman"/>
          <w:b/>
          <w:i/>
          <w:sz w:val="19"/>
        </w:rPr>
        <w:t>Уровень убедительности рекомендаций C (уровень достоверности доказательств —</w:t>
      </w:r>
      <w:r>
        <w:rPr>
          <w:rFonts w:ascii="Times New Roman" w:eastAsia="Times New Roman" w:hAnsi="Times New Roman" w:cs="Times New Roman"/>
          <w:b/>
          <w:i/>
          <w:sz w:val="19"/>
        </w:rPr>
        <w:t xml:space="preserve"> 5).</w:t>
      </w:r>
    </w:p>
    <w:p w:rsidR="006F5A4C" w:rsidRDefault="00730F7D">
      <w:pPr>
        <w:spacing w:after="166" w:line="254" w:lineRule="auto"/>
        <w:ind w:left="11" w:right="14" w:firstLine="284"/>
        <w:jc w:val="both"/>
      </w:pPr>
      <w:r>
        <w:rPr>
          <w:rFonts w:ascii="Times New Roman" w:eastAsia="Times New Roman" w:hAnsi="Times New Roman" w:cs="Times New Roman"/>
          <w:i/>
          <w:sz w:val="19"/>
        </w:rPr>
        <w:t>Комментарии: действие ребамипида на слизистую оболочку пищевода при рефлюкс-эзофагите продолжает изучаться. В исследовании с участием 501 пациента в течение 4-недельного курса лечения комбинированная терапия эзомепразолом и ребамипидом была более эффе</w:t>
      </w:r>
      <w:r>
        <w:rPr>
          <w:rFonts w:ascii="Times New Roman" w:eastAsia="Times New Roman" w:hAnsi="Times New Roman" w:cs="Times New Roman"/>
          <w:i/>
          <w:sz w:val="19"/>
        </w:rPr>
        <w:t>ктивной в уменьшении симптомов рефлюкс-эзофагита, чем монотерапия эзомепразолом [104]. S.M. Yoon et al. в ходе своей работы также показали, что уменьшение выраженности симптомов на 50 % и более было зарегистрировано у 74,1 % пациентов, принимавших лансопра</w:t>
      </w:r>
      <w:r>
        <w:rPr>
          <w:rFonts w:ascii="Times New Roman" w:eastAsia="Times New Roman" w:hAnsi="Times New Roman" w:cs="Times New Roman"/>
          <w:i/>
          <w:sz w:val="19"/>
        </w:rPr>
        <w:t>зол в сочетании с ребамипидом, и у 51,7 % пациентов в группе лансопразола и плацебо, р = 0,020 [101]. У больных с эрозивным эзофагитом степени А и В по Лос-Анджелесской классификации на фоне монотерапии ИПП в течение 12 месяцев после завершения курса лечен</w:t>
      </w:r>
      <w:r>
        <w:rPr>
          <w:rFonts w:ascii="Times New Roman" w:eastAsia="Times New Roman" w:hAnsi="Times New Roman" w:cs="Times New Roman"/>
          <w:i/>
          <w:sz w:val="19"/>
        </w:rPr>
        <w:t>ия в 52,4 % случаев отмечался рецидив симптомов, в отличие от пациентов, получавших ИПП в сочетании с ребамипидом, у которых рецидив возникал лишь в 20 % случаев, р &lt; 0,05 [101].</w:t>
      </w:r>
    </w:p>
    <w:p w:rsidR="006F5A4C" w:rsidRDefault="00730F7D">
      <w:pPr>
        <w:spacing w:after="53" w:line="255" w:lineRule="auto"/>
        <w:ind w:left="291" w:right="130"/>
      </w:pPr>
      <w:r>
        <w:rPr>
          <w:rFonts w:ascii="Times New Roman" w:eastAsia="Times New Roman" w:hAnsi="Times New Roman" w:cs="Times New Roman"/>
          <w:b/>
          <w:color w:val="009EE3"/>
          <w:sz w:val="19"/>
        </w:rPr>
        <w:t>Прокинетики</w:t>
      </w:r>
    </w:p>
    <w:p w:rsidR="006F5A4C" w:rsidRDefault="00730F7D">
      <w:pPr>
        <w:numPr>
          <w:ilvl w:val="0"/>
          <w:numId w:val="6"/>
        </w:numPr>
        <w:spacing w:after="3" w:line="254" w:lineRule="auto"/>
        <w:ind w:right="13" w:firstLine="223"/>
        <w:jc w:val="both"/>
      </w:pPr>
      <w:r>
        <w:rPr>
          <w:rFonts w:ascii="Times New Roman" w:eastAsia="Times New Roman" w:hAnsi="Times New Roman" w:cs="Times New Roman"/>
          <w:sz w:val="19"/>
        </w:rPr>
        <w:t>Применение прокинетиков при лечении ГЭРБ обусловлено их способностью восстанавливать физиологическое состояние пищевода, опосредованно через нормализацию моторики желудка улучшая пищеводный клиренс и уменьшая количество ПРНПС. Наибольший эффект прокинетики</w:t>
      </w:r>
      <w:r>
        <w:rPr>
          <w:rFonts w:ascii="Times New Roman" w:eastAsia="Times New Roman" w:hAnsi="Times New Roman" w:cs="Times New Roman"/>
          <w:sz w:val="19"/>
        </w:rPr>
        <w:t xml:space="preserve"> оказывают при сочетании ГЭРБ и функциональной диспепсии.</w:t>
      </w:r>
    </w:p>
    <w:p w:rsidR="006F5A4C" w:rsidRDefault="00730F7D">
      <w:pPr>
        <w:spacing w:after="5" w:line="254" w:lineRule="auto"/>
        <w:ind w:left="10" w:firstLine="258"/>
      </w:pPr>
      <w:r>
        <w:rPr>
          <w:rFonts w:ascii="Times New Roman" w:eastAsia="Times New Roman" w:hAnsi="Times New Roman" w:cs="Times New Roman"/>
          <w:b/>
          <w:i/>
          <w:sz w:val="19"/>
        </w:rPr>
        <w:t>Уровень убедительности рекомендаций A (уровень достоверности доказательств — 1).</w:t>
      </w:r>
    </w:p>
    <w:p w:rsidR="006F5A4C" w:rsidRDefault="00730F7D">
      <w:pPr>
        <w:spacing w:after="3" w:line="254" w:lineRule="auto"/>
        <w:ind w:left="11" w:right="14" w:firstLine="284"/>
        <w:jc w:val="both"/>
      </w:pPr>
      <w:r>
        <w:rPr>
          <w:rFonts w:ascii="Times New Roman" w:eastAsia="Times New Roman" w:hAnsi="Times New Roman" w:cs="Times New Roman"/>
          <w:i/>
          <w:sz w:val="19"/>
        </w:rPr>
        <w:t>Комментарии: данные о применении прокинетиков при лечении ГЭРБ ограничены. Метоклопрамид опосредованно повышает давле</w:t>
      </w:r>
      <w:r>
        <w:rPr>
          <w:rFonts w:ascii="Times New Roman" w:eastAsia="Times New Roman" w:hAnsi="Times New Roman" w:cs="Times New Roman"/>
          <w:i/>
          <w:sz w:val="19"/>
        </w:rPr>
        <w:t>ние в нижнем пищеводном сфинктере, усиливает перистальтику пищевода и ускоряет опорожнение желудка [3]. У пациентов с рефрактерной ГЭРБ добавление к терапии прокинетиков нецелесообразно [35]. ГЭРБ часто сочетается с функциональной диспепсией, что связано с</w:t>
      </w:r>
      <w:r>
        <w:rPr>
          <w:rFonts w:ascii="Times New Roman" w:eastAsia="Times New Roman" w:hAnsi="Times New Roman" w:cs="Times New Roman"/>
          <w:i/>
          <w:sz w:val="19"/>
        </w:rPr>
        <w:t xml:space="preserve"> нарушением аккомодации фундального отдела желудка и увеличением частоты эпизодов ПРНПС [104]. В раннем метаанализе было продемонстрировано, что комбинированная терапия ГЭРБ прокинетиками и ИПП улучшает качество жизни пациентов и уменьшает симптомы ГЭРБ. В</w:t>
      </w:r>
      <w:r>
        <w:rPr>
          <w:rFonts w:ascii="Times New Roman" w:eastAsia="Times New Roman" w:hAnsi="Times New Roman" w:cs="Times New Roman"/>
          <w:i/>
          <w:sz w:val="19"/>
        </w:rPr>
        <w:t xml:space="preserve"> ходе метаанализа было показано, что сочетание прокинетиков с ИПП в лечении ГЭРБ приводит к достоверному уменьшению количества ГЭР по сравнению с монотерапией ИПП (95% ДИ: –5,96÷–1,78), р = 0,0003) [105]. Недавний метаанализ L. Xi et al. (2021 г.), обобщив</w:t>
      </w:r>
      <w:r>
        <w:rPr>
          <w:rFonts w:ascii="Times New Roman" w:eastAsia="Times New Roman" w:hAnsi="Times New Roman" w:cs="Times New Roman"/>
          <w:i/>
          <w:sz w:val="19"/>
        </w:rPr>
        <w:t>ший результаты 14 исследований (1437 пациентов), продемонстрировал, что добавление прокинетика к ИПП способствует более выраженному регрессу симптоматики заболевания в сравнении с монотерапией ИПП (ОШ — 1,185, 95% ДИ: 1,042–1,348; р = 0,010) [106]. Эффекти</w:t>
      </w:r>
      <w:r>
        <w:rPr>
          <w:rFonts w:ascii="Times New Roman" w:eastAsia="Times New Roman" w:hAnsi="Times New Roman" w:cs="Times New Roman"/>
          <w:i/>
          <w:sz w:val="19"/>
        </w:rPr>
        <w:t>вность прокинетиков в лечении ГЭРБ обусловлена их способностью влиять на патогенез ГЭРБ: опосредованно повышать тонус нижнего пищеводного сфинктера, ускорять эвакуацию из желудка [107]. Ускорение опорожнения желудка под действием прокинетиков ведет к умень</w:t>
      </w:r>
      <w:r>
        <w:rPr>
          <w:rFonts w:ascii="Times New Roman" w:eastAsia="Times New Roman" w:hAnsi="Times New Roman" w:cs="Times New Roman"/>
          <w:i/>
          <w:sz w:val="19"/>
        </w:rPr>
        <w:t>шению воздействия на пищевод патологического ГЭР у пациентов с рефлюкс-эзофагитом. Метаанализ, включавший 16 рандомизированных контролируемых исследований, посвященных добавлению прокинетиков к терапии ГЭРБ, с популяцией 1446 пациентов, показал значимое ум</w:t>
      </w:r>
      <w:r>
        <w:rPr>
          <w:rFonts w:ascii="Times New Roman" w:eastAsia="Times New Roman" w:hAnsi="Times New Roman" w:cs="Times New Roman"/>
          <w:i/>
          <w:sz w:val="19"/>
        </w:rPr>
        <w:t xml:space="preserve">еньшение симптомов ГЭРБ по сравнению с монотерапией ИПП </w:t>
      </w:r>
    </w:p>
    <w:p w:rsidR="006F5A4C" w:rsidRDefault="00730F7D">
      <w:pPr>
        <w:spacing w:after="3" w:line="254" w:lineRule="auto"/>
        <w:ind w:left="11" w:right="14" w:firstLine="26"/>
        <w:jc w:val="both"/>
      </w:pPr>
      <w:r>
        <w:rPr>
          <w:rFonts w:ascii="Times New Roman" w:eastAsia="Times New Roman" w:hAnsi="Times New Roman" w:cs="Times New Roman"/>
          <w:i/>
          <w:sz w:val="19"/>
        </w:rPr>
        <w:t xml:space="preserve">(ОШ разрешения симптомов рефлюкса — 1,22; 95% ДИ: 1,11–1,35; p &lt; 0,0001); При этом клиническое течение ГЭРБ улучшалось как для пациентов с нерефрактерной формой (ОШ — 1,18, 95% ДИ: 1,07–1,30), так и </w:t>
      </w:r>
      <w:r>
        <w:rPr>
          <w:rFonts w:ascii="Times New Roman" w:eastAsia="Times New Roman" w:hAnsi="Times New Roman" w:cs="Times New Roman"/>
          <w:i/>
          <w:sz w:val="19"/>
        </w:rPr>
        <w:t xml:space="preserve">с рефрактерной формой (ОШ — 1,47, 95% ДИ: 1,15–1,88). Эффективность комбинации ИПП и прокинетиков не зависит от этнических особенностей и наблюдается как у «западной», так и у «восточной» популяций. Отмечено, что стойкий клинический эффект наблюдается при </w:t>
      </w:r>
      <w:r>
        <w:rPr>
          <w:rFonts w:ascii="Times New Roman" w:eastAsia="Times New Roman" w:hAnsi="Times New Roman" w:cs="Times New Roman"/>
          <w:i/>
          <w:sz w:val="19"/>
        </w:rPr>
        <w:t>длительности терапии не менее 4 недель (ОШ — 1,26, 95% ДИ: 1,10–1,43) [108]. Согласно рекомендациям Японского общества гастроэнтерологов по диагностике и лечению ГЭРБ добавление прокинетиков к терапии целесообразно при неэффективности монотерапии ИПП [72].</w:t>
      </w:r>
      <w:r>
        <w:rPr>
          <w:rFonts w:ascii="Times New Roman" w:eastAsia="Times New Roman" w:hAnsi="Times New Roman" w:cs="Times New Roman"/>
          <w:i/>
          <w:sz w:val="19"/>
        </w:rPr>
        <w:t xml:space="preserve"> Новый прокинетический препарат акотиамид 100 мг 3 раза в день является перспективным препаратом для терапии симптомов диспепсии, ГЭРБ и НЭРБ. Акотиамид значительно снижал показатели частоты регургитации, боли и жжения в эпигастральной области в исследован</w:t>
      </w:r>
      <w:r>
        <w:rPr>
          <w:rFonts w:ascii="Times New Roman" w:eastAsia="Times New Roman" w:hAnsi="Times New Roman" w:cs="Times New Roman"/>
          <w:i/>
          <w:sz w:val="19"/>
        </w:rPr>
        <w:t>ии у пациентов с рефрактерной к ИПП НЭРБ. Акотиамид уменьшает общее число явлений кислого рефлюкса [109]. На фоне применения акотиамида уменьшается степень неэффективности перистальтики пищевода при небольшой (2–5 см) длине разрыва сокращения его стенки (ф</w:t>
      </w:r>
      <w:r>
        <w:rPr>
          <w:rFonts w:ascii="Times New Roman" w:eastAsia="Times New Roman" w:hAnsi="Times New Roman" w:cs="Times New Roman"/>
          <w:i/>
          <w:sz w:val="19"/>
        </w:rPr>
        <w:t>рагментированность перистальтики). Влияние акотиамида на фрагментированность перистальтики проксимального отдела пищевода предотвращает распространение рефлюкса на проксимальный отдел пищевода [110]. Комбинированная терапия акотиамидом и ИПП снижает выраже</w:t>
      </w:r>
      <w:r>
        <w:rPr>
          <w:rFonts w:ascii="Times New Roman" w:eastAsia="Times New Roman" w:hAnsi="Times New Roman" w:cs="Times New Roman"/>
          <w:i/>
          <w:sz w:val="19"/>
        </w:rPr>
        <w:t>нность клинических симптомов ГЭРБ [111–113].</w:t>
      </w:r>
    </w:p>
    <w:p w:rsidR="006F5A4C" w:rsidRDefault="00730F7D">
      <w:pPr>
        <w:numPr>
          <w:ilvl w:val="0"/>
          <w:numId w:val="6"/>
        </w:numPr>
        <w:spacing w:after="3" w:line="254" w:lineRule="auto"/>
        <w:ind w:right="13" w:firstLine="223"/>
        <w:jc w:val="both"/>
      </w:pPr>
      <w:r>
        <w:rPr>
          <w:rFonts w:ascii="Times New Roman" w:eastAsia="Times New Roman" w:hAnsi="Times New Roman" w:cs="Times New Roman"/>
          <w:sz w:val="19"/>
        </w:rPr>
        <w:t>Среди группы прокинетиков для лечения па-циентов с ГЭРБ препарат итоприда гидрохлорид выделяет отсутствие ограничений по длительности применения, а также благоприятный профиль безопасности.</w:t>
      </w:r>
    </w:p>
    <w:p w:rsidR="006F5A4C" w:rsidRDefault="00730F7D">
      <w:pPr>
        <w:spacing w:after="5" w:line="254" w:lineRule="auto"/>
        <w:ind w:left="10" w:firstLine="258"/>
      </w:pPr>
      <w:r>
        <w:rPr>
          <w:rFonts w:ascii="Times New Roman" w:eastAsia="Times New Roman" w:hAnsi="Times New Roman" w:cs="Times New Roman"/>
          <w:b/>
          <w:i/>
          <w:sz w:val="19"/>
        </w:rPr>
        <w:t>Уровень убедительност</w:t>
      </w:r>
      <w:r>
        <w:rPr>
          <w:rFonts w:ascii="Times New Roman" w:eastAsia="Times New Roman" w:hAnsi="Times New Roman" w:cs="Times New Roman"/>
          <w:b/>
          <w:i/>
          <w:sz w:val="19"/>
        </w:rPr>
        <w:t>и рекомендаций C (уровень достоверности доказательств — 5).</w:t>
      </w:r>
    </w:p>
    <w:p w:rsidR="006F5A4C" w:rsidRDefault="00730F7D">
      <w:pPr>
        <w:spacing w:after="166" w:line="254" w:lineRule="auto"/>
        <w:ind w:left="11" w:right="14" w:firstLine="284"/>
        <w:jc w:val="both"/>
      </w:pPr>
      <w:r>
        <w:rPr>
          <w:rFonts w:ascii="Times New Roman" w:eastAsia="Times New Roman" w:hAnsi="Times New Roman" w:cs="Times New Roman"/>
          <w:i/>
          <w:sz w:val="19"/>
        </w:rPr>
        <w:t>Комментарии: Прокинетический препарат итоприда гидрохлорид 50 мг 3 раза в день относится к средствам патогенетического лечения ГЭРБ, поскольку нормализует двигательную функцию верхних отделов пище</w:t>
      </w:r>
      <w:r>
        <w:rPr>
          <w:rFonts w:ascii="Times New Roman" w:eastAsia="Times New Roman" w:hAnsi="Times New Roman" w:cs="Times New Roman"/>
          <w:i/>
          <w:sz w:val="19"/>
        </w:rPr>
        <w:t>варительного тракта, уменьшает количество преходящих расслаблений нижнего пищеводного сфинктера [114–117]. При использовании итоприда в составе комбинированной терапии с ИПП при ГЭРБ обнаружено, что он достоверно усиливает сократительную активность НПС и м</w:t>
      </w:r>
      <w:r>
        <w:rPr>
          <w:rFonts w:ascii="Times New Roman" w:eastAsia="Times New Roman" w:hAnsi="Times New Roman" w:cs="Times New Roman"/>
          <w:i/>
          <w:sz w:val="19"/>
        </w:rPr>
        <w:t>оторику желудка, ускоряет желудочную эвакуацию, восстанавливает гастродуоденальную координацию [118, 119] и оказывает достоверное влияние на купирование изжоги [120]. Итоприд в комбинации с рабепразолом доказанно улучшает клиническое течение хронического к</w:t>
      </w:r>
      <w:r>
        <w:rPr>
          <w:rFonts w:ascii="Times New Roman" w:eastAsia="Times New Roman" w:hAnsi="Times New Roman" w:cs="Times New Roman"/>
          <w:i/>
          <w:sz w:val="19"/>
        </w:rPr>
        <w:t>ашля, обусловленного ГЭРБ [121]. Длительность терапии итоприда гидрохлоридом должна составлять не менее 8-ми недель</w:t>
      </w:r>
    </w:p>
    <w:p w:rsidR="006F5A4C" w:rsidRDefault="00730F7D">
      <w:pPr>
        <w:spacing w:after="53" w:line="255" w:lineRule="auto"/>
        <w:ind w:left="291" w:right="130"/>
      </w:pPr>
      <w:r>
        <w:rPr>
          <w:rFonts w:ascii="Times New Roman" w:eastAsia="Times New Roman" w:hAnsi="Times New Roman" w:cs="Times New Roman"/>
          <w:b/>
          <w:color w:val="009EE3"/>
          <w:sz w:val="19"/>
        </w:rPr>
        <w:t>Эзофагопротекторы</w:t>
      </w:r>
    </w:p>
    <w:p w:rsidR="006F5A4C" w:rsidRDefault="00730F7D">
      <w:pPr>
        <w:numPr>
          <w:ilvl w:val="0"/>
          <w:numId w:val="6"/>
        </w:numPr>
        <w:spacing w:after="3" w:line="254" w:lineRule="auto"/>
        <w:ind w:right="13" w:firstLine="223"/>
        <w:jc w:val="both"/>
      </w:pPr>
      <w:r>
        <w:rPr>
          <w:rFonts w:ascii="Times New Roman" w:eastAsia="Times New Roman" w:hAnsi="Times New Roman" w:cs="Times New Roman"/>
          <w:sz w:val="19"/>
        </w:rPr>
        <w:t>Эзофагопротекторы — это новая группа препаратов на основе гиалуроновой кислоты и хондроитина сульфата в биоадгезивной форм</w:t>
      </w:r>
      <w:r>
        <w:rPr>
          <w:rFonts w:ascii="Times New Roman" w:eastAsia="Times New Roman" w:hAnsi="Times New Roman" w:cs="Times New Roman"/>
          <w:sz w:val="19"/>
        </w:rPr>
        <w:t>е. Комбинация гиалуроновой кислоты и хондроитина сульфата обеспечивает защиту слизистой оболочки пищевода.</w:t>
      </w:r>
    </w:p>
    <w:p w:rsidR="006F5A4C" w:rsidRDefault="00730F7D">
      <w:pPr>
        <w:spacing w:after="5" w:line="254" w:lineRule="auto"/>
        <w:ind w:left="10" w:firstLine="258"/>
      </w:pPr>
      <w:r>
        <w:rPr>
          <w:rFonts w:ascii="Times New Roman" w:eastAsia="Times New Roman" w:hAnsi="Times New Roman" w:cs="Times New Roman"/>
          <w:b/>
          <w:i/>
          <w:sz w:val="19"/>
        </w:rPr>
        <w:t>Уровень убедительности рекомендаций А (уровень достоверности доказательств — 1).</w:t>
      </w:r>
    </w:p>
    <w:p w:rsidR="006F5A4C" w:rsidRDefault="00730F7D">
      <w:pPr>
        <w:spacing w:after="166" w:line="254" w:lineRule="auto"/>
        <w:ind w:left="11" w:right="14" w:firstLine="284"/>
        <w:jc w:val="both"/>
      </w:pPr>
      <w:r>
        <w:rPr>
          <w:rFonts w:ascii="Times New Roman" w:eastAsia="Times New Roman" w:hAnsi="Times New Roman" w:cs="Times New Roman"/>
          <w:i/>
          <w:sz w:val="19"/>
        </w:rPr>
        <w:t>Комментарии: гиалуроновая кислота влияет на обновление клеток эпителия слизистой оболочки и способствует заживлению эрозий. Хондроитина сульфат — это гликозаминогликан, который оказывает заживляющее действие на слизистую пищевода и желудка, а биоадгезивная</w:t>
      </w:r>
      <w:r>
        <w:rPr>
          <w:rFonts w:ascii="Times New Roman" w:eastAsia="Times New Roman" w:hAnsi="Times New Roman" w:cs="Times New Roman"/>
          <w:i/>
          <w:sz w:val="19"/>
        </w:rPr>
        <w:t xml:space="preserve"> формула препарата способствует эффективной защите слизистой оболочки, образуя барьер между слизистой и патологическим ГЭР. Заживляющий язвы и эрозии эффект эзофагопротекторов обусловлен совместным действием двух соединений [122]. Опубликованный недавно си</w:t>
      </w:r>
      <w:r>
        <w:rPr>
          <w:rFonts w:ascii="Times New Roman" w:eastAsia="Times New Roman" w:hAnsi="Times New Roman" w:cs="Times New Roman"/>
          <w:i/>
          <w:sz w:val="19"/>
        </w:rPr>
        <w:t xml:space="preserve">стематический обзор и метаанализ трех исследований, включавших 181 пациента с эрозивным эзофагитом, показал, что комбинированная терапия ИПП и эзофагопротекторами значительно эффективнее, чем монотерапия ИПП в отношении полной эпителизации эрозий пищевода </w:t>
      </w:r>
      <w:r>
        <w:rPr>
          <w:rFonts w:ascii="Times New Roman" w:eastAsia="Times New Roman" w:hAnsi="Times New Roman" w:cs="Times New Roman"/>
          <w:i/>
          <w:sz w:val="19"/>
        </w:rPr>
        <w:t>в течение 28 дней терапии (ОШ — 1,267, 95% ДИ: 1,082–1,483; p = 0,003) [123].</w:t>
      </w:r>
    </w:p>
    <w:p w:rsidR="006F5A4C" w:rsidRDefault="00730F7D">
      <w:pPr>
        <w:spacing w:after="53" w:line="255" w:lineRule="auto"/>
        <w:ind w:left="291" w:right="130"/>
      </w:pPr>
      <w:r>
        <w:rPr>
          <w:rFonts w:ascii="Times New Roman" w:eastAsia="Times New Roman" w:hAnsi="Times New Roman" w:cs="Times New Roman"/>
          <w:b/>
          <w:color w:val="009EE3"/>
          <w:sz w:val="19"/>
        </w:rPr>
        <w:t>Альгинаты и антациды</w:t>
      </w:r>
    </w:p>
    <w:p w:rsidR="006F5A4C" w:rsidRDefault="00730F7D">
      <w:pPr>
        <w:numPr>
          <w:ilvl w:val="0"/>
          <w:numId w:val="6"/>
        </w:numPr>
        <w:spacing w:after="3" w:line="254" w:lineRule="auto"/>
        <w:ind w:right="13" w:firstLine="223"/>
        <w:jc w:val="both"/>
      </w:pPr>
      <w:r>
        <w:rPr>
          <w:rFonts w:ascii="Times New Roman" w:eastAsia="Times New Roman" w:hAnsi="Times New Roman" w:cs="Times New Roman"/>
          <w:sz w:val="19"/>
        </w:rPr>
        <w:t>В лечении рефлюкс-эзофагита основной группой препаратов являются ИПП. Однако результаты проведенных исследований демонстрируют, что альгинаты и антациды эффе</w:t>
      </w:r>
      <w:r>
        <w:rPr>
          <w:rFonts w:ascii="Times New Roman" w:eastAsia="Times New Roman" w:hAnsi="Times New Roman" w:cs="Times New Roman"/>
          <w:sz w:val="19"/>
        </w:rPr>
        <w:t>ктивны в купировании симптомов ГЭРБ. Антациды и альгинаты могут быть использованы как в качестве монотерапии изжоги, не сопровождающейся развитием эрозивного эзофагита, так и в комплексной терапии ГЭРБ.</w:t>
      </w:r>
    </w:p>
    <w:p w:rsidR="006F5A4C" w:rsidRDefault="00730F7D">
      <w:pPr>
        <w:spacing w:after="5" w:line="254" w:lineRule="auto"/>
        <w:ind w:left="10" w:firstLine="258"/>
      </w:pPr>
      <w:r>
        <w:rPr>
          <w:rFonts w:ascii="Times New Roman" w:eastAsia="Times New Roman" w:hAnsi="Times New Roman" w:cs="Times New Roman"/>
          <w:b/>
          <w:i/>
          <w:sz w:val="19"/>
        </w:rPr>
        <w:t>Уровень убедительности рекомендаций А (уровень достов</w:t>
      </w:r>
      <w:r>
        <w:rPr>
          <w:rFonts w:ascii="Times New Roman" w:eastAsia="Times New Roman" w:hAnsi="Times New Roman" w:cs="Times New Roman"/>
          <w:b/>
          <w:i/>
          <w:sz w:val="19"/>
        </w:rPr>
        <w:t>ерности доказательств — 1).</w:t>
      </w:r>
    </w:p>
    <w:p w:rsidR="006F5A4C" w:rsidRDefault="00730F7D">
      <w:pPr>
        <w:spacing w:after="166" w:line="254" w:lineRule="auto"/>
        <w:ind w:left="11" w:right="14" w:firstLine="284"/>
        <w:jc w:val="both"/>
      </w:pPr>
      <w:r>
        <w:rPr>
          <w:rFonts w:ascii="Times New Roman" w:eastAsia="Times New Roman" w:hAnsi="Times New Roman" w:cs="Times New Roman"/>
          <w:i/>
          <w:sz w:val="19"/>
        </w:rPr>
        <w:t>Комментарии: альгинаты используются в лечении рефлюкс-эзофагита на протяжении последних 30 лет. Альгинаты создают защитный барьер на поверхности желудочного содержимого, тем самым уменьшая количество гастроэзофагеальных и дуоден</w:t>
      </w:r>
      <w:r>
        <w:rPr>
          <w:rFonts w:ascii="Times New Roman" w:eastAsia="Times New Roman" w:hAnsi="Times New Roman" w:cs="Times New Roman"/>
          <w:i/>
          <w:sz w:val="19"/>
        </w:rPr>
        <w:t>огастроэзофагеальных рефлюксов [1, 124]. Благодаря этой способности образовывать барьер альгинатные антациды нашли применение в борьбе с постпрандиальной изжогой и регургитацией. Для пациентов с частичным ответом на ИПП добавление альгинатных антацидов слу</w:t>
      </w:r>
      <w:r>
        <w:rPr>
          <w:rFonts w:ascii="Times New Roman" w:eastAsia="Times New Roman" w:hAnsi="Times New Roman" w:cs="Times New Roman"/>
          <w:i/>
          <w:sz w:val="19"/>
        </w:rPr>
        <w:t>жит полезным дополнением [125]. Метаанализ, включавший 14 исследований (2095 пациентов), продемонстрировал, что терапия альгинатами уменьшала симптомы ГЭРБ достоверно лучше по сравнению с плацебо и антацидами (ОШ — 4,42; 95% ДИ: 2,45–7,97; р = 0,001) [124]</w:t>
      </w:r>
      <w:r>
        <w:rPr>
          <w:rFonts w:ascii="Times New Roman" w:eastAsia="Times New Roman" w:hAnsi="Times New Roman" w:cs="Times New Roman"/>
          <w:i/>
          <w:sz w:val="19"/>
        </w:rPr>
        <w:t>. Антациды и альгинаты следует принимать в зависимости от выраженности симптомов обычно после еды и на ночь до стойкого купирования симптомов, затем в режиме «по требованию» [1].</w:t>
      </w:r>
    </w:p>
    <w:p w:rsidR="006F5A4C" w:rsidRDefault="00730F7D">
      <w:pPr>
        <w:spacing w:after="53" w:line="255" w:lineRule="auto"/>
        <w:ind w:left="291" w:right="378"/>
      </w:pPr>
      <w:r>
        <w:rPr>
          <w:rFonts w:ascii="Times New Roman" w:eastAsia="Times New Roman" w:hAnsi="Times New Roman" w:cs="Times New Roman"/>
          <w:b/>
          <w:color w:val="009EE3"/>
          <w:sz w:val="19"/>
        </w:rPr>
        <w:t>Калий конкурентные блокаторы  протонной помпы</w:t>
      </w:r>
    </w:p>
    <w:p w:rsidR="006F5A4C" w:rsidRDefault="00730F7D">
      <w:pPr>
        <w:numPr>
          <w:ilvl w:val="0"/>
          <w:numId w:val="6"/>
        </w:numPr>
        <w:spacing w:after="3" w:line="254" w:lineRule="auto"/>
        <w:ind w:right="13" w:firstLine="223"/>
        <w:jc w:val="both"/>
      </w:pPr>
      <w:r>
        <w:rPr>
          <w:rFonts w:ascii="Times New Roman" w:eastAsia="Times New Roman" w:hAnsi="Times New Roman" w:cs="Times New Roman"/>
          <w:sz w:val="19"/>
        </w:rPr>
        <w:t>Калий конкурентные блокаторы протонной помпы являются перспективными антисекреторными средствами, которые блокируют секрецию соляной кислоты и рассматриваются как препараты для лечения кислотозависимых заболеваний органов желудочно-кишечного тракта в будущ</w:t>
      </w:r>
      <w:r>
        <w:rPr>
          <w:rFonts w:ascii="Times New Roman" w:eastAsia="Times New Roman" w:hAnsi="Times New Roman" w:cs="Times New Roman"/>
          <w:sz w:val="19"/>
        </w:rPr>
        <w:t>ем.</w:t>
      </w:r>
    </w:p>
    <w:p w:rsidR="006F5A4C" w:rsidRDefault="00730F7D">
      <w:pPr>
        <w:spacing w:after="5" w:line="254" w:lineRule="auto"/>
        <w:ind w:left="10" w:firstLine="258"/>
      </w:pPr>
      <w:r>
        <w:rPr>
          <w:rFonts w:ascii="Times New Roman" w:eastAsia="Times New Roman" w:hAnsi="Times New Roman" w:cs="Times New Roman"/>
          <w:b/>
          <w:i/>
          <w:sz w:val="19"/>
        </w:rPr>
        <w:t>Уровень убедительности рекомендаций C (уровень достоверности доказательств — 4).</w:t>
      </w:r>
    </w:p>
    <w:p w:rsidR="006F5A4C" w:rsidRDefault="00730F7D">
      <w:pPr>
        <w:spacing w:after="3" w:line="254" w:lineRule="auto"/>
        <w:ind w:left="11" w:right="14" w:firstLine="284"/>
        <w:jc w:val="both"/>
      </w:pPr>
      <w:r>
        <w:rPr>
          <w:rFonts w:ascii="Times New Roman" w:eastAsia="Times New Roman" w:hAnsi="Times New Roman" w:cs="Times New Roman"/>
          <w:i/>
          <w:sz w:val="19"/>
        </w:rPr>
        <w:t xml:space="preserve">Комментарии: ИПП являются препаратами первой линии при лечении ГЭРБ. В метаболизме ИПП важную роль играет цитохром Р450 2С19 (CYP2C19), который определяет разную скорость </w:t>
      </w:r>
      <w:r>
        <w:rPr>
          <w:rFonts w:ascii="Times New Roman" w:eastAsia="Times New Roman" w:hAnsi="Times New Roman" w:cs="Times New Roman"/>
          <w:i/>
          <w:sz w:val="19"/>
        </w:rPr>
        <w:t>метаболизма ИПП, в частности, у разных этнических групп. Калий конкурентные блокаторы протонной помпы (не зарегистрированы в РФ) разработаны для дальнейшего совершенствования кислотосупрессивной терапии. Исследования физико-химических свойств этой группы п</w:t>
      </w:r>
      <w:r>
        <w:rPr>
          <w:rFonts w:ascii="Times New Roman" w:eastAsia="Times New Roman" w:hAnsi="Times New Roman" w:cs="Times New Roman"/>
          <w:i/>
          <w:sz w:val="19"/>
        </w:rPr>
        <w:t>репаратов показали, что калий конкурентные блокаторы протонной помпы обладают высокой растворимостью и стабильностью в широком диапазоне рН в кислой среде желудка. Исследования также продемонстрировали, что калий конкурентные блокаторы протонной помпы нака</w:t>
      </w:r>
      <w:r>
        <w:rPr>
          <w:rFonts w:ascii="Times New Roman" w:eastAsia="Times New Roman" w:hAnsi="Times New Roman" w:cs="Times New Roman"/>
          <w:i/>
          <w:sz w:val="19"/>
        </w:rPr>
        <w:t>пливаются и сохраняют свое антисекреторное действие более 24 часов [126].</w:t>
      </w:r>
    </w:p>
    <w:p w:rsidR="006F5A4C" w:rsidRDefault="00730F7D">
      <w:pPr>
        <w:spacing w:after="3" w:line="254" w:lineRule="auto"/>
        <w:ind w:left="11" w:right="14" w:firstLine="284"/>
        <w:jc w:val="both"/>
      </w:pPr>
      <w:r>
        <w:rPr>
          <w:rFonts w:ascii="Times New Roman" w:eastAsia="Times New Roman" w:hAnsi="Times New Roman" w:cs="Times New Roman"/>
          <w:i/>
          <w:sz w:val="19"/>
        </w:rPr>
        <w:t>Согласно современным японским рекомендациям пациентам с ГЭРБ назначают калий конкурентные блокаторы в дозе 20 мг в сутки в течение 4 недель. В случае положительной динамики рекомендо</w:t>
      </w:r>
      <w:r>
        <w:rPr>
          <w:rFonts w:ascii="Times New Roman" w:eastAsia="Times New Roman" w:hAnsi="Times New Roman" w:cs="Times New Roman"/>
          <w:i/>
          <w:sz w:val="19"/>
        </w:rPr>
        <w:t>ван переход на поддерживающую дозировку, при отсутствии эффекта через 4 недели необходимо продолжить терапию до 8 недель [71].</w:t>
      </w:r>
    </w:p>
    <w:p w:rsidR="006F5A4C" w:rsidRDefault="00730F7D">
      <w:pPr>
        <w:spacing w:after="169" w:line="254" w:lineRule="auto"/>
        <w:ind w:left="11" w:right="14" w:firstLine="284"/>
        <w:jc w:val="both"/>
      </w:pPr>
      <w:r>
        <w:rPr>
          <w:rFonts w:ascii="Times New Roman" w:eastAsia="Times New Roman" w:hAnsi="Times New Roman" w:cs="Times New Roman"/>
          <w:i/>
          <w:sz w:val="19"/>
        </w:rPr>
        <w:t>В систематическом обзоре и метаанализе, опубликованном в 2021 г., было продемонстрировано, что калий конкурентный блокатор протон</w:t>
      </w:r>
      <w:r>
        <w:rPr>
          <w:rFonts w:ascii="Times New Roman" w:eastAsia="Times New Roman" w:hAnsi="Times New Roman" w:cs="Times New Roman"/>
          <w:i/>
          <w:sz w:val="19"/>
        </w:rPr>
        <w:t>ной помпы вонопразан также эффективен в терапии ГЭРБ, как и ИПП. Анализ 56 исследований показал, что эффективность и частота нежелательных явлений у пациентов, принимавших вонопразан и ИПП, составляет 1,06 (0,99–1,13) и 1,08 (0,96–1,22), соответственно [12</w:t>
      </w:r>
      <w:r>
        <w:rPr>
          <w:rFonts w:ascii="Times New Roman" w:eastAsia="Times New Roman" w:hAnsi="Times New Roman" w:cs="Times New Roman"/>
          <w:i/>
          <w:sz w:val="19"/>
        </w:rPr>
        <w:t>7]. В настоящее время проходит большое количество клинических исследований эффективности калий конкурентных блокаторов в терапии ГЭРБ.</w:t>
      </w:r>
    </w:p>
    <w:p w:rsidR="006F5A4C" w:rsidRDefault="00730F7D">
      <w:pPr>
        <w:spacing w:after="53" w:line="255" w:lineRule="auto"/>
        <w:ind w:left="291" w:right="130"/>
      </w:pPr>
      <w:r>
        <w:rPr>
          <w:rFonts w:ascii="Times New Roman" w:eastAsia="Times New Roman" w:hAnsi="Times New Roman" w:cs="Times New Roman"/>
          <w:b/>
          <w:color w:val="009EE3"/>
          <w:sz w:val="19"/>
        </w:rPr>
        <w:t>Ведение беременных пациенток с ГЭРБ</w:t>
      </w:r>
    </w:p>
    <w:p w:rsidR="006F5A4C" w:rsidRDefault="00730F7D">
      <w:pPr>
        <w:spacing w:after="3" w:line="254" w:lineRule="auto"/>
        <w:ind w:left="5" w:right="13" w:firstLine="227"/>
        <w:jc w:val="both"/>
      </w:pPr>
      <w:r>
        <w:rPr>
          <w:rFonts w:ascii="Times New Roman" w:eastAsia="Times New Roman" w:hAnsi="Times New Roman" w:cs="Times New Roman"/>
          <w:sz w:val="19"/>
        </w:rPr>
        <w:t>• Ведение беременных с жалобами на изжогу является довольно сложной задачей. В первую</w:t>
      </w:r>
      <w:r>
        <w:rPr>
          <w:rFonts w:ascii="Times New Roman" w:eastAsia="Times New Roman" w:hAnsi="Times New Roman" w:cs="Times New Roman"/>
          <w:sz w:val="19"/>
        </w:rPr>
        <w:t xml:space="preserve"> очередь необходимо дать рекомендации по изменению образа жизни. К лекарственным средствам, применяемым у пациенток на всех сроках беременности, относят альгинаты.</w:t>
      </w:r>
    </w:p>
    <w:p w:rsidR="006F5A4C" w:rsidRDefault="00730F7D">
      <w:pPr>
        <w:spacing w:after="5" w:line="254" w:lineRule="auto"/>
        <w:ind w:left="10" w:firstLine="258"/>
      </w:pPr>
      <w:r>
        <w:rPr>
          <w:rFonts w:ascii="Times New Roman" w:eastAsia="Times New Roman" w:hAnsi="Times New Roman" w:cs="Times New Roman"/>
          <w:b/>
          <w:i/>
          <w:sz w:val="19"/>
        </w:rPr>
        <w:t>Уровень убедительности рекомендаций А (уровень достоверности доказательств — 1).</w:t>
      </w:r>
    </w:p>
    <w:p w:rsidR="006F5A4C" w:rsidRDefault="00730F7D">
      <w:pPr>
        <w:spacing w:after="169" w:line="254" w:lineRule="auto"/>
        <w:ind w:left="11" w:right="14" w:firstLine="284"/>
        <w:jc w:val="both"/>
      </w:pPr>
      <w:r>
        <w:rPr>
          <w:rFonts w:ascii="Times New Roman" w:eastAsia="Times New Roman" w:hAnsi="Times New Roman" w:cs="Times New Roman"/>
          <w:i/>
          <w:sz w:val="19"/>
        </w:rPr>
        <w:t>Комментарии</w:t>
      </w:r>
      <w:r>
        <w:rPr>
          <w:rFonts w:ascii="Times New Roman" w:eastAsia="Times New Roman" w:hAnsi="Times New Roman" w:cs="Times New Roman"/>
          <w:i/>
          <w:sz w:val="19"/>
        </w:rPr>
        <w:t>: распространенность симптомов ГЭРБ при беременности очень высока и составляет до 80 % в третьем триместре. Альгинаты являются безопасными препаратами в качестве терапии изжоги у беременных [128].</w:t>
      </w:r>
    </w:p>
    <w:p w:rsidR="006F5A4C" w:rsidRDefault="00730F7D">
      <w:pPr>
        <w:pStyle w:val="Heading1"/>
        <w:numPr>
          <w:ilvl w:val="0"/>
          <w:numId w:val="0"/>
        </w:numPr>
        <w:ind w:left="298" w:right="10"/>
      </w:pPr>
      <w:r>
        <w:t>3.2 Хирургическое лечение</w:t>
      </w:r>
    </w:p>
    <w:p w:rsidR="006F5A4C" w:rsidRDefault="00730F7D">
      <w:pPr>
        <w:spacing w:after="3" w:line="254" w:lineRule="auto"/>
        <w:ind w:left="5" w:right="13" w:firstLine="226"/>
        <w:jc w:val="both"/>
      </w:pPr>
      <w:r>
        <w:rPr>
          <w:rFonts w:ascii="Times New Roman" w:eastAsia="Times New Roman" w:hAnsi="Times New Roman" w:cs="Times New Roman"/>
          <w:sz w:val="19"/>
        </w:rPr>
        <w:t>• Хирургическое лечение показано при осложненном течении ГЭРБ (повторные кровотечения, пептические стриктуры пищевода, развитие ПБ с дисплазией эпителия высокой степени, частые аспирационные пневмонии). В некоторых случаях, когда пациент по тем или иным об</w:t>
      </w:r>
      <w:r>
        <w:rPr>
          <w:rFonts w:ascii="Times New Roman" w:eastAsia="Times New Roman" w:hAnsi="Times New Roman" w:cs="Times New Roman"/>
          <w:sz w:val="19"/>
        </w:rPr>
        <w:t>ъективным или субъективным причинам не может получать консервативную терапию, следует также рассмотреть вопрос о хирургическом лечении и при неосложненном течении [1].</w:t>
      </w:r>
    </w:p>
    <w:p w:rsidR="006F5A4C" w:rsidRDefault="00730F7D">
      <w:pPr>
        <w:spacing w:after="5" w:line="254" w:lineRule="auto"/>
        <w:ind w:left="10" w:firstLine="258"/>
      </w:pPr>
      <w:r>
        <w:rPr>
          <w:rFonts w:ascii="Times New Roman" w:eastAsia="Times New Roman" w:hAnsi="Times New Roman" w:cs="Times New Roman"/>
          <w:b/>
          <w:i/>
          <w:sz w:val="19"/>
        </w:rPr>
        <w:t>Уровень убедительности рекомендаций C (уровень достоверности доказательств — 4).</w:t>
      </w:r>
    </w:p>
    <w:p w:rsidR="006F5A4C" w:rsidRDefault="00730F7D">
      <w:pPr>
        <w:spacing w:after="3" w:line="254" w:lineRule="auto"/>
        <w:ind w:left="11" w:right="14" w:firstLine="284"/>
        <w:jc w:val="both"/>
      </w:pPr>
      <w:r>
        <w:rPr>
          <w:rFonts w:ascii="Times New Roman" w:eastAsia="Times New Roman" w:hAnsi="Times New Roman" w:cs="Times New Roman"/>
          <w:i/>
          <w:sz w:val="19"/>
        </w:rPr>
        <w:t>Коммент</w:t>
      </w:r>
      <w:r>
        <w:rPr>
          <w:rFonts w:ascii="Times New Roman" w:eastAsia="Times New Roman" w:hAnsi="Times New Roman" w:cs="Times New Roman"/>
          <w:i/>
          <w:sz w:val="19"/>
        </w:rPr>
        <w:t>арии: лапароскопическая фундопликация часто используется у пациентов без ожирения. Тип фундопликации может быть индивидуальный, с проведением частичной фундопликации у пациентов с гипомоторикой пищевода или сниженным перистальтическим резервом по данным ма</w:t>
      </w:r>
      <w:r>
        <w:rPr>
          <w:rFonts w:ascii="Times New Roman" w:eastAsia="Times New Roman" w:hAnsi="Times New Roman" w:cs="Times New Roman"/>
          <w:i/>
          <w:sz w:val="19"/>
        </w:rPr>
        <w:t>нометрии пищевода высокого разрешения при подозрении на риск возникновения послеоперационной дисфагии. Исследования показывают купирование симптомов ГЭРБ, сохраняющееся длительно на протяжении 5–10 лет наблюдений [41, 129].</w:t>
      </w:r>
    </w:p>
    <w:p w:rsidR="006F5A4C" w:rsidRDefault="00730F7D">
      <w:pPr>
        <w:spacing w:after="3" w:line="254" w:lineRule="auto"/>
        <w:ind w:left="11" w:right="14" w:firstLine="284"/>
        <w:jc w:val="both"/>
      </w:pPr>
      <w:r>
        <w:rPr>
          <w:rFonts w:ascii="Times New Roman" w:eastAsia="Times New Roman" w:hAnsi="Times New Roman" w:cs="Times New Roman"/>
          <w:i/>
          <w:sz w:val="19"/>
        </w:rPr>
        <w:t>Хирургическое лечение ГЭРБ более</w:t>
      </w:r>
      <w:r>
        <w:rPr>
          <w:rFonts w:ascii="Times New Roman" w:eastAsia="Times New Roman" w:hAnsi="Times New Roman" w:cs="Times New Roman"/>
          <w:i/>
          <w:sz w:val="19"/>
        </w:rPr>
        <w:t xml:space="preserve"> эффективно у тех пациентов с ГЭРБ, у которых ИПП эффективны [130, 131]. При неэффективности ИПП и внепищеводных проявлениях ГЭРБ хирургическое лечение также менее эффективно [1].</w:t>
      </w:r>
    </w:p>
    <w:p w:rsidR="006F5A4C" w:rsidRDefault="00730F7D">
      <w:pPr>
        <w:spacing w:after="166" w:line="254" w:lineRule="auto"/>
        <w:ind w:left="11" w:right="14" w:firstLine="284"/>
        <w:jc w:val="both"/>
      </w:pPr>
      <w:r>
        <w:rPr>
          <w:rFonts w:ascii="Times New Roman" w:eastAsia="Times New Roman" w:hAnsi="Times New Roman" w:cs="Times New Roman"/>
          <w:i/>
          <w:sz w:val="19"/>
        </w:rPr>
        <w:t>Рассматривать вопрос об оперативном лечении нужно совместно с опытным хирург</w:t>
      </w:r>
      <w:r>
        <w:rPr>
          <w:rFonts w:ascii="Times New Roman" w:eastAsia="Times New Roman" w:hAnsi="Times New Roman" w:cs="Times New Roman"/>
          <w:i/>
          <w:sz w:val="19"/>
        </w:rPr>
        <w:t>ом, после выполнения мероприятий по нормализации образа жизни, проведения суточной рНимпедансометрии для доказательства наличия патологического гастроэзофагеального рефлюкса, а также манометрии пищевода высокого разрешения для выявления возможных противопо</w:t>
      </w:r>
      <w:r>
        <w:rPr>
          <w:rFonts w:ascii="Times New Roman" w:eastAsia="Times New Roman" w:hAnsi="Times New Roman" w:cs="Times New Roman"/>
          <w:i/>
          <w:sz w:val="19"/>
        </w:rPr>
        <w:t>казаний к оперативному лечению в виде выраженных дефектов перистальтики грудного отдела пищевода [1].</w:t>
      </w:r>
    </w:p>
    <w:p w:rsidR="006F5A4C" w:rsidRDefault="00730F7D">
      <w:pPr>
        <w:pStyle w:val="Heading1"/>
        <w:spacing w:after="47" w:line="259" w:lineRule="auto"/>
        <w:ind w:left="174" w:right="94" w:hanging="174"/>
        <w:jc w:val="right"/>
      </w:pPr>
      <w:r>
        <w:rPr>
          <w:color w:val="009EE3"/>
        </w:rPr>
        <w:t>Организация оказания медицинской помощи</w:t>
      </w:r>
    </w:p>
    <w:p w:rsidR="006F5A4C" w:rsidRDefault="00730F7D">
      <w:pPr>
        <w:spacing w:after="3" w:line="254" w:lineRule="auto"/>
        <w:ind w:left="5" w:right="13" w:firstLine="278"/>
        <w:jc w:val="both"/>
      </w:pPr>
      <w:r>
        <w:rPr>
          <w:rFonts w:ascii="Times New Roman" w:eastAsia="Times New Roman" w:hAnsi="Times New Roman" w:cs="Times New Roman"/>
          <w:sz w:val="19"/>
        </w:rPr>
        <w:t>Оказание плановой специализированной медицинской помощи больным с гастроэзофагеальной рефлюксной болезнью осуществ</w:t>
      </w:r>
      <w:r>
        <w:rPr>
          <w:rFonts w:ascii="Times New Roman" w:eastAsia="Times New Roman" w:hAnsi="Times New Roman" w:cs="Times New Roman"/>
          <w:sz w:val="19"/>
        </w:rPr>
        <w:t>ляется как в амбулаторных, так и в стационарных условиях согласно стандарту медицинской помощи взрослым, утвержденному Приказом Министерства здравоохранения Российской Федерации № 722н от 09.11.2012 г.</w:t>
      </w:r>
    </w:p>
    <w:p w:rsidR="006F5A4C" w:rsidRDefault="006F5A4C">
      <w:pPr>
        <w:sectPr w:rsidR="006F5A4C">
          <w:footnotePr>
            <w:numRestart w:val="eachPage"/>
          </w:footnotePr>
          <w:type w:val="continuous"/>
          <w:pgSz w:w="11906" w:h="15874"/>
          <w:pgMar w:top="1036" w:right="1062" w:bottom="1097" w:left="1113" w:header="720" w:footer="720" w:gutter="0"/>
          <w:cols w:num="2" w:space="115"/>
        </w:sectPr>
      </w:pPr>
    </w:p>
    <w:p w:rsidR="006F5A4C" w:rsidRDefault="00730F7D">
      <w:pPr>
        <w:spacing w:after="4" w:line="255" w:lineRule="auto"/>
        <w:ind w:left="291" w:right="130"/>
      </w:pPr>
      <w:r>
        <w:rPr>
          <w:rFonts w:ascii="Times New Roman" w:eastAsia="Times New Roman" w:hAnsi="Times New Roman" w:cs="Times New Roman"/>
          <w:b/>
          <w:color w:val="009EE3"/>
          <w:sz w:val="19"/>
        </w:rPr>
        <w:t>Литература / References</w:t>
      </w:r>
    </w:p>
    <w:p w:rsidR="006F5A4C" w:rsidRDefault="00730F7D">
      <w:pPr>
        <w:numPr>
          <w:ilvl w:val="0"/>
          <w:numId w:val="7"/>
        </w:numPr>
        <w:spacing w:after="4" w:line="247" w:lineRule="auto"/>
        <w:ind w:right="55" w:hanging="440"/>
        <w:jc w:val="both"/>
      </w:pPr>
      <w:r>
        <w:rPr>
          <w:rFonts w:ascii="Times New Roman" w:eastAsia="Times New Roman" w:hAnsi="Times New Roman" w:cs="Times New Roman"/>
          <w:i/>
          <w:sz w:val="16"/>
        </w:rPr>
        <w:t>Ивашкин В</w:t>
      </w:r>
      <w:r>
        <w:rPr>
          <w:rFonts w:ascii="Times New Roman" w:eastAsia="Times New Roman" w:hAnsi="Times New Roman" w:cs="Times New Roman"/>
          <w:i/>
          <w:sz w:val="16"/>
        </w:rPr>
        <w:t>.Т., Маев И.В., Трухманов А.С., Лапина Т.Л., Сторонова О.А., Зайратьянц О.В.</w:t>
      </w:r>
      <w:r>
        <w:rPr>
          <w:rFonts w:ascii="Times New Roman" w:eastAsia="Times New Roman" w:hAnsi="Times New Roman" w:cs="Times New Roman"/>
          <w:sz w:val="16"/>
        </w:rPr>
        <w:t xml:space="preserve"> </w:t>
      </w:r>
      <w:r>
        <w:rPr>
          <w:rFonts w:ascii="Times New Roman" w:eastAsia="Times New Roman" w:hAnsi="Times New Roman" w:cs="Times New Roman"/>
          <w:i/>
          <w:sz w:val="16"/>
        </w:rPr>
        <w:t>и др.</w:t>
      </w:r>
      <w:r>
        <w:rPr>
          <w:rFonts w:ascii="Times New Roman" w:eastAsia="Times New Roman" w:hAnsi="Times New Roman" w:cs="Times New Roman"/>
          <w:sz w:val="16"/>
        </w:rPr>
        <w:t xml:space="preserve"> Клинические рекомендации Российской гастроэнтерологической ассоциации по диагностике и лечению гастроэзофагеальной рефлюксной болезни. </w:t>
      </w:r>
      <w:r>
        <w:rPr>
          <w:rFonts w:ascii="Times New Roman" w:eastAsia="Times New Roman" w:hAnsi="Times New Roman" w:cs="Times New Roman"/>
          <w:i/>
          <w:sz w:val="16"/>
        </w:rPr>
        <w:t>Российский журнал гастроэнтерологии, г</w:t>
      </w:r>
      <w:r>
        <w:rPr>
          <w:rFonts w:ascii="Times New Roman" w:eastAsia="Times New Roman" w:hAnsi="Times New Roman" w:cs="Times New Roman"/>
          <w:i/>
          <w:sz w:val="16"/>
        </w:rPr>
        <w:t>епатологии, колопроктологии.</w:t>
      </w:r>
      <w:r>
        <w:rPr>
          <w:rFonts w:ascii="Times New Roman" w:eastAsia="Times New Roman" w:hAnsi="Times New Roman" w:cs="Times New Roman"/>
          <w:sz w:val="16"/>
        </w:rPr>
        <w:t xml:space="preserve"> 2020;30(4):70–97. [</w:t>
      </w:r>
      <w:r>
        <w:rPr>
          <w:rFonts w:ascii="Times New Roman" w:eastAsia="Times New Roman" w:hAnsi="Times New Roman" w:cs="Times New Roman"/>
          <w:i/>
          <w:sz w:val="16"/>
        </w:rPr>
        <w:t xml:space="preserve">Ivashkin V.T., Maev I.V., Trukhmanov A.S., Lapina T.L., Storonova O.A., </w:t>
      </w:r>
    </w:p>
    <w:p w:rsidR="006F5A4C" w:rsidRDefault="00730F7D">
      <w:pPr>
        <w:spacing w:after="3" w:line="241" w:lineRule="auto"/>
        <w:ind w:left="299" w:right="55" w:firstLine="1"/>
        <w:jc w:val="both"/>
      </w:pPr>
      <w:r>
        <w:rPr>
          <w:rFonts w:ascii="Times New Roman" w:eastAsia="Times New Roman" w:hAnsi="Times New Roman" w:cs="Times New Roman"/>
          <w:i/>
          <w:sz w:val="16"/>
        </w:rPr>
        <w:t>Zayratyants O.V., et al.</w:t>
      </w:r>
      <w:r>
        <w:rPr>
          <w:rFonts w:ascii="Times New Roman" w:eastAsia="Times New Roman" w:hAnsi="Times New Roman" w:cs="Times New Roman"/>
          <w:sz w:val="16"/>
        </w:rPr>
        <w:t xml:space="preserve"> Recommendations of the Russian Gastroenterological Association in Diagnosis and Treatment of Gastroesophageal Reflux Disease. </w:t>
      </w:r>
      <w:r>
        <w:rPr>
          <w:rFonts w:ascii="Times New Roman" w:eastAsia="Times New Roman" w:hAnsi="Times New Roman" w:cs="Times New Roman"/>
          <w:i/>
          <w:sz w:val="16"/>
        </w:rPr>
        <w:t>Russian Journal of Gastroenterology, Hepatology, Coloproctology.</w:t>
      </w:r>
      <w:r>
        <w:rPr>
          <w:rFonts w:ascii="Times New Roman" w:eastAsia="Times New Roman" w:hAnsi="Times New Roman" w:cs="Times New Roman"/>
          <w:sz w:val="16"/>
        </w:rPr>
        <w:t xml:space="preserve"> </w:t>
      </w:r>
    </w:p>
    <w:p w:rsidR="006F5A4C" w:rsidRDefault="00730F7D">
      <w:pPr>
        <w:spacing w:after="3" w:line="241" w:lineRule="auto"/>
        <w:ind w:left="298" w:right="55" w:firstLine="1"/>
        <w:jc w:val="both"/>
      </w:pPr>
      <w:r>
        <w:rPr>
          <w:rFonts w:ascii="Times New Roman" w:eastAsia="Times New Roman" w:hAnsi="Times New Roman" w:cs="Times New Roman"/>
          <w:sz w:val="16"/>
        </w:rPr>
        <w:t>2020;30(4):70–97. (In Russ)]. DOI: 10.22416/1382-4376-</w:t>
      </w:r>
    </w:p>
    <w:p w:rsidR="006F5A4C" w:rsidRDefault="00730F7D">
      <w:pPr>
        <w:spacing w:after="3" w:line="241" w:lineRule="auto"/>
        <w:ind w:left="298" w:right="55" w:firstLine="1"/>
        <w:jc w:val="both"/>
      </w:pPr>
      <w:r>
        <w:rPr>
          <w:rFonts w:ascii="Times New Roman" w:eastAsia="Times New Roman" w:hAnsi="Times New Roman" w:cs="Times New Roman"/>
          <w:sz w:val="16"/>
        </w:rPr>
        <w:t>2020-30-</w:t>
      </w:r>
      <w:r>
        <w:rPr>
          <w:rFonts w:ascii="Times New Roman" w:eastAsia="Times New Roman" w:hAnsi="Times New Roman" w:cs="Times New Roman"/>
          <w:sz w:val="16"/>
        </w:rPr>
        <w:t>4-70-97</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Ивашкин В.Т., Шептулин А.А.</w:t>
      </w:r>
      <w:r>
        <w:rPr>
          <w:rFonts w:ascii="Times New Roman" w:eastAsia="Times New Roman" w:hAnsi="Times New Roman" w:cs="Times New Roman"/>
          <w:sz w:val="16"/>
        </w:rPr>
        <w:t xml:space="preserve"> Болезни пищевода и желудка. М.: МЕДпресс-информ, 2002. [</w:t>
      </w:r>
      <w:r>
        <w:rPr>
          <w:rFonts w:ascii="Times New Roman" w:eastAsia="Times New Roman" w:hAnsi="Times New Roman" w:cs="Times New Roman"/>
          <w:i/>
          <w:sz w:val="16"/>
        </w:rPr>
        <w:t>Ivashkin V.T., Sheptulin A.A.</w:t>
      </w:r>
      <w:r>
        <w:rPr>
          <w:rFonts w:ascii="Times New Roman" w:eastAsia="Times New Roman" w:hAnsi="Times New Roman" w:cs="Times New Roman"/>
          <w:sz w:val="16"/>
        </w:rPr>
        <w:t xml:space="preserve"> Diseases of esophagus and stomach. Moscow: MEDpress-inform Publ., 2002. (In Russ.)].</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Katz P.O., Dunbar K.B., Schnoll-Sussman F.H., Greer K.B., Yadlapati R., Spechler S.J.</w:t>
      </w:r>
      <w:r>
        <w:rPr>
          <w:rFonts w:ascii="Times New Roman" w:eastAsia="Times New Roman" w:hAnsi="Times New Roman" w:cs="Times New Roman"/>
          <w:sz w:val="16"/>
        </w:rPr>
        <w:t xml:space="preserve"> ACG clinical guideline for the diagnosis and management of gastroesophageal reflux disease. </w:t>
      </w:r>
      <w:r>
        <w:rPr>
          <w:rFonts w:ascii="Times New Roman" w:eastAsia="Times New Roman" w:hAnsi="Times New Roman" w:cs="Times New Roman"/>
          <w:i/>
          <w:sz w:val="16"/>
        </w:rPr>
        <w:t xml:space="preserve">Am J Gastroenterol. </w:t>
      </w:r>
      <w:r>
        <w:rPr>
          <w:rFonts w:ascii="Times New Roman" w:eastAsia="Times New Roman" w:hAnsi="Times New Roman" w:cs="Times New Roman"/>
          <w:sz w:val="16"/>
        </w:rPr>
        <w:t>2022;117(1):27– 56. DOI: 10.14309/ajg.0000000000001538</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Fit</w:t>
      </w:r>
      <w:r>
        <w:rPr>
          <w:rFonts w:ascii="Times New Roman" w:eastAsia="Times New Roman" w:hAnsi="Times New Roman" w:cs="Times New Roman"/>
          <w:i/>
          <w:sz w:val="16"/>
        </w:rPr>
        <w:t>zgerald R.C., Onwuegbusi B.A., Bajaj-Elliott M., Saeed I.T., Burnham W.R., Farthing M.J.</w:t>
      </w:r>
      <w:r>
        <w:rPr>
          <w:rFonts w:ascii="Times New Roman" w:eastAsia="Times New Roman" w:hAnsi="Times New Roman" w:cs="Times New Roman"/>
          <w:sz w:val="16"/>
        </w:rPr>
        <w:t xml:space="preserve"> Diversity in the oesophageal phenotypic response to gastro-oesophageal reflux: Immunological determinants. </w:t>
      </w:r>
      <w:r>
        <w:rPr>
          <w:rFonts w:ascii="Times New Roman" w:eastAsia="Times New Roman" w:hAnsi="Times New Roman" w:cs="Times New Roman"/>
          <w:i/>
          <w:sz w:val="16"/>
        </w:rPr>
        <w:t>Gut</w:t>
      </w:r>
      <w:r>
        <w:rPr>
          <w:rFonts w:ascii="Times New Roman" w:eastAsia="Times New Roman" w:hAnsi="Times New Roman" w:cs="Times New Roman"/>
          <w:sz w:val="16"/>
        </w:rPr>
        <w:t xml:space="preserve">. </w:t>
      </w:r>
    </w:p>
    <w:p w:rsidR="006F5A4C" w:rsidRDefault="00730F7D">
      <w:pPr>
        <w:spacing w:after="3" w:line="241" w:lineRule="auto"/>
        <w:ind w:left="298" w:right="55" w:firstLine="1"/>
        <w:jc w:val="both"/>
      </w:pPr>
      <w:r>
        <w:rPr>
          <w:rFonts w:ascii="Times New Roman" w:eastAsia="Times New Roman" w:hAnsi="Times New Roman" w:cs="Times New Roman"/>
          <w:sz w:val="16"/>
        </w:rPr>
        <w:t>2002;50(4):451–9. DOI: 10.1136/gut.50.4.451</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Yoshida N.</w:t>
      </w:r>
      <w:r>
        <w:rPr>
          <w:rFonts w:ascii="Times New Roman" w:eastAsia="Times New Roman" w:hAnsi="Times New Roman" w:cs="Times New Roman"/>
          <w:sz w:val="16"/>
        </w:rPr>
        <w:t xml:space="preserve"> Inflammation and oxidative stress in gastroesophageal reflux disease. </w:t>
      </w:r>
      <w:r>
        <w:rPr>
          <w:rFonts w:ascii="Times New Roman" w:eastAsia="Times New Roman" w:hAnsi="Times New Roman" w:cs="Times New Roman"/>
          <w:i/>
          <w:sz w:val="16"/>
        </w:rPr>
        <w:t xml:space="preserve">J Clin Biochem Nutr. </w:t>
      </w:r>
    </w:p>
    <w:p w:rsidR="006F5A4C" w:rsidRDefault="00730F7D">
      <w:pPr>
        <w:spacing w:after="3" w:line="241" w:lineRule="auto"/>
        <w:ind w:left="297" w:right="55" w:firstLine="1"/>
        <w:jc w:val="both"/>
      </w:pPr>
      <w:r>
        <w:rPr>
          <w:rFonts w:ascii="Times New Roman" w:eastAsia="Times New Roman" w:hAnsi="Times New Roman" w:cs="Times New Roman"/>
          <w:sz w:val="16"/>
        </w:rPr>
        <w:t>2007;40(1):13–23. DOI: 10.3164/jcbn.40.13</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Трухманов А.С., Румянцева Д.Е.</w:t>
      </w:r>
      <w:r>
        <w:rPr>
          <w:rFonts w:ascii="Times New Roman" w:eastAsia="Times New Roman" w:hAnsi="Times New Roman" w:cs="Times New Roman"/>
          <w:sz w:val="16"/>
        </w:rPr>
        <w:t xml:space="preserve"> Ребамипид и ингибиторы протонной помпы: преимущества совместного применения. </w:t>
      </w:r>
      <w:r>
        <w:rPr>
          <w:rFonts w:ascii="Times New Roman" w:eastAsia="Times New Roman" w:hAnsi="Times New Roman" w:cs="Times New Roman"/>
          <w:i/>
          <w:sz w:val="16"/>
        </w:rPr>
        <w:t>Вопросы детск</w:t>
      </w:r>
      <w:r>
        <w:rPr>
          <w:rFonts w:ascii="Times New Roman" w:eastAsia="Times New Roman" w:hAnsi="Times New Roman" w:cs="Times New Roman"/>
          <w:i/>
          <w:sz w:val="16"/>
        </w:rPr>
        <w:t>ой диетологии.</w:t>
      </w:r>
      <w:r>
        <w:rPr>
          <w:rFonts w:ascii="Times New Roman" w:eastAsia="Times New Roman" w:hAnsi="Times New Roman" w:cs="Times New Roman"/>
          <w:sz w:val="16"/>
        </w:rPr>
        <w:t xml:space="preserve"> 2022;20(1):42– 51. [</w:t>
      </w:r>
      <w:r>
        <w:rPr>
          <w:rFonts w:ascii="Times New Roman" w:eastAsia="Times New Roman" w:hAnsi="Times New Roman" w:cs="Times New Roman"/>
          <w:i/>
          <w:sz w:val="16"/>
        </w:rPr>
        <w:t>Trukhmanov A.S., Rumyantseva D.E.</w:t>
      </w:r>
      <w:r>
        <w:rPr>
          <w:rFonts w:ascii="Times New Roman" w:eastAsia="Times New Roman" w:hAnsi="Times New Roman" w:cs="Times New Roman"/>
          <w:sz w:val="16"/>
        </w:rPr>
        <w:t xml:space="preserve"> Rebamipide and proton pump inhibitors: Benefits of combined use. </w:t>
      </w:r>
    </w:p>
    <w:p w:rsidR="006F5A4C" w:rsidRDefault="00730F7D">
      <w:pPr>
        <w:spacing w:after="3" w:line="241" w:lineRule="auto"/>
        <w:ind w:left="295" w:right="55" w:firstLine="1"/>
        <w:jc w:val="both"/>
      </w:pPr>
      <w:r>
        <w:rPr>
          <w:rFonts w:ascii="Times New Roman" w:eastAsia="Times New Roman" w:hAnsi="Times New Roman" w:cs="Times New Roman"/>
          <w:i/>
          <w:sz w:val="16"/>
        </w:rPr>
        <w:t>Pediatric Nutrition.</w:t>
      </w:r>
      <w:r>
        <w:rPr>
          <w:rFonts w:ascii="Times New Roman" w:eastAsia="Times New Roman" w:hAnsi="Times New Roman" w:cs="Times New Roman"/>
          <w:sz w:val="16"/>
        </w:rPr>
        <w:t xml:space="preserve"> 2022;20(1):42–51. (In Russ).]. </w:t>
      </w:r>
    </w:p>
    <w:p w:rsidR="006F5A4C" w:rsidRDefault="00730F7D">
      <w:pPr>
        <w:spacing w:after="3" w:line="241" w:lineRule="auto"/>
        <w:ind w:left="299" w:right="55" w:firstLine="1"/>
        <w:jc w:val="both"/>
      </w:pPr>
      <w:r>
        <w:rPr>
          <w:rFonts w:ascii="Times New Roman" w:eastAsia="Times New Roman" w:hAnsi="Times New Roman" w:cs="Times New Roman"/>
          <w:sz w:val="16"/>
        </w:rPr>
        <w:t>DOI: 10.20953/1727-5784-2022-1-42-51</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Tobey N.A., Carson J.L., Alkiek</w:t>
      </w:r>
      <w:r>
        <w:rPr>
          <w:rFonts w:ascii="Times New Roman" w:eastAsia="Times New Roman" w:hAnsi="Times New Roman" w:cs="Times New Roman"/>
          <w:i/>
          <w:sz w:val="16"/>
        </w:rPr>
        <w:t xml:space="preserve"> R.A., Orlando R.C.</w:t>
      </w:r>
      <w:r>
        <w:rPr>
          <w:rFonts w:ascii="Times New Roman" w:eastAsia="Times New Roman" w:hAnsi="Times New Roman" w:cs="Times New Roman"/>
          <w:sz w:val="16"/>
        </w:rPr>
        <w:t xml:space="preserve"> Dilated intercellular spaces: A morphological feature of acid reflux-damaged human esophageal epithelium. </w:t>
      </w:r>
      <w:r>
        <w:rPr>
          <w:rFonts w:ascii="Times New Roman" w:eastAsia="Times New Roman" w:hAnsi="Times New Roman" w:cs="Times New Roman"/>
          <w:i/>
          <w:sz w:val="16"/>
        </w:rPr>
        <w:t>Gastroenterology.</w:t>
      </w:r>
      <w:r>
        <w:rPr>
          <w:rFonts w:ascii="Times New Roman" w:eastAsia="Times New Roman" w:hAnsi="Times New Roman" w:cs="Times New Roman"/>
          <w:sz w:val="16"/>
        </w:rPr>
        <w:t xml:space="preserve"> 1996;111(5):1200–5. DOI: 10.1053/gast.1996. v111.pm8898633</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Caviglia R., Ribolsi M., Gentile M., Rabitti C., Emer</w:t>
      </w:r>
      <w:r>
        <w:rPr>
          <w:rFonts w:ascii="Times New Roman" w:eastAsia="Times New Roman" w:hAnsi="Times New Roman" w:cs="Times New Roman"/>
          <w:i/>
          <w:sz w:val="16"/>
        </w:rPr>
        <w:t>enziani S., Guarino M.P., et al.</w:t>
      </w:r>
      <w:r>
        <w:rPr>
          <w:rFonts w:ascii="Times New Roman" w:eastAsia="Times New Roman" w:hAnsi="Times New Roman" w:cs="Times New Roman"/>
          <w:sz w:val="16"/>
        </w:rPr>
        <w:t xml:space="preserve"> Dilated intercellular spaces and acid reflux at the distal and proximal oesophagus in patients with non-erosive gastro-oesophageal reflux disease. </w:t>
      </w:r>
      <w:r>
        <w:rPr>
          <w:rFonts w:ascii="Times New Roman" w:eastAsia="Times New Roman" w:hAnsi="Times New Roman" w:cs="Times New Roman"/>
          <w:i/>
          <w:sz w:val="16"/>
        </w:rPr>
        <w:t xml:space="preserve">Aliment Pharmacol Ther. </w:t>
      </w:r>
      <w:r>
        <w:rPr>
          <w:rFonts w:ascii="Times New Roman" w:eastAsia="Times New Roman" w:hAnsi="Times New Roman" w:cs="Times New Roman"/>
          <w:sz w:val="16"/>
        </w:rPr>
        <w:t>2007;25(5):629–36. DOI: 10.1111/j.1365-2036.2006.032</w:t>
      </w:r>
      <w:r>
        <w:rPr>
          <w:rFonts w:ascii="Times New Roman" w:eastAsia="Times New Roman" w:hAnsi="Times New Roman" w:cs="Times New Roman"/>
          <w:sz w:val="16"/>
        </w:rPr>
        <w:t>37.x</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Antunes C., Aleem A., Curtis S.A.</w:t>
      </w:r>
      <w:r>
        <w:rPr>
          <w:rFonts w:ascii="Times New Roman" w:eastAsia="Times New Roman" w:hAnsi="Times New Roman" w:cs="Times New Roman"/>
          <w:sz w:val="16"/>
        </w:rPr>
        <w:t xml:space="preserve"> Gastroesophageal reflux disease. 2023 Jul 3. In: StatPearls [Internet]. Treasure Island (FL): StatPearls Publ.; 2024.</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Clarrett D.M., Hachem C.</w:t>
      </w:r>
      <w:r>
        <w:rPr>
          <w:rFonts w:ascii="Times New Roman" w:eastAsia="Times New Roman" w:hAnsi="Times New Roman" w:cs="Times New Roman"/>
          <w:sz w:val="16"/>
        </w:rPr>
        <w:t xml:space="preserve"> Gastroesophageal Reflux Disease (GERD). </w:t>
      </w:r>
      <w:r>
        <w:rPr>
          <w:rFonts w:ascii="Times New Roman" w:eastAsia="Times New Roman" w:hAnsi="Times New Roman" w:cs="Times New Roman"/>
          <w:i/>
          <w:sz w:val="16"/>
        </w:rPr>
        <w:t>Mo Med.</w:t>
      </w:r>
      <w:r>
        <w:rPr>
          <w:rFonts w:ascii="Times New Roman" w:eastAsia="Times New Roman" w:hAnsi="Times New Roman" w:cs="Times New Roman"/>
          <w:sz w:val="16"/>
        </w:rPr>
        <w:t xml:space="preserve"> 2018;115(3):214–8.</w:t>
      </w:r>
    </w:p>
    <w:p w:rsidR="006F5A4C" w:rsidRDefault="00730F7D">
      <w:pPr>
        <w:numPr>
          <w:ilvl w:val="0"/>
          <w:numId w:val="7"/>
        </w:numPr>
        <w:spacing w:after="4" w:line="247" w:lineRule="auto"/>
        <w:ind w:right="55" w:hanging="440"/>
        <w:jc w:val="both"/>
      </w:pPr>
      <w:r>
        <w:rPr>
          <w:rFonts w:ascii="Times New Roman" w:eastAsia="Times New Roman" w:hAnsi="Times New Roman" w:cs="Times New Roman"/>
          <w:i/>
          <w:sz w:val="16"/>
        </w:rPr>
        <w:t>van Herwaarden M.A., Samsom M., Smout A.J.</w:t>
      </w:r>
      <w:r>
        <w:rPr>
          <w:rFonts w:ascii="Times New Roman" w:eastAsia="Times New Roman" w:hAnsi="Times New Roman" w:cs="Times New Roman"/>
          <w:sz w:val="16"/>
        </w:rPr>
        <w:t xml:space="preserve"> </w:t>
      </w:r>
    </w:p>
    <w:p w:rsidR="006F5A4C" w:rsidRDefault="00730F7D">
      <w:pPr>
        <w:spacing w:after="3" w:line="241" w:lineRule="auto"/>
        <w:ind w:left="292" w:right="55" w:firstLine="1"/>
        <w:jc w:val="both"/>
      </w:pPr>
      <w:r>
        <w:rPr>
          <w:rFonts w:ascii="Times New Roman" w:eastAsia="Times New Roman" w:hAnsi="Times New Roman" w:cs="Times New Roman"/>
          <w:sz w:val="16"/>
        </w:rPr>
        <w:t xml:space="preserve">The role of hiatus hernia in gastro-oesophageal reflux disease. </w:t>
      </w:r>
      <w:r>
        <w:rPr>
          <w:rFonts w:ascii="Times New Roman" w:eastAsia="Times New Roman" w:hAnsi="Times New Roman" w:cs="Times New Roman"/>
          <w:i/>
          <w:sz w:val="16"/>
        </w:rPr>
        <w:t>Eur J Gastroenterol Hepatol.</w:t>
      </w:r>
      <w:r>
        <w:rPr>
          <w:rFonts w:ascii="Times New Roman" w:eastAsia="Times New Roman" w:hAnsi="Times New Roman" w:cs="Times New Roman"/>
          <w:sz w:val="16"/>
        </w:rPr>
        <w:t xml:space="preserve"> 2004;16(9):831–5. </w:t>
      </w:r>
    </w:p>
    <w:p w:rsidR="006F5A4C" w:rsidRDefault="00730F7D">
      <w:pPr>
        <w:spacing w:after="3" w:line="241" w:lineRule="auto"/>
        <w:ind w:left="294" w:right="55" w:firstLine="1"/>
        <w:jc w:val="both"/>
      </w:pPr>
      <w:r>
        <w:rPr>
          <w:rFonts w:ascii="Times New Roman" w:eastAsia="Times New Roman" w:hAnsi="Times New Roman" w:cs="Times New Roman"/>
          <w:sz w:val="16"/>
        </w:rPr>
        <w:t>DOI: 10.1097/00042737-200409000-00003</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Сторонова О.А., Трухманов А.С., Макушина А.А., Параскевова А.В</w:t>
      </w:r>
      <w:r>
        <w:rPr>
          <w:rFonts w:ascii="Times New Roman" w:eastAsia="Times New Roman" w:hAnsi="Times New Roman" w:cs="Times New Roman"/>
          <w:i/>
          <w:sz w:val="16"/>
        </w:rPr>
        <w:t>., Ивашкин В.Т.</w:t>
      </w:r>
      <w:r>
        <w:rPr>
          <w:rFonts w:ascii="Times New Roman" w:eastAsia="Times New Roman" w:hAnsi="Times New Roman" w:cs="Times New Roman"/>
          <w:sz w:val="16"/>
        </w:rPr>
        <w:t xml:space="preserve"> Новые параметры рН-импедансометрии в постановке диагноза гастроэзофагеальной рефлюксной болезни и прогнозе тяжести течения заболевания. </w:t>
      </w:r>
      <w:r>
        <w:rPr>
          <w:rFonts w:ascii="Times New Roman" w:eastAsia="Times New Roman" w:hAnsi="Times New Roman" w:cs="Times New Roman"/>
          <w:i/>
          <w:sz w:val="16"/>
        </w:rPr>
        <w:t xml:space="preserve">Российский журнал гастроэнтерологии, гепатологии, колопроктологии. </w:t>
      </w:r>
      <w:r>
        <w:rPr>
          <w:rFonts w:ascii="Times New Roman" w:eastAsia="Times New Roman" w:hAnsi="Times New Roman" w:cs="Times New Roman"/>
          <w:sz w:val="16"/>
        </w:rPr>
        <w:t>2019;29(2):35–44. [</w:t>
      </w:r>
      <w:r>
        <w:rPr>
          <w:rFonts w:ascii="Times New Roman" w:eastAsia="Times New Roman" w:hAnsi="Times New Roman" w:cs="Times New Roman"/>
          <w:i/>
          <w:sz w:val="16"/>
        </w:rPr>
        <w:t>Storonova O.A., Tr</w:t>
      </w:r>
      <w:r>
        <w:rPr>
          <w:rFonts w:ascii="Times New Roman" w:eastAsia="Times New Roman" w:hAnsi="Times New Roman" w:cs="Times New Roman"/>
          <w:i/>
          <w:sz w:val="16"/>
        </w:rPr>
        <w:t>ukhmanov A.S., Makushina A.A., Paraskevova A.V., Ivashkin V.T.</w:t>
      </w:r>
      <w:r>
        <w:rPr>
          <w:rFonts w:ascii="Times New Roman" w:eastAsia="Times New Roman" w:hAnsi="Times New Roman" w:cs="Times New Roman"/>
          <w:sz w:val="16"/>
        </w:rPr>
        <w:t xml:space="preserve"> New parameters for impedance-pH monitoring in diagnosing gastroesophageal reflux disease and predicting its severity. </w:t>
      </w:r>
      <w:r>
        <w:rPr>
          <w:rFonts w:ascii="Times New Roman" w:eastAsia="Times New Roman" w:hAnsi="Times New Roman" w:cs="Times New Roman"/>
          <w:i/>
          <w:sz w:val="16"/>
        </w:rPr>
        <w:t xml:space="preserve">Russian Journal of Gastroenterology, </w:t>
      </w:r>
    </w:p>
    <w:p w:rsidR="006F5A4C" w:rsidRDefault="00730F7D">
      <w:pPr>
        <w:spacing w:after="3" w:line="241" w:lineRule="auto"/>
        <w:ind w:left="291" w:right="55" w:firstLine="1"/>
        <w:jc w:val="both"/>
      </w:pPr>
      <w:r>
        <w:rPr>
          <w:rFonts w:ascii="Times New Roman" w:eastAsia="Times New Roman" w:hAnsi="Times New Roman" w:cs="Times New Roman"/>
          <w:i/>
          <w:sz w:val="16"/>
        </w:rPr>
        <w:t>Hepatology, Coloproctology.</w:t>
      </w:r>
      <w:r>
        <w:rPr>
          <w:rFonts w:ascii="Times New Roman" w:eastAsia="Times New Roman" w:hAnsi="Times New Roman" w:cs="Times New Roman"/>
          <w:sz w:val="16"/>
        </w:rPr>
        <w:t xml:space="preserve"> 2019;29(2</w:t>
      </w:r>
      <w:r>
        <w:rPr>
          <w:rFonts w:ascii="Times New Roman" w:eastAsia="Times New Roman" w:hAnsi="Times New Roman" w:cs="Times New Roman"/>
          <w:sz w:val="16"/>
        </w:rPr>
        <w:t xml:space="preserve">):35–44. (In Russ.)]. </w:t>
      </w:r>
    </w:p>
    <w:p w:rsidR="006F5A4C" w:rsidRDefault="00730F7D">
      <w:pPr>
        <w:spacing w:after="3" w:line="241" w:lineRule="auto"/>
        <w:ind w:left="294" w:right="55" w:firstLine="1"/>
        <w:jc w:val="both"/>
      </w:pPr>
      <w:r>
        <w:rPr>
          <w:rFonts w:ascii="Times New Roman" w:eastAsia="Times New Roman" w:hAnsi="Times New Roman" w:cs="Times New Roman"/>
          <w:sz w:val="16"/>
        </w:rPr>
        <w:t>DOI: 10.22416/1382-4376-2019-29-2-35-44</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Eusebi L.H., Ratnakumaran R., Yuan Y., Solaymani-Dodaran M., Bazzoli F., Ford A.C.</w:t>
      </w:r>
      <w:r>
        <w:rPr>
          <w:rFonts w:ascii="Times New Roman" w:eastAsia="Times New Roman" w:hAnsi="Times New Roman" w:cs="Times New Roman"/>
          <w:sz w:val="16"/>
        </w:rPr>
        <w:t xml:space="preserve"> Global prevalence of, and risk factors for, gastro-oesophageal reflux symptoms: A meta-analysis. </w:t>
      </w:r>
      <w:r>
        <w:rPr>
          <w:rFonts w:ascii="Times New Roman" w:eastAsia="Times New Roman" w:hAnsi="Times New Roman" w:cs="Times New Roman"/>
          <w:i/>
          <w:sz w:val="16"/>
        </w:rPr>
        <w:t>Gut.</w:t>
      </w:r>
      <w:r>
        <w:rPr>
          <w:rFonts w:ascii="Times New Roman" w:eastAsia="Times New Roman" w:hAnsi="Times New Roman" w:cs="Times New Roman"/>
          <w:sz w:val="16"/>
        </w:rPr>
        <w:t xml:space="preserve"> 2018;67(</w:t>
      </w:r>
      <w:r>
        <w:rPr>
          <w:rFonts w:ascii="Times New Roman" w:eastAsia="Times New Roman" w:hAnsi="Times New Roman" w:cs="Times New Roman"/>
          <w:sz w:val="16"/>
        </w:rPr>
        <w:t>3):430–40. DOI: 10.1136/gutjnl-2016-313589</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Hampel H., Abraham N.S., El-Serag H.B.</w:t>
      </w:r>
      <w:r>
        <w:rPr>
          <w:rFonts w:ascii="Times New Roman" w:eastAsia="Times New Roman" w:hAnsi="Times New Roman" w:cs="Times New Roman"/>
          <w:sz w:val="16"/>
        </w:rPr>
        <w:t xml:space="preserve"> Meta-analysis: Obesity and the risk for gastroesophageal reflux disease and its complications. </w:t>
      </w:r>
      <w:r>
        <w:rPr>
          <w:rFonts w:ascii="Times New Roman" w:eastAsia="Times New Roman" w:hAnsi="Times New Roman" w:cs="Times New Roman"/>
          <w:i/>
          <w:sz w:val="16"/>
        </w:rPr>
        <w:t>Ann Intern Med.</w:t>
      </w:r>
      <w:r>
        <w:rPr>
          <w:rFonts w:ascii="Times New Roman" w:eastAsia="Times New Roman" w:hAnsi="Times New Roman" w:cs="Times New Roman"/>
          <w:sz w:val="16"/>
        </w:rPr>
        <w:t xml:space="preserve"> 2005;143(3):199–211. DOI: 10.7326/0003-4819-143-3-200508020-000</w:t>
      </w:r>
      <w:r>
        <w:rPr>
          <w:rFonts w:ascii="Times New Roman" w:eastAsia="Times New Roman" w:hAnsi="Times New Roman" w:cs="Times New Roman"/>
          <w:sz w:val="16"/>
        </w:rPr>
        <w:t>06</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Singh S., Sharma A.N., Murad M.H, Buttar N.S., El-Serag H.B., Katzka D.A., et al.</w:t>
      </w:r>
      <w:r>
        <w:rPr>
          <w:rFonts w:ascii="Times New Roman" w:eastAsia="Times New Roman" w:hAnsi="Times New Roman" w:cs="Times New Roman"/>
          <w:sz w:val="16"/>
        </w:rPr>
        <w:t xml:space="preserve"> Central adiposity is associated with increased risk of esophageal inflammation, metaplasia, and adenocarcinoma: A systematic review and meta-analysis. </w:t>
      </w:r>
      <w:r>
        <w:rPr>
          <w:rFonts w:ascii="Times New Roman" w:eastAsia="Times New Roman" w:hAnsi="Times New Roman" w:cs="Times New Roman"/>
          <w:i/>
          <w:sz w:val="16"/>
        </w:rPr>
        <w:t>Clin Gastroenterol H</w:t>
      </w:r>
      <w:r>
        <w:rPr>
          <w:rFonts w:ascii="Times New Roman" w:eastAsia="Times New Roman" w:hAnsi="Times New Roman" w:cs="Times New Roman"/>
          <w:i/>
          <w:sz w:val="16"/>
        </w:rPr>
        <w:t>epatol.</w:t>
      </w:r>
      <w:r>
        <w:rPr>
          <w:rFonts w:ascii="Times New Roman" w:eastAsia="Times New Roman" w:hAnsi="Times New Roman" w:cs="Times New Roman"/>
          <w:sz w:val="16"/>
        </w:rPr>
        <w:t xml:space="preserve"> 2013;11(11):1399–412.e7. DOI: 10.1016/j.cgh.2013.05.009</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Nirwan J.S., Hasan S.S., Babar Z.U., Conway B.R., Ghori M.U.</w:t>
      </w:r>
      <w:r>
        <w:rPr>
          <w:rFonts w:ascii="Times New Roman" w:eastAsia="Times New Roman" w:hAnsi="Times New Roman" w:cs="Times New Roman"/>
          <w:sz w:val="16"/>
        </w:rPr>
        <w:t xml:space="preserve"> Global prevalence and risk factors of gastro-oesophageal reflux disease (GORD): Systematic review with meta-analysis. </w:t>
      </w:r>
      <w:r>
        <w:rPr>
          <w:rFonts w:ascii="Times New Roman" w:eastAsia="Times New Roman" w:hAnsi="Times New Roman" w:cs="Times New Roman"/>
          <w:i/>
          <w:sz w:val="16"/>
        </w:rPr>
        <w:t>Sci Rep.</w:t>
      </w:r>
      <w:r>
        <w:rPr>
          <w:rFonts w:ascii="Times New Roman" w:eastAsia="Times New Roman" w:hAnsi="Times New Roman" w:cs="Times New Roman"/>
          <w:sz w:val="16"/>
        </w:rPr>
        <w:t xml:space="preserve"> 2020;10(1):5814. DOI: 10.1038/ s41598-020-62795-1</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Ness-Jensen E., Hveem K., El-Serag H., Lagergren J.</w:t>
      </w:r>
      <w:r>
        <w:rPr>
          <w:rFonts w:ascii="Times New Roman" w:eastAsia="Times New Roman" w:hAnsi="Times New Roman" w:cs="Times New Roman"/>
          <w:sz w:val="16"/>
        </w:rPr>
        <w:t xml:space="preserve"> Lifestyle intervention in gastroesophageal reflux disease. </w:t>
      </w:r>
    </w:p>
    <w:p w:rsidR="006F5A4C" w:rsidRDefault="00730F7D">
      <w:pPr>
        <w:spacing w:after="4" w:line="247" w:lineRule="auto"/>
        <w:ind w:left="306" w:hanging="10"/>
        <w:jc w:val="both"/>
      </w:pPr>
      <w:r>
        <w:rPr>
          <w:rFonts w:ascii="Times New Roman" w:eastAsia="Times New Roman" w:hAnsi="Times New Roman" w:cs="Times New Roman"/>
          <w:i/>
          <w:sz w:val="16"/>
        </w:rPr>
        <w:t>Clin Gastroenterol Hepatol.</w:t>
      </w:r>
      <w:r>
        <w:rPr>
          <w:rFonts w:ascii="Times New Roman" w:eastAsia="Times New Roman" w:hAnsi="Times New Roman" w:cs="Times New Roman"/>
          <w:sz w:val="16"/>
        </w:rPr>
        <w:t xml:space="preserve"> 2016;14(2):175–82.e1–3. </w:t>
      </w:r>
    </w:p>
    <w:p w:rsidR="006F5A4C" w:rsidRDefault="00730F7D">
      <w:pPr>
        <w:spacing w:after="3" w:line="241" w:lineRule="auto"/>
        <w:ind w:left="294" w:right="55" w:firstLine="1"/>
        <w:jc w:val="both"/>
      </w:pPr>
      <w:r>
        <w:rPr>
          <w:rFonts w:ascii="Times New Roman" w:eastAsia="Times New Roman" w:hAnsi="Times New Roman" w:cs="Times New Roman"/>
          <w:sz w:val="16"/>
        </w:rPr>
        <w:t>DOI: 10.1016/j.cgh.2015.04.176</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Peery A.F</w:t>
      </w:r>
      <w:r>
        <w:rPr>
          <w:rFonts w:ascii="Times New Roman" w:eastAsia="Times New Roman" w:hAnsi="Times New Roman" w:cs="Times New Roman"/>
          <w:i/>
          <w:sz w:val="16"/>
        </w:rPr>
        <w:t>., Dellon E.S., Lund J., Crockett S.D., McGowan C.E., Bulsiewicz W.J., et al.</w:t>
      </w:r>
      <w:r>
        <w:rPr>
          <w:rFonts w:ascii="Times New Roman" w:eastAsia="Times New Roman" w:hAnsi="Times New Roman" w:cs="Times New Roman"/>
          <w:sz w:val="16"/>
        </w:rPr>
        <w:t xml:space="preserve"> Burden of gastrointestinal disease in the United States: 2012 update. </w:t>
      </w:r>
      <w:r>
        <w:rPr>
          <w:rFonts w:ascii="Times New Roman" w:eastAsia="Times New Roman" w:hAnsi="Times New Roman" w:cs="Times New Roman"/>
          <w:i/>
          <w:sz w:val="16"/>
        </w:rPr>
        <w:t>Gastroenterology.</w:t>
      </w:r>
      <w:r>
        <w:rPr>
          <w:rFonts w:ascii="Times New Roman" w:eastAsia="Times New Roman" w:hAnsi="Times New Roman" w:cs="Times New Roman"/>
          <w:sz w:val="16"/>
        </w:rPr>
        <w:t xml:space="preserve"> 2012;143(5):1179–87.e3. DOI: 10.1053/j. gastro.2012.08.002</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Исаков В.А., Морозов С.В., Ставраки Е.С., Комаров Р.М.</w:t>
      </w:r>
      <w:r>
        <w:rPr>
          <w:rFonts w:ascii="Times New Roman" w:eastAsia="Times New Roman" w:hAnsi="Times New Roman" w:cs="Times New Roman"/>
          <w:sz w:val="16"/>
        </w:rPr>
        <w:t xml:space="preserve"> Анализ Распространенности Изжоги: национальное эпидемиологическое исследование взрослого городского нАселения (АРИАДНА). </w:t>
      </w:r>
      <w:r>
        <w:rPr>
          <w:rFonts w:ascii="Times New Roman" w:eastAsia="Times New Roman" w:hAnsi="Times New Roman" w:cs="Times New Roman"/>
          <w:i/>
          <w:sz w:val="16"/>
        </w:rPr>
        <w:t>Экспериментальная и клиническая гастроэнтерология.</w:t>
      </w:r>
      <w:r>
        <w:rPr>
          <w:rFonts w:ascii="Times New Roman" w:eastAsia="Times New Roman" w:hAnsi="Times New Roman" w:cs="Times New Roman"/>
          <w:sz w:val="16"/>
        </w:rPr>
        <w:t xml:space="preserve"> 2008;1:20–30. [</w:t>
      </w:r>
      <w:r>
        <w:rPr>
          <w:rFonts w:ascii="Times New Roman" w:eastAsia="Times New Roman" w:hAnsi="Times New Roman" w:cs="Times New Roman"/>
          <w:i/>
          <w:sz w:val="16"/>
        </w:rPr>
        <w:t>Isakov V.A., M</w:t>
      </w:r>
      <w:r>
        <w:rPr>
          <w:rFonts w:ascii="Times New Roman" w:eastAsia="Times New Roman" w:hAnsi="Times New Roman" w:cs="Times New Roman"/>
          <w:i/>
          <w:sz w:val="16"/>
        </w:rPr>
        <w:t xml:space="preserve">orozov S.V., Stavraki E.S., Komarov R.M. </w:t>
      </w:r>
      <w:r>
        <w:rPr>
          <w:rFonts w:ascii="Times New Roman" w:eastAsia="Times New Roman" w:hAnsi="Times New Roman" w:cs="Times New Roman"/>
          <w:sz w:val="16"/>
        </w:rPr>
        <w:t xml:space="preserve">Analysis of the prevalence of heartburn: National epidemiological study of the adult urban population (ARIADNA). </w:t>
      </w:r>
    </w:p>
    <w:p w:rsidR="006F5A4C" w:rsidRDefault="00730F7D">
      <w:pPr>
        <w:spacing w:after="4" w:line="247" w:lineRule="auto"/>
        <w:ind w:left="300" w:hanging="10"/>
        <w:jc w:val="both"/>
      </w:pPr>
      <w:r>
        <w:rPr>
          <w:rFonts w:ascii="Times New Roman" w:eastAsia="Times New Roman" w:hAnsi="Times New Roman" w:cs="Times New Roman"/>
          <w:i/>
          <w:sz w:val="16"/>
        </w:rPr>
        <w:t>Experimental &amp; Clinical Gastroenterology</w:t>
      </w:r>
      <w:r>
        <w:rPr>
          <w:rFonts w:ascii="Times New Roman" w:eastAsia="Times New Roman" w:hAnsi="Times New Roman" w:cs="Times New Roman"/>
          <w:sz w:val="16"/>
        </w:rPr>
        <w:t>. 2008;1:20–30. (In Russ.)].</w:t>
      </w:r>
    </w:p>
    <w:p w:rsidR="006F5A4C" w:rsidRDefault="00730F7D">
      <w:pPr>
        <w:numPr>
          <w:ilvl w:val="0"/>
          <w:numId w:val="7"/>
        </w:numPr>
        <w:spacing w:after="4" w:line="247" w:lineRule="auto"/>
        <w:ind w:right="55" w:hanging="440"/>
        <w:jc w:val="both"/>
      </w:pPr>
      <w:r>
        <w:rPr>
          <w:rFonts w:ascii="Times New Roman" w:eastAsia="Times New Roman" w:hAnsi="Times New Roman" w:cs="Times New Roman"/>
          <w:i/>
          <w:sz w:val="16"/>
        </w:rPr>
        <w:t>Лазебник Л.Б., Машарова А.А., Бо</w:t>
      </w:r>
      <w:r>
        <w:rPr>
          <w:rFonts w:ascii="Times New Roman" w:eastAsia="Times New Roman" w:hAnsi="Times New Roman" w:cs="Times New Roman"/>
          <w:i/>
          <w:sz w:val="16"/>
        </w:rPr>
        <w:t>рдин Д.С., Васильев Ю.В., Ткаченко Е.И., Абдулхаков Р.А.</w:t>
      </w:r>
      <w:r>
        <w:rPr>
          <w:rFonts w:ascii="Times New Roman" w:eastAsia="Times New Roman" w:hAnsi="Times New Roman" w:cs="Times New Roman"/>
          <w:sz w:val="16"/>
        </w:rPr>
        <w:t xml:space="preserve"> </w:t>
      </w:r>
      <w:r>
        <w:rPr>
          <w:rFonts w:ascii="Times New Roman" w:eastAsia="Times New Roman" w:hAnsi="Times New Roman" w:cs="Times New Roman"/>
          <w:i/>
          <w:sz w:val="16"/>
        </w:rPr>
        <w:t>и др.</w:t>
      </w:r>
      <w:r>
        <w:rPr>
          <w:rFonts w:ascii="Times New Roman" w:eastAsia="Times New Roman" w:hAnsi="Times New Roman" w:cs="Times New Roman"/>
          <w:sz w:val="16"/>
        </w:rPr>
        <w:t xml:space="preserve"> Многоцентровое исследование «Эпидемиология ГЭРБ в России» (МЭГРЕ): первые итоги. </w:t>
      </w:r>
      <w:r>
        <w:rPr>
          <w:rFonts w:ascii="Times New Roman" w:eastAsia="Times New Roman" w:hAnsi="Times New Roman" w:cs="Times New Roman"/>
          <w:i/>
          <w:sz w:val="16"/>
        </w:rPr>
        <w:t>Экспериментальная и клиническая гастроэнтерология.</w:t>
      </w:r>
      <w:r>
        <w:rPr>
          <w:rFonts w:ascii="Times New Roman" w:eastAsia="Times New Roman" w:hAnsi="Times New Roman" w:cs="Times New Roman"/>
          <w:sz w:val="16"/>
        </w:rPr>
        <w:t xml:space="preserve"> 2009;6:4–12. [</w:t>
      </w:r>
      <w:r>
        <w:rPr>
          <w:rFonts w:ascii="Times New Roman" w:eastAsia="Times New Roman" w:hAnsi="Times New Roman" w:cs="Times New Roman"/>
          <w:i/>
          <w:sz w:val="16"/>
        </w:rPr>
        <w:t>Lazebnik L.B., Masharova A.A., Bordin D.S., Vas</w:t>
      </w:r>
      <w:r>
        <w:rPr>
          <w:rFonts w:ascii="Times New Roman" w:eastAsia="Times New Roman" w:hAnsi="Times New Roman" w:cs="Times New Roman"/>
          <w:i/>
          <w:sz w:val="16"/>
        </w:rPr>
        <w:t>iliev Yu.V., Tkachenko E.I., Abdulhakov R.A., et al.</w:t>
      </w:r>
      <w:r>
        <w:rPr>
          <w:rFonts w:ascii="Times New Roman" w:eastAsia="Times New Roman" w:hAnsi="Times New Roman" w:cs="Times New Roman"/>
          <w:sz w:val="16"/>
        </w:rPr>
        <w:t xml:space="preserve"> Multicenter study “Epidemiology of GERD in Russia” (MEGRE): First results. </w:t>
      </w:r>
      <w:r>
        <w:rPr>
          <w:rFonts w:ascii="Times New Roman" w:eastAsia="Times New Roman" w:hAnsi="Times New Roman" w:cs="Times New Roman"/>
          <w:i/>
          <w:sz w:val="16"/>
        </w:rPr>
        <w:t>Experimental &amp; Clinical Gastroenterology</w:t>
      </w:r>
      <w:r>
        <w:rPr>
          <w:rFonts w:ascii="Times New Roman" w:eastAsia="Times New Roman" w:hAnsi="Times New Roman" w:cs="Times New Roman"/>
          <w:sz w:val="16"/>
        </w:rPr>
        <w:t>. 2009;6:4–12. (In Russ.)].</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Бордин Д.С., Абдулхаков Р.А., Осипенко М.Ф., Соловьева А.В.,</w:t>
      </w:r>
      <w:r>
        <w:rPr>
          <w:rFonts w:ascii="Times New Roman" w:eastAsia="Times New Roman" w:hAnsi="Times New Roman" w:cs="Times New Roman"/>
          <w:i/>
          <w:sz w:val="16"/>
        </w:rPr>
        <w:t xml:space="preserve"> Абдулхаков С.Р., Кириленко Н.П.</w:t>
      </w:r>
      <w:r>
        <w:rPr>
          <w:rFonts w:ascii="Times New Roman" w:eastAsia="Times New Roman" w:hAnsi="Times New Roman" w:cs="Times New Roman"/>
          <w:sz w:val="16"/>
        </w:rPr>
        <w:t xml:space="preserve"> </w:t>
      </w:r>
      <w:r>
        <w:rPr>
          <w:rFonts w:ascii="Times New Roman" w:eastAsia="Times New Roman" w:hAnsi="Times New Roman" w:cs="Times New Roman"/>
          <w:i/>
          <w:sz w:val="16"/>
        </w:rPr>
        <w:t>и др.</w:t>
      </w:r>
      <w:r>
        <w:rPr>
          <w:rFonts w:ascii="Times New Roman" w:eastAsia="Times New Roman" w:hAnsi="Times New Roman" w:cs="Times New Roman"/>
          <w:sz w:val="16"/>
        </w:rPr>
        <w:t xml:space="preserve"> Многоцентровое исследование распространенности симптомов гастроэзофагеальной рефлюксной болезни у пациентов поликлиник в России. </w:t>
      </w:r>
      <w:r>
        <w:rPr>
          <w:rFonts w:ascii="Times New Roman" w:eastAsia="Times New Roman" w:hAnsi="Times New Roman" w:cs="Times New Roman"/>
          <w:i/>
          <w:sz w:val="16"/>
        </w:rPr>
        <w:t>Терапевтический архив.</w:t>
      </w:r>
      <w:r>
        <w:rPr>
          <w:rFonts w:ascii="Times New Roman" w:eastAsia="Times New Roman" w:hAnsi="Times New Roman" w:cs="Times New Roman"/>
          <w:sz w:val="16"/>
        </w:rPr>
        <w:t xml:space="preserve"> 2022;94(1):48–56. [</w:t>
      </w:r>
      <w:r>
        <w:rPr>
          <w:rFonts w:ascii="Times New Roman" w:eastAsia="Times New Roman" w:hAnsi="Times New Roman" w:cs="Times New Roman"/>
          <w:i/>
          <w:sz w:val="16"/>
        </w:rPr>
        <w:t xml:space="preserve">Bordin D.S., Abdulkhakov R.А., Osipenko M.F., </w:t>
      </w:r>
      <w:r>
        <w:rPr>
          <w:rFonts w:ascii="Times New Roman" w:eastAsia="Times New Roman" w:hAnsi="Times New Roman" w:cs="Times New Roman"/>
          <w:i/>
          <w:sz w:val="16"/>
        </w:rPr>
        <w:t xml:space="preserve">Solovyeva A.V., Abdulkhakov S.R., Kirilenko N.P., et al. </w:t>
      </w:r>
      <w:r>
        <w:rPr>
          <w:rFonts w:ascii="Times New Roman" w:eastAsia="Times New Roman" w:hAnsi="Times New Roman" w:cs="Times New Roman"/>
          <w:sz w:val="16"/>
        </w:rPr>
        <w:t xml:space="preserve">Multicenter study of gastroesophageal reflux disease symptoms prevalence in outpatients in Russia. </w:t>
      </w:r>
      <w:r>
        <w:rPr>
          <w:rFonts w:ascii="Times New Roman" w:eastAsia="Times New Roman" w:hAnsi="Times New Roman" w:cs="Times New Roman"/>
          <w:i/>
          <w:sz w:val="16"/>
        </w:rPr>
        <w:t>Terapevticheskii arkhiv.</w:t>
      </w:r>
      <w:r>
        <w:rPr>
          <w:rFonts w:ascii="Times New Roman" w:eastAsia="Times New Roman" w:hAnsi="Times New Roman" w:cs="Times New Roman"/>
          <w:sz w:val="16"/>
        </w:rPr>
        <w:t xml:space="preserve"> </w:t>
      </w:r>
    </w:p>
    <w:p w:rsidR="006F5A4C" w:rsidRDefault="00730F7D">
      <w:pPr>
        <w:spacing w:after="3" w:line="241" w:lineRule="auto"/>
        <w:ind w:left="298" w:right="55" w:firstLine="1"/>
        <w:jc w:val="both"/>
      </w:pPr>
      <w:r>
        <w:rPr>
          <w:rFonts w:ascii="Times New Roman" w:eastAsia="Times New Roman" w:hAnsi="Times New Roman" w:cs="Times New Roman"/>
          <w:sz w:val="16"/>
        </w:rPr>
        <w:t>2022;94(1):48–56. (In Russ.)]. DOI: 10.26442/0040366</w:t>
      </w:r>
    </w:p>
    <w:p w:rsidR="006F5A4C" w:rsidRDefault="00730F7D">
      <w:pPr>
        <w:spacing w:after="3" w:line="241" w:lineRule="auto"/>
        <w:ind w:left="309" w:right="55" w:firstLine="1"/>
        <w:jc w:val="both"/>
      </w:pPr>
      <w:r>
        <w:rPr>
          <w:rFonts w:ascii="Times New Roman" w:eastAsia="Times New Roman" w:hAnsi="Times New Roman" w:cs="Times New Roman"/>
          <w:sz w:val="16"/>
        </w:rPr>
        <w:t>0.2022.01.201322</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Euse</w:t>
      </w:r>
      <w:r>
        <w:rPr>
          <w:rFonts w:ascii="Times New Roman" w:eastAsia="Times New Roman" w:hAnsi="Times New Roman" w:cs="Times New Roman"/>
          <w:i/>
          <w:sz w:val="16"/>
        </w:rPr>
        <w:t>bi L.H., Cirota G.G., Zagari R.M., Ford A.C.</w:t>
      </w:r>
      <w:r>
        <w:rPr>
          <w:rFonts w:ascii="Times New Roman" w:eastAsia="Times New Roman" w:hAnsi="Times New Roman" w:cs="Times New Roman"/>
          <w:sz w:val="16"/>
        </w:rPr>
        <w:t xml:space="preserve"> Global prevalence of Barrett’s oesophagus and oesophageal cancer in individuals with gastro-oesophageal reflux: A systematic review and meta-analysis. </w:t>
      </w:r>
      <w:r>
        <w:rPr>
          <w:rFonts w:ascii="Times New Roman" w:eastAsia="Times New Roman" w:hAnsi="Times New Roman" w:cs="Times New Roman"/>
          <w:i/>
          <w:sz w:val="16"/>
        </w:rPr>
        <w:t>Gut.</w:t>
      </w:r>
      <w:r>
        <w:rPr>
          <w:rFonts w:ascii="Times New Roman" w:eastAsia="Times New Roman" w:hAnsi="Times New Roman" w:cs="Times New Roman"/>
          <w:sz w:val="16"/>
        </w:rPr>
        <w:t xml:space="preserve"> 2021;70(3):456–63. DOI: 10.1136/gutjnl-2020-321365</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Shah</w:t>
      </w:r>
      <w:r>
        <w:rPr>
          <w:rFonts w:ascii="Times New Roman" w:eastAsia="Times New Roman" w:hAnsi="Times New Roman" w:cs="Times New Roman"/>
          <w:i/>
          <w:sz w:val="16"/>
        </w:rPr>
        <w:t>een N.J., Falk G.W., Iyer P.G., Gerson L.B.; Ame- rican College of Gastroenterology.</w:t>
      </w:r>
      <w:r>
        <w:rPr>
          <w:rFonts w:ascii="Times New Roman" w:eastAsia="Times New Roman" w:hAnsi="Times New Roman" w:cs="Times New Roman"/>
          <w:sz w:val="16"/>
        </w:rPr>
        <w:t xml:space="preserve"> ACG clinical guideline: Diagnosis and management of Barrett’s esophagus. </w:t>
      </w:r>
      <w:r>
        <w:rPr>
          <w:rFonts w:ascii="Times New Roman" w:eastAsia="Times New Roman" w:hAnsi="Times New Roman" w:cs="Times New Roman"/>
          <w:i/>
          <w:sz w:val="16"/>
        </w:rPr>
        <w:t>Am J Gastroenterol.</w:t>
      </w:r>
      <w:r>
        <w:rPr>
          <w:rFonts w:ascii="Times New Roman" w:eastAsia="Times New Roman" w:hAnsi="Times New Roman" w:cs="Times New Roman"/>
          <w:sz w:val="16"/>
        </w:rPr>
        <w:t xml:space="preserve"> 2016;111(1):30–50. DOI: 10.1038/ ajg.2015.322</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 xml:space="preserve">Здравоохранение в России. 2021: </w:t>
      </w:r>
      <w:r>
        <w:rPr>
          <w:rFonts w:ascii="Times New Roman" w:eastAsia="Times New Roman" w:hAnsi="Times New Roman" w:cs="Times New Roman"/>
          <w:i/>
          <w:sz w:val="16"/>
        </w:rPr>
        <w:t>Статистический сборник.</w:t>
      </w:r>
      <w:r>
        <w:rPr>
          <w:rFonts w:ascii="Times New Roman" w:eastAsia="Times New Roman" w:hAnsi="Times New Roman" w:cs="Times New Roman"/>
          <w:sz w:val="16"/>
        </w:rPr>
        <w:t xml:space="preserve"> М.: Росстат, 2021. [</w:t>
      </w:r>
      <w:r>
        <w:rPr>
          <w:rFonts w:ascii="Times New Roman" w:eastAsia="Times New Roman" w:hAnsi="Times New Roman" w:cs="Times New Roman"/>
          <w:i/>
          <w:sz w:val="16"/>
        </w:rPr>
        <w:t>Healthcare in Russia. 2021: Statistical Digest.</w:t>
      </w:r>
      <w:r>
        <w:rPr>
          <w:rFonts w:ascii="Times New Roman" w:eastAsia="Times New Roman" w:hAnsi="Times New Roman" w:cs="Times New Roman"/>
          <w:sz w:val="16"/>
        </w:rPr>
        <w:t xml:space="preserve"> Moscow: Rosstat, 2021. (In Russ.)]. URL: https://rosstat.gov.ru/storage/mediabank/Zdravoohran- 2021.pdf</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Каприн А.Д., Старинский В.В., Шахзадова А.О.</w:t>
      </w:r>
      <w:r>
        <w:rPr>
          <w:rFonts w:ascii="Times New Roman" w:eastAsia="Times New Roman" w:hAnsi="Times New Roman" w:cs="Times New Roman"/>
          <w:sz w:val="16"/>
        </w:rPr>
        <w:t xml:space="preserve"> </w:t>
      </w:r>
      <w:r>
        <w:rPr>
          <w:rFonts w:ascii="Times New Roman" w:eastAsia="Times New Roman" w:hAnsi="Times New Roman" w:cs="Times New Roman"/>
          <w:i/>
          <w:sz w:val="16"/>
        </w:rPr>
        <w:t>(ред.)</w:t>
      </w:r>
      <w:r>
        <w:rPr>
          <w:rFonts w:ascii="Times New Roman" w:eastAsia="Times New Roman" w:hAnsi="Times New Roman" w:cs="Times New Roman"/>
          <w:sz w:val="16"/>
        </w:rPr>
        <w:t>. Злокаче</w:t>
      </w:r>
      <w:r>
        <w:rPr>
          <w:rFonts w:ascii="Times New Roman" w:eastAsia="Times New Roman" w:hAnsi="Times New Roman" w:cs="Times New Roman"/>
          <w:sz w:val="16"/>
        </w:rPr>
        <w:t>ственные новообразования в России в 2020 году (заболеваемость и смертность). М.: МНИОИ им. П.А. Герцена — филиал ФГБУ «НМИЦ радиологии» Минздрава России, 2021. [</w:t>
      </w:r>
      <w:r>
        <w:rPr>
          <w:rFonts w:ascii="Times New Roman" w:eastAsia="Times New Roman" w:hAnsi="Times New Roman" w:cs="Times New Roman"/>
          <w:i/>
          <w:sz w:val="16"/>
        </w:rPr>
        <w:t>Kaprin A.D., Starinsky V.V., Shakhzadova A.O. (eds.).</w:t>
      </w:r>
      <w:r>
        <w:rPr>
          <w:rFonts w:ascii="Times New Roman" w:eastAsia="Times New Roman" w:hAnsi="Times New Roman" w:cs="Times New Roman"/>
          <w:sz w:val="16"/>
        </w:rPr>
        <w:t xml:space="preserve"> Malignant neoplasms in Russia in 2020 (mo</w:t>
      </w:r>
      <w:r>
        <w:rPr>
          <w:rFonts w:ascii="Times New Roman" w:eastAsia="Times New Roman" w:hAnsi="Times New Roman" w:cs="Times New Roman"/>
          <w:sz w:val="16"/>
        </w:rPr>
        <w:t>rbidity and mortality). Moscow: P.A. Herzen Moscow Oncology Research Institute — Branch of the National Medical Research Center of  Radiology, 2021. (In Russ.)].</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Vakil N., van Zanten S.V., Kahrilas P., Dent J., Jones R.; Global Consensus Group.</w:t>
      </w:r>
      <w:r>
        <w:rPr>
          <w:rFonts w:ascii="Times New Roman" w:eastAsia="Times New Roman" w:hAnsi="Times New Roman" w:cs="Times New Roman"/>
          <w:sz w:val="16"/>
        </w:rPr>
        <w:t xml:space="preserve"> The Montrea</w:t>
      </w:r>
      <w:r>
        <w:rPr>
          <w:rFonts w:ascii="Times New Roman" w:eastAsia="Times New Roman" w:hAnsi="Times New Roman" w:cs="Times New Roman"/>
          <w:sz w:val="16"/>
        </w:rPr>
        <w:t xml:space="preserve">l definition and classification of gastroesophageal reflux disease: A global evidence-based consensus. </w:t>
      </w:r>
      <w:r>
        <w:rPr>
          <w:rFonts w:ascii="Times New Roman" w:eastAsia="Times New Roman" w:hAnsi="Times New Roman" w:cs="Times New Roman"/>
          <w:i/>
          <w:sz w:val="16"/>
        </w:rPr>
        <w:t xml:space="preserve">Am J </w:t>
      </w:r>
    </w:p>
    <w:p w:rsidR="006F5A4C" w:rsidRDefault="00730F7D">
      <w:pPr>
        <w:spacing w:after="0"/>
        <w:ind w:left="10" w:right="53" w:hanging="10"/>
        <w:jc w:val="right"/>
      </w:pPr>
      <w:r>
        <w:rPr>
          <w:rFonts w:ascii="Times New Roman" w:eastAsia="Times New Roman" w:hAnsi="Times New Roman" w:cs="Times New Roman"/>
          <w:i/>
          <w:sz w:val="16"/>
        </w:rPr>
        <w:t>Gastroenterol.</w:t>
      </w:r>
      <w:r>
        <w:rPr>
          <w:rFonts w:ascii="Times New Roman" w:eastAsia="Times New Roman" w:hAnsi="Times New Roman" w:cs="Times New Roman"/>
          <w:sz w:val="16"/>
        </w:rPr>
        <w:t xml:space="preserve"> 2006;101(8):1900–20. DOI: 10.1111/j.1572-</w:t>
      </w:r>
    </w:p>
    <w:p w:rsidR="006F5A4C" w:rsidRDefault="00730F7D">
      <w:pPr>
        <w:spacing w:after="3" w:line="241" w:lineRule="auto"/>
        <w:ind w:left="311" w:right="55" w:firstLine="1"/>
        <w:jc w:val="both"/>
      </w:pPr>
      <w:r>
        <w:rPr>
          <w:rFonts w:ascii="Times New Roman" w:eastAsia="Times New Roman" w:hAnsi="Times New Roman" w:cs="Times New Roman"/>
          <w:sz w:val="16"/>
        </w:rPr>
        <w:t>0241.2006.00630.x</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Dent J., Vakil N., Jones R., Bytzer P., Schöning U., Halling K., et al.</w:t>
      </w:r>
      <w:r>
        <w:rPr>
          <w:rFonts w:ascii="Times New Roman" w:eastAsia="Times New Roman" w:hAnsi="Times New Roman" w:cs="Times New Roman"/>
          <w:sz w:val="16"/>
        </w:rPr>
        <w:t xml:space="preserve"> Accuracy of the diagnosis of GORD by questionnaire, physicians and a trial of proton pump inhibitor treatment: The Diamond study. </w:t>
      </w:r>
      <w:r>
        <w:rPr>
          <w:rFonts w:ascii="Times New Roman" w:eastAsia="Times New Roman" w:hAnsi="Times New Roman" w:cs="Times New Roman"/>
          <w:i/>
          <w:sz w:val="16"/>
        </w:rPr>
        <w:t>Gut.</w:t>
      </w:r>
      <w:r>
        <w:rPr>
          <w:rFonts w:ascii="Times New Roman" w:eastAsia="Times New Roman" w:hAnsi="Times New Roman" w:cs="Times New Roman"/>
          <w:sz w:val="16"/>
        </w:rPr>
        <w:t xml:space="preserve"> 2010;59(6):714–21. DOI: 10.1136/gut.2009.200063</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Numans M.E., Lau J., de Wit N.J., Bonis P.A.</w:t>
      </w:r>
      <w:r>
        <w:rPr>
          <w:rFonts w:ascii="Times New Roman" w:eastAsia="Times New Roman" w:hAnsi="Times New Roman" w:cs="Times New Roman"/>
          <w:sz w:val="16"/>
        </w:rPr>
        <w:t xml:space="preserve"> Short-term treatment with proton-pump inhibitors as a test for gastroesophageal reflux disease: A meta-analysis of diagnostic test characteristics. </w:t>
      </w:r>
      <w:r>
        <w:rPr>
          <w:rFonts w:ascii="Times New Roman" w:eastAsia="Times New Roman" w:hAnsi="Times New Roman" w:cs="Times New Roman"/>
          <w:i/>
          <w:sz w:val="16"/>
        </w:rPr>
        <w:t xml:space="preserve">Ann Intern Med. </w:t>
      </w:r>
      <w:r>
        <w:rPr>
          <w:rFonts w:ascii="Times New Roman" w:eastAsia="Times New Roman" w:hAnsi="Times New Roman" w:cs="Times New Roman"/>
          <w:sz w:val="16"/>
        </w:rPr>
        <w:t>2004;140(7):518–27. DOI: 10.7326/0003-4819-140-7-200404060-00011</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Gerson L.B., Fass R.</w:t>
      </w:r>
      <w:r>
        <w:rPr>
          <w:rFonts w:ascii="Times New Roman" w:eastAsia="Times New Roman" w:hAnsi="Times New Roman" w:cs="Times New Roman"/>
          <w:sz w:val="16"/>
        </w:rPr>
        <w:t xml:space="preserve"> A sys</w:t>
      </w:r>
      <w:r>
        <w:rPr>
          <w:rFonts w:ascii="Times New Roman" w:eastAsia="Times New Roman" w:hAnsi="Times New Roman" w:cs="Times New Roman"/>
          <w:sz w:val="16"/>
        </w:rPr>
        <w:t xml:space="preserve">tematic review of the definitions, prevalence, and response to treatment of nocturnal gastroesophageal reflux disease. </w:t>
      </w:r>
      <w:r>
        <w:rPr>
          <w:rFonts w:ascii="Times New Roman" w:eastAsia="Times New Roman" w:hAnsi="Times New Roman" w:cs="Times New Roman"/>
          <w:i/>
          <w:sz w:val="16"/>
        </w:rPr>
        <w:t xml:space="preserve">Clin Gastroenterol Hepatol. </w:t>
      </w:r>
      <w:r>
        <w:rPr>
          <w:rFonts w:ascii="Times New Roman" w:eastAsia="Times New Roman" w:hAnsi="Times New Roman" w:cs="Times New Roman"/>
          <w:sz w:val="16"/>
        </w:rPr>
        <w:t>2009;7(4):372–8. DOI: 10.1016/j.cgh.2008.11.021</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Shaker R., Castell D.O., Schoenfeld P.S., Spechler S.J.</w:t>
      </w:r>
      <w:r>
        <w:rPr>
          <w:rFonts w:ascii="Times New Roman" w:eastAsia="Times New Roman" w:hAnsi="Times New Roman" w:cs="Times New Roman"/>
          <w:sz w:val="16"/>
        </w:rPr>
        <w:t xml:space="preserve"> Night</w:t>
      </w:r>
      <w:r>
        <w:rPr>
          <w:rFonts w:ascii="Times New Roman" w:eastAsia="Times New Roman" w:hAnsi="Times New Roman" w:cs="Times New Roman"/>
          <w:sz w:val="16"/>
        </w:rPr>
        <w:t xml:space="preserve">time heartburn is an under-appreciated clinical problem that impacts sleep and daytime function: The results of a Gallup survey conducted on behalf of the Ame- rican Gastroenterological Association. </w:t>
      </w:r>
      <w:r>
        <w:rPr>
          <w:rFonts w:ascii="Times New Roman" w:eastAsia="Times New Roman" w:hAnsi="Times New Roman" w:cs="Times New Roman"/>
          <w:i/>
          <w:sz w:val="16"/>
        </w:rPr>
        <w:t>Am J Gastroenterol.</w:t>
      </w:r>
      <w:r>
        <w:rPr>
          <w:rFonts w:ascii="Times New Roman" w:eastAsia="Times New Roman" w:hAnsi="Times New Roman" w:cs="Times New Roman"/>
          <w:sz w:val="16"/>
        </w:rPr>
        <w:t xml:space="preserve"> 2003;98(7):1487–93. DOI: 10.1111/j.15</w:t>
      </w:r>
      <w:r>
        <w:rPr>
          <w:rFonts w:ascii="Times New Roman" w:eastAsia="Times New Roman" w:hAnsi="Times New Roman" w:cs="Times New Roman"/>
          <w:sz w:val="16"/>
        </w:rPr>
        <w:t>720241.2003.07531.x</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Dean B.B., Aguilar D., Johnson L.F., McGuigan J.E., Orr W.C., Fass R., et al.</w:t>
      </w:r>
      <w:r>
        <w:rPr>
          <w:rFonts w:ascii="Times New Roman" w:eastAsia="Times New Roman" w:hAnsi="Times New Roman" w:cs="Times New Roman"/>
          <w:sz w:val="16"/>
        </w:rPr>
        <w:t xml:space="preserve"> Night-time and daytime aty- pical manifestations of gastro-oesophageal reflux disease: Frequency, severity and impact on health-related quality of life. </w:t>
      </w:r>
      <w:r>
        <w:rPr>
          <w:rFonts w:ascii="Times New Roman" w:eastAsia="Times New Roman" w:hAnsi="Times New Roman" w:cs="Times New Roman"/>
          <w:i/>
          <w:sz w:val="16"/>
        </w:rPr>
        <w:t>Alime</w:t>
      </w:r>
      <w:r>
        <w:rPr>
          <w:rFonts w:ascii="Times New Roman" w:eastAsia="Times New Roman" w:hAnsi="Times New Roman" w:cs="Times New Roman"/>
          <w:i/>
          <w:sz w:val="16"/>
        </w:rPr>
        <w:t>nt Pharmacol Ther.</w:t>
      </w:r>
      <w:r>
        <w:rPr>
          <w:rFonts w:ascii="Times New Roman" w:eastAsia="Times New Roman" w:hAnsi="Times New Roman" w:cs="Times New Roman"/>
          <w:sz w:val="16"/>
        </w:rPr>
        <w:t xml:space="preserve"> 2008;27(4):327–37. DOI: 10.1111/j.1365-2036.2007.03574.x</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Ивашкин В.Т., Маев И.В., Трухманов А.С., Баранская Е.К., Дронова О.В., Зайратьянц О.В.</w:t>
      </w:r>
      <w:r>
        <w:rPr>
          <w:rFonts w:ascii="Times New Roman" w:eastAsia="Times New Roman" w:hAnsi="Times New Roman" w:cs="Times New Roman"/>
          <w:sz w:val="16"/>
        </w:rPr>
        <w:t xml:space="preserve"> </w:t>
      </w:r>
      <w:r>
        <w:rPr>
          <w:rFonts w:ascii="Times New Roman" w:eastAsia="Times New Roman" w:hAnsi="Times New Roman" w:cs="Times New Roman"/>
          <w:i/>
          <w:sz w:val="16"/>
        </w:rPr>
        <w:t xml:space="preserve">и др. </w:t>
      </w:r>
      <w:r>
        <w:rPr>
          <w:rFonts w:ascii="Times New Roman" w:eastAsia="Times New Roman" w:hAnsi="Times New Roman" w:cs="Times New Roman"/>
          <w:sz w:val="16"/>
        </w:rPr>
        <w:t xml:space="preserve">Клинические рекомендации Российской гастроэнтерологической ассоциации по диагностике и </w:t>
      </w:r>
      <w:r>
        <w:rPr>
          <w:rFonts w:ascii="Times New Roman" w:eastAsia="Times New Roman" w:hAnsi="Times New Roman" w:cs="Times New Roman"/>
          <w:sz w:val="16"/>
        </w:rPr>
        <w:t xml:space="preserve">лечению гастроэзофагеальной рефлюксной болезни. </w:t>
      </w:r>
      <w:r>
        <w:rPr>
          <w:rFonts w:ascii="Times New Roman" w:eastAsia="Times New Roman" w:hAnsi="Times New Roman" w:cs="Times New Roman"/>
          <w:i/>
          <w:sz w:val="16"/>
        </w:rPr>
        <w:t xml:space="preserve">Российский журнал гастроэнтерологии, гепатологии, колопроктологии. </w:t>
      </w:r>
      <w:r>
        <w:rPr>
          <w:rFonts w:ascii="Times New Roman" w:eastAsia="Times New Roman" w:hAnsi="Times New Roman" w:cs="Times New Roman"/>
          <w:sz w:val="16"/>
        </w:rPr>
        <w:t>2017;27(4):75–95. [</w:t>
      </w:r>
      <w:r>
        <w:rPr>
          <w:rFonts w:ascii="Times New Roman" w:eastAsia="Times New Roman" w:hAnsi="Times New Roman" w:cs="Times New Roman"/>
          <w:i/>
          <w:sz w:val="16"/>
        </w:rPr>
        <w:t xml:space="preserve">Ivashkin V.T., Mayev I.V., Trukhmanov A.S., Baranskaya Ye.K., Dronova O.B., Zayratyants O.V., et al. </w:t>
      </w:r>
      <w:r>
        <w:rPr>
          <w:rFonts w:ascii="Times New Roman" w:eastAsia="Times New Roman" w:hAnsi="Times New Roman" w:cs="Times New Roman"/>
          <w:sz w:val="16"/>
        </w:rPr>
        <w:t>Diagnostics and treat</w:t>
      </w:r>
      <w:r>
        <w:rPr>
          <w:rFonts w:ascii="Times New Roman" w:eastAsia="Times New Roman" w:hAnsi="Times New Roman" w:cs="Times New Roman"/>
          <w:sz w:val="16"/>
        </w:rPr>
        <w:t xml:space="preserve">ment of gastroesophageal reflux disease: clinical guidelines of the Russian Gastroenterological Association. </w:t>
      </w:r>
      <w:r>
        <w:rPr>
          <w:rFonts w:ascii="Times New Roman" w:eastAsia="Times New Roman" w:hAnsi="Times New Roman" w:cs="Times New Roman"/>
          <w:i/>
          <w:sz w:val="16"/>
        </w:rPr>
        <w:t xml:space="preserve">Russian Journal of Gastroenterology, Hepatology, Coloproctology. </w:t>
      </w:r>
      <w:r>
        <w:rPr>
          <w:rFonts w:ascii="Times New Roman" w:eastAsia="Times New Roman" w:hAnsi="Times New Roman" w:cs="Times New Roman"/>
          <w:sz w:val="16"/>
        </w:rPr>
        <w:t>2017;27(4):75–95. (In Russ.)]. DOI: 10.22416/1382-4376-2017-27-4-75-95</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Dekel R., P</w:t>
      </w:r>
      <w:r>
        <w:rPr>
          <w:rFonts w:ascii="Times New Roman" w:eastAsia="Times New Roman" w:hAnsi="Times New Roman" w:cs="Times New Roman"/>
          <w:i/>
          <w:sz w:val="16"/>
        </w:rPr>
        <w:t>earson T., Wendel C., De Garmo P., Fennerty M.B., Fass R.</w:t>
      </w:r>
      <w:r>
        <w:rPr>
          <w:rFonts w:ascii="Times New Roman" w:eastAsia="Times New Roman" w:hAnsi="Times New Roman" w:cs="Times New Roman"/>
          <w:sz w:val="16"/>
        </w:rPr>
        <w:t xml:space="preserve"> Assessment of oesophageal motor function in patients with dysphagia or chest pain — the Clinical Outcomes Research Initiative experience. </w:t>
      </w:r>
      <w:r>
        <w:rPr>
          <w:rFonts w:ascii="Times New Roman" w:eastAsia="Times New Roman" w:hAnsi="Times New Roman" w:cs="Times New Roman"/>
          <w:i/>
          <w:sz w:val="16"/>
        </w:rPr>
        <w:t>Aliment Pharmacol Ther.</w:t>
      </w:r>
      <w:r>
        <w:rPr>
          <w:rFonts w:ascii="Times New Roman" w:eastAsia="Times New Roman" w:hAnsi="Times New Roman" w:cs="Times New Roman"/>
          <w:sz w:val="16"/>
        </w:rPr>
        <w:t xml:space="preserve"> 2003;18(11–12):1083–9. DOI: 10.1046/</w:t>
      </w:r>
      <w:r>
        <w:rPr>
          <w:rFonts w:ascii="Times New Roman" w:eastAsia="Times New Roman" w:hAnsi="Times New Roman" w:cs="Times New Roman"/>
          <w:sz w:val="16"/>
        </w:rPr>
        <w:t>j.1365-2036.2003.01772.x</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Yanushevich O.O., Maev I.V., Krikheli N.I., Andreev D.N., Lyamina S.V., Sokolov F.S., et al.</w:t>
      </w:r>
      <w:r>
        <w:rPr>
          <w:rFonts w:ascii="Times New Roman" w:eastAsia="Times New Roman" w:hAnsi="Times New Roman" w:cs="Times New Roman"/>
          <w:sz w:val="16"/>
        </w:rPr>
        <w:t xml:space="preserve"> Prevalence and risk of dental erosion in patients with gastroesophageal reflux disease: A meta-analysis. </w:t>
      </w:r>
      <w:r>
        <w:rPr>
          <w:rFonts w:ascii="Times New Roman" w:eastAsia="Times New Roman" w:hAnsi="Times New Roman" w:cs="Times New Roman"/>
          <w:i/>
          <w:sz w:val="16"/>
        </w:rPr>
        <w:t xml:space="preserve">Dent J </w:t>
      </w:r>
      <w:r>
        <w:rPr>
          <w:rFonts w:ascii="Times New Roman" w:eastAsia="Times New Roman" w:hAnsi="Times New Roman" w:cs="Times New Roman"/>
          <w:sz w:val="16"/>
        </w:rPr>
        <w:t>(</w:t>
      </w:r>
      <w:r>
        <w:rPr>
          <w:rFonts w:ascii="Times New Roman" w:eastAsia="Times New Roman" w:hAnsi="Times New Roman" w:cs="Times New Roman"/>
          <w:i/>
          <w:sz w:val="16"/>
        </w:rPr>
        <w:t>Basel</w:t>
      </w:r>
      <w:r>
        <w:rPr>
          <w:rFonts w:ascii="Times New Roman" w:eastAsia="Times New Roman" w:hAnsi="Times New Roman" w:cs="Times New Roman"/>
          <w:sz w:val="16"/>
        </w:rPr>
        <w:t xml:space="preserve">). </w:t>
      </w:r>
    </w:p>
    <w:p w:rsidR="006F5A4C" w:rsidRDefault="00730F7D">
      <w:pPr>
        <w:spacing w:after="3" w:line="241" w:lineRule="auto"/>
        <w:ind w:left="285" w:right="55" w:firstLine="1"/>
        <w:jc w:val="both"/>
      </w:pPr>
      <w:r>
        <w:rPr>
          <w:rFonts w:ascii="Times New Roman" w:eastAsia="Times New Roman" w:hAnsi="Times New Roman" w:cs="Times New Roman"/>
          <w:sz w:val="16"/>
        </w:rPr>
        <w:t xml:space="preserve">2022;10(7):126. </w:t>
      </w:r>
      <w:r>
        <w:rPr>
          <w:rFonts w:ascii="Times New Roman" w:eastAsia="Times New Roman" w:hAnsi="Times New Roman" w:cs="Times New Roman"/>
          <w:sz w:val="16"/>
        </w:rPr>
        <w:t>DOI: 10.3390/dj10070126</w:t>
      </w:r>
    </w:p>
    <w:p w:rsidR="006F5A4C" w:rsidRDefault="00730F7D">
      <w:pPr>
        <w:numPr>
          <w:ilvl w:val="0"/>
          <w:numId w:val="7"/>
        </w:numPr>
        <w:spacing w:after="4" w:line="247" w:lineRule="auto"/>
        <w:ind w:right="55" w:hanging="440"/>
        <w:jc w:val="both"/>
      </w:pPr>
      <w:r>
        <w:rPr>
          <w:rFonts w:ascii="Times New Roman" w:eastAsia="Times New Roman" w:hAnsi="Times New Roman" w:cs="Times New Roman"/>
          <w:i/>
          <w:sz w:val="16"/>
        </w:rPr>
        <w:t>Zerbib F., Bredenoord A.J., Fass R., Kahrilas P.J., Roman S., Savarino E., et al.</w:t>
      </w:r>
      <w:r>
        <w:rPr>
          <w:rFonts w:ascii="Times New Roman" w:eastAsia="Times New Roman" w:hAnsi="Times New Roman" w:cs="Times New Roman"/>
          <w:sz w:val="16"/>
        </w:rPr>
        <w:t xml:space="preserve"> ESNM/ANMS consensus paper: Diagnosis and management of refractory gastro-esophageal reflux disease. </w:t>
      </w:r>
      <w:r>
        <w:rPr>
          <w:rFonts w:ascii="Times New Roman" w:eastAsia="Times New Roman" w:hAnsi="Times New Roman" w:cs="Times New Roman"/>
          <w:i/>
          <w:sz w:val="16"/>
        </w:rPr>
        <w:t xml:space="preserve">Neurogastroenterol Motil. </w:t>
      </w:r>
    </w:p>
    <w:p w:rsidR="006F5A4C" w:rsidRDefault="00730F7D">
      <w:pPr>
        <w:spacing w:after="3" w:line="241" w:lineRule="auto"/>
        <w:ind w:left="285" w:right="55" w:firstLine="1"/>
        <w:jc w:val="both"/>
      </w:pPr>
      <w:r>
        <w:rPr>
          <w:rFonts w:ascii="Times New Roman" w:eastAsia="Times New Roman" w:hAnsi="Times New Roman" w:cs="Times New Roman"/>
          <w:sz w:val="16"/>
        </w:rPr>
        <w:t>2021;33(4):e14075. DOI:</w:t>
      </w:r>
      <w:r>
        <w:rPr>
          <w:rFonts w:ascii="Times New Roman" w:eastAsia="Times New Roman" w:hAnsi="Times New Roman" w:cs="Times New Roman"/>
          <w:sz w:val="16"/>
        </w:rPr>
        <w:t xml:space="preserve"> 10.1111/nmo.14075</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Liu C., Wang H., Liu K.</w:t>
      </w:r>
      <w:r>
        <w:rPr>
          <w:rFonts w:ascii="Times New Roman" w:eastAsia="Times New Roman" w:hAnsi="Times New Roman" w:cs="Times New Roman"/>
          <w:sz w:val="16"/>
        </w:rPr>
        <w:t xml:space="preserve"> Meta-analysis of the efficacy of proton pump inhibitors for the symptoms of laryngopharyngeal reflux. </w:t>
      </w:r>
      <w:r>
        <w:rPr>
          <w:rFonts w:ascii="Times New Roman" w:eastAsia="Times New Roman" w:hAnsi="Times New Roman" w:cs="Times New Roman"/>
          <w:i/>
          <w:sz w:val="16"/>
        </w:rPr>
        <w:t>Braz J Med Biol Res</w:t>
      </w:r>
      <w:r>
        <w:rPr>
          <w:rFonts w:ascii="Times New Roman" w:eastAsia="Times New Roman" w:hAnsi="Times New Roman" w:cs="Times New Roman"/>
          <w:sz w:val="16"/>
        </w:rPr>
        <w:t>. 2016;49(7):e5149. DOI: 10.1590/1414-431X20165149</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Wong R.K., Hanson D.G., Waring P.J., Shaw</w:t>
      </w:r>
      <w:r>
        <w:rPr>
          <w:rFonts w:ascii="Times New Roman" w:eastAsia="Times New Roman" w:hAnsi="Times New Roman" w:cs="Times New Roman"/>
          <w:i/>
          <w:sz w:val="16"/>
        </w:rPr>
        <w:t xml:space="preserve"> G.</w:t>
      </w:r>
      <w:r>
        <w:rPr>
          <w:rFonts w:ascii="Times New Roman" w:eastAsia="Times New Roman" w:hAnsi="Times New Roman" w:cs="Times New Roman"/>
          <w:sz w:val="16"/>
        </w:rPr>
        <w:t xml:space="preserve"> ENT manifestations of gastroesophageal reflux. </w:t>
      </w:r>
      <w:r>
        <w:rPr>
          <w:rFonts w:ascii="Times New Roman" w:eastAsia="Times New Roman" w:hAnsi="Times New Roman" w:cs="Times New Roman"/>
          <w:i/>
          <w:sz w:val="16"/>
        </w:rPr>
        <w:t>Am J Gastroenterol.</w:t>
      </w:r>
      <w:r>
        <w:rPr>
          <w:rFonts w:ascii="Times New Roman" w:eastAsia="Times New Roman" w:hAnsi="Times New Roman" w:cs="Times New Roman"/>
          <w:sz w:val="16"/>
        </w:rPr>
        <w:t xml:space="preserve"> 2000;95(8 Suppl):15–22. DOI: 10.1016/s00029270(00)01074-1</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Vardar R., Varis A., Bayrakci B., Akyildiz S., Kirazli T., Bor S.</w:t>
      </w:r>
      <w:r>
        <w:rPr>
          <w:rFonts w:ascii="Times New Roman" w:eastAsia="Times New Roman" w:hAnsi="Times New Roman" w:cs="Times New Roman"/>
          <w:sz w:val="16"/>
        </w:rPr>
        <w:t xml:space="preserve"> Relationship between history, laryngoscopy and esophagogastro</w:t>
      </w:r>
      <w:r>
        <w:rPr>
          <w:rFonts w:ascii="Times New Roman" w:eastAsia="Times New Roman" w:hAnsi="Times New Roman" w:cs="Times New Roman"/>
          <w:sz w:val="16"/>
        </w:rPr>
        <w:t xml:space="preserve">duodenoscopy for diagnosis of laryngopharyngeal reflux in patients with typical GERD. </w:t>
      </w:r>
      <w:r>
        <w:rPr>
          <w:rFonts w:ascii="Times New Roman" w:eastAsia="Times New Roman" w:hAnsi="Times New Roman" w:cs="Times New Roman"/>
          <w:i/>
          <w:sz w:val="16"/>
        </w:rPr>
        <w:t>Eur Arch Otorhinolaryngol.</w:t>
      </w:r>
      <w:r>
        <w:rPr>
          <w:rFonts w:ascii="Times New Roman" w:eastAsia="Times New Roman" w:hAnsi="Times New Roman" w:cs="Times New Roman"/>
          <w:sz w:val="16"/>
        </w:rPr>
        <w:t xml:space="preserve"> 2012;269(1):187–91. DOI: 10.1007/ s00405-011-1748-y</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Higuchi D., Sugawa C., Shah S.H., Tokioka S., Lucas C.E.</w:t>
      </w:r>
      <w:r>
        <w:rPr>
          <w:rFonts w:ascii="Times New Roman" w:eastAsia="Times New Roman" w:hAnsi="Times New Roman" w:cs="Times New Roman"/>
          <w:sz w:val="16"/>
        </w:rPr>
        <w:t xml:space="preserve"> Etiology, treatment, and outcome o</w:t>
      </w:r>
      <w:r>
        <w:rPr>
          <w:rFonts w:ascii="Times New Roman" w:eastAsia="Times New Roman" w:hAnsi="Times New Roman" w:cs="Times New Roman"/>
          <w:sz w:val="16"/>
        </w:rPr>
        <w:t xml:space="preserve">f esophageal ulcers: A 10-year experience in an urban emergency hospital. </w:t>
      </w:r>
      <w:r>
        <w:rPr>
          <w:rFonts w:ascii="Times New Roman" w:eastAsia="Times New Roman" w:hAnsi="Times New Roman" w:cs="Times New Roman"/>
          <w:i/>
          <w:sz w:val="16"/>
        </w:rPr>
        <w:t>J Gastrointest Surg.</w:t>
      </w:r>
      <w:r>
        <w:rPr>
          <w:rFonts w:ascii="Times New Roman" w:eastAsia="Times New Roman" w:hAnsi="Times New Roman" w:cs="Times New Roman"/>
          <w:sz w:val="16"/>
        </w:rPr>
        <w:t xml:space="preserve"> 2003;7(7):836–42. DOI: 10.1007/ s11605-003-0027-7</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Tan M.C., Mansour N., White D.L., Sisson A., El-Serag H.B., Thrift A.P.</w:t>
      </w:r>
      <w:r>
        <w:rPr>
          <w:rFonts w:ascii="Times New Roman" w:eastAsia="Times New Roman" w:hAnsi="Times New Roman" w:cs="Times New Roman"/>
          <w:sz w:val="16"/>
        </w:rPr>
        <w:t xml:space="preserve"> Systematic review with meta-analysis: p</w:t>
      </w:r>
      <w:r>
        <w:rPr>
          <w:rFonts w:ascii="Times New Roman" w:eastAsia="Times New Roman" w:hAnsi="Times New Roman" w:cs="Times New Roman"/>
          <w:sz w:val="16"/>
        </w:rPr>
        <w:t xml:space="preserve">revalence of prior and concurrent Barrett’s oesophagus in oesophageal adenocarcinoma patients. </w:t>
      </w:r>
      <w:r>
        <w:rPr>
          <w:rFonts w:ascii="Times New Roman" w:eastAsia="Times New Roman" w:hAnsi="Times New Roman" w:cs="Times New Roman"/>
          <w:i/>
          <w:sz w:val="16"/>
        </w:rPr>
        <w:t xml:space="preserve">Aliment Pharmacol Ther. </w:t>
      </w:r>
      <w:r>
        <w:rPr>
          <w:rFonts w:ascii="Times New Roman" w:eastAsia="Times New Roman" w:hAnsi="Times New Roman" w:cs="Times New Roman"/>
          <w:sz w:val="16"/>
        </w:rPr>
        <w:t>2020;52(1):20–36. DOI: 10.1111/apt.15760</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Yadlapati R., Gyawali C.P., Pandolfino J.E.; CGIT GERD Consensus Conference Participants.</w:t>
      </w:r>
      <w:r>
        <w:rPr>
          <w:rFonts w:ascii="Times New Roman" w:eastAsia="Times New Roman" w:hAnsi="Times New Roman" w:cs="Times New Roman"/>
          <w:sz w:val="16"/>
        </w:rPr>
        <w:t xml:space="preserve"> AGA cl</w:t>
      </w:r>
      <w:r>
        <w:rPr>
          <w:rFonts w:ascii="Times New Roman" w:eastAsia="Times New Roman" w:hAnsi="Times New Roman" w:cs="Times New Roman"/>
          <w:sz w:val="16"/>
        </w:rPr>
        <w:t xml:space="preserve">inical practice update on the personalized approach to the evaluation and management of GERD: Expert review. </w:t>
      </w:r>
      <w:r>
        <w:rPr>
          <w:rFonts w:ascii="Times New Roman" w:eastAsia="Times New Roman" w:hAnsi="Times New Roman" w:cs="Times New Roman"/>
          <w:i/>
          <w:sz w:val="16"/>
        </w:rPr>
        <w:t>Clin Gastroenterol Hepatol.</w:t>
      </w:r>
      <w:r>
        <w:rPr>
          <w:rFonts w:ascii="Times New Roman" w:eastAsia="Times New Roman" w:hAnsi="Times New Roman" w:cs="Times New Roman"/>
          <w:sz w:val="16"/>
        </w:rPr>
        <w:t xml:space="preserve"> 2022;20(5):984–94.e1. DOI: 10.1016/j.cgh.2022.01.025</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Vakil N.B., Halling K., Becher A., Rydén A.</w:t>
      </w:r>
      <w:r>
        <w:rPr>
          <w:rFonts w:ascii="Times New Roman" w:eastAsia="Times New Roman" w:hAnsi="Times New Roman" w:cs="Times New Roman"/>
          <w:sz w:val="16"/>
        </w:rPr>
        <w:t xml:space="preserve"> Systema- tic review of</w:t>
      </w:r>
      <w:r>
        <w:rPr>
          <w:rFonts w:ascii="Times New Roman" w:eastAsia="Times New Roman" w:hAnsi="Times New Roman" w:cs="Times New Roman"/>
          <w:sz w:val="16"/>
        </w:rPr>
        <w:t xml:space="preserve"> patient-reported outcome instruments for gastroesophageal reflux disease symptoms. </w:t>
      </w:r>
      <w:r>
        <w:rPr>
          <w:rFonts w:ascii="Times New Roman" w:eastAsia="Times New Roman" w:hAnsi="Times New Roman" w:cs="Times New Roman"/>
          <w:i/>
          <w:sz w:val="16"/>
        </w:rPr>
        <w:t>Eur J Gastroenterol Hepatol.</w:t>
      </w:r>
      <w:r>
        <w:rPr>
          <w:rFonts w:ascii="Times New Roman" w:eastAsia="Times New Roman" w:hAnsi="Times New Roman" w:cs="Times New Roman"/>
          <w:sz w:val="16"/>
        </w:rPr>
        <w:t xml:space="preserve"> 2013;25(1):2–14. DOI: 10.1097/ MEG.0b013e328358bf74</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Dent J., El-Serag H.B., Wallander M.A., Johansson S.</w:t>
      </w:r>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Epidemiology of gastro-oesophageal reflux disease: A systematic review. </w:t>
      </w:r>
      <w:r>
        <w:rPr>
          <w:rFonts w:ascii="Times New Roman" w:eastAsia="Times New Roman" w:hAnsi="Times New Roman" w:cs="Times New Roman"/>
          <w:i/>
          <w:sz w:val="16"/>
        </w:rPr>
        <w:t>Gut.</w:t>
      </w:r>
      <w:r>
        <w:rPr>
          <w:rFonts w:ascii="Times New Roman" w:eastAsia="Times New Roman" w:hAnsi="Times New Roman" w:cs="Times New Roman"/>
          <w:sz w:val="16"/>
        </w:rPr>
        <w:t xml:space="preserve"> 2005;54(5):710–7. DOI: 10.1136/ gut.2004.051821</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El-Serag H.B., Sweet S., Winchester C.C., Dent J.</w:t>
      </w:r>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Update on the epidemiology of gastro-oesophageal reflux disease: A systematic review. </w:t>
      </w:r>
      <w:r>
        <w:rPr>
          <w:rFonts w:ascii="Times New Roman" w:eastAsia="Times New Roman" w:hAnsi="Times New Roman" w:cs="Times New Roman"/>
          <w:i/>
          <w:sz w:val="16"/>
        </w:rPr>
        <w:t>Gut.</w:t>
      </w:r>
      <w:r>
        <w:rPr>
          <w:rFonts w:ascii="Times New Roman" w:eastAsia="Times New Roman" w:hAnsi="Times New Roman" w:cs="Times New Roman"/>
          <w:sz w:val="16"/>
        </w:rPr>
        <w:t xml:space="preserve"> 2014;63(6):871–80. DOI: 10.1136/gutjnl-2012-304269</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El-Serag H.B.</w:t>
      </w:r>
      <w:r>
        <w:rPr>
          <w:rFonts w:ascii="Times New Roman" w:eastAsia="Times New Roman" w:hAnsi="Times New Roman" w:cs="Times New Roman"/>
          <w:sz w:val="16"/>
        </w:rPr>
        <w:t xml:space="preserve"> Time trends of gastroesophageal reflux disease: A systematic review.</w:t>
      </w:r>
      <w:r>
        <w:rPr>
          <w:rFonts w:ascii="Times New Roman" w:eastAsia="Times New Roman" w:hAnsi="Times New Roman" w:cs="Times New Roman"/>
          <w:i/>
          <w:sz w:val="16"/>
        </w:rPr>
        <w:t xml:space="preserve"> Clin Gastroenterol Hepatol. </w:t>
      </w:r>
    </w:p>
    <w:p w:rsidR="006F5A4C" w:rsidRDefault="00730F7D">
      <w:pPr>
        <w:spacing w:after="3" w:line="241" w:lineRule="auto"/>
        <w:ind w:left="299" w:right="55" w:firstLine="1"/>
        <w:jc w:val="both"/>
      </w:pPr>
      <w:r>
        <w:rPr>
          <w:rFonts w:ascii="Times New Roman" w:eastAsia="Times New Roman" w:hAnsi="Times New Roman" w:cs="Times New Roman"/>
          <w:sz w:val="16"/>
        </w:rPr>
        <w:t>20</w:t>
      </w:r>
      <w:r>
        <w:rPr>
          <w:rFonts w:ascii="Times New Roman" w:eastAsia="Times New Roman" w:hAnsi="Times New Roman" w:cs="Times New Roman"/>
          <w:sz w:val="16"/>
        </w:rPr>
        <w:t>07;5(1):17–26. DOI: 10.1016/j.cgh.2006.09.016</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Lundell L.R., Dent J., Bennett J.R., Blum A.L., Armstrong D., Galmiche J.P., et al.</w:t>
      </w:r>
      <w:r>
        <w:rPr>
          <w:rFonts w:ascii="Times New Roman" w:eastAsia="Times New Roman" w:hAnsi="Times New Roman" w:cs="Times New Roman"/>
          <w:sz w:val="16"/>
        </w:rPr>
        <w:t xml:space="preserve"> Endoscopic assessment of oesophagitis: Clinical and functional correlates and further validation of the Los Angeles classifica</w:t>
      </w:r>
      <w:r>
        <w:rPr>
          <w:rFonts w:ascii="Times New Roman" w:eastAsia="Times New Roman" w:hAnsi="Times New Roman" w:cs="Times New Roman"/>
          <w:sz w:val="16"/>
        </w:rPr>
        <w:t xml:space="preserve">tion. </w:t>
      </w:r>
      <w:r>
        <w:rPr>
          <w:rFonts w:ascii="Times New Roman" w:eastAsia="Times New Roman" w:hAnsi="Times New Roman" w:cs="Times New Roman"/>
          <w:i/>
          <w:sz w:val="16"/>
        </w:rPr>
        <w:t>Gut</w:t>
      </w:r>
      <w:r>
        <w:rPr>
          <w:rFonts w:ascii="Times New Roman" w:eastAsia="Times New Roman" w:hAnsi="Times New Roman" w:cs="Times New Roman"/>
          <w:sz w:val="16"/>
        </w:rPr>
        <w:t xml:space="preserve">. </w:t>
      </w:r>
    </w:p>
    <w:p w:rsidR="006F5A4C" w:rsidRDefault="00730F7D">
      <w:pPr>
        <w:spacing w:after="3" w:line="241" w:lineRule="auto"/>
        <w:ind w:left="289" w:right="55" w:firstLine="1"/>
        <w:jc w:val="both"/>
      </w:pPr>
      <w:r>
        <w:rPr>
          <w:rFonts w:ascii="Times New Roman" w:eastAsia="Times New Roman" w:hAnsi="Times New Roman" w:cs="Times New Roman"/>
          <w:sz w:val="16"/>
        </w:rPr>
        <w:t>1999;45(2):172–80. DOI: 10.1136/gut.45.2.172</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Poh C.H., Gasiorowska A., Navarro-Rodriguez T., Willis M.R., Hargadon D., Noelck N., et al.</w:t>
      </w:r>
      <w:r>
        <w:rPr>
          <w:rFonts w:ascii="Times New Roman" w:eastAsia="Times New Roman" w:hAnsi="Times New Roman" w:cs="Times New Roman"/>
          <w:sz w:val="16"/>
        </w:rPr>
        <w:t xml:space="preserve"> Upper GI tract findings in patients with heartburn in whom proton pump inhibitor treatment failed versus th</w:t>
      </w:r>
      <w:r>
        <w:rPr>
          <w:rFonts w:ascii="Times New Roman" w:eastAsia="Times New Roman" w:hAnsi="Times New Roman" w:cs="Times New Roman"/>
          <w:sz w:val="16"/>
        </w:rPr>
        <w:t xml:space="preserve">ose not receiving antireflux treatment. </w:t>
      </w:r>
      <w:r>
        <w:rPr>
          <w:rFonts w:ascii="Times New Roman" w:eastAsia="Times New Roman" w:hAnsi="Times New Roman" w:cs="Times New Roman"/>
          <w:i/>
          <w:sz w:val="16"/>
        </w:rPr>
        <w:t>Gastrointest Endosc.</w:t>
      </w:r>
      <w:r>
        <w:rPr>
          <w:rFonts w:ascii="Times New Roman" w:eastAsia="Times New Roman" w:hAnsi="Times New Roman" w:cs="Times New Roman"/>
          <w:sz w:val="16"/>
        </w:rPr>
        <w:t xml:space="preserve"> 2010;71(1):28–34. DOI: 10.1016/j.gie.2009.08.024</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Roman S., Gyawali C.P., Savarino E., Yadlapati R., Zerbib F., Wu J., et al.; GERD consensus group.</w:t>
      </w:r>
      <w:r>
        <w:rPr>
          <w:rFonts w:ascii="Times New Roman" w:eastAsia="Times New Roman" w:hAnsi="Times New Roman" w:cs="Times New Roman"/>
          <w:sz w:val="16"/>
        </w:rPr>
        <w:t xml:space="preserve"> Ambulatory reflux monitoring for diagnosis of g</w:t>
      </w:r>
      <w:r>
        <w:rPr>
          <w:rFonts w:ascii="Times New Roman" w:eastAsia="Times New Roman" w:hAnsi="Times New Roman" w:cs="Times New Roman"/>
          <w:sz w:val="16"/>
        </w:rPr>
        <w:t xml:space="preserve">astro-esophageal reflux disease: Update of the Porto consensus and recommendations from an international consensus group. </w:t>
      </w:r>
      <w:r>
        <w:rPr>
          <w:rFonts w:ascii="Times New Roman" w:eastAsia="Times New Roman" w:hAnsi="Times New Roman" w:cs="Times New Roman"/>
          <w:i/>
          <w:sz w:val="16"/>
        </w:rPr>
        <w:t>Neurogastroenterol Motil.</w:t>
      </w:r>
      <w:r>
        <w:rPr>
          <w:rFonts w:ascii="Times New Roman" w:eastAsia="Times New Roman" w:hAnsi="Times New Roman" w:cs="Times New Roman"/>
          <w:sz w:val="16"/>
        </w:rPr>
        <w:t xml:space="preserve"> 2017;29(10):1–15. DOI: 10.1111/nmo.13067</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Savarino, E., Zentilin, P., &amp; Savarino, V.</w:t>
      </w:r>
      <w:r>
        <w:rPr>
          <w:rFonts w:ascii="Times New Roman" w:eastAsia="Times New Roman" w:hAnsi="Times New Roman" w:cs="Times New Roman"/>
          <w:sz w:val="16"/>
        </w:rPr>
        <w:t xml:space="preserve"> NERD: an umbrella term i</w:t>
      </w:r>
      <w:r>
        <w:rPr>
          <w:rFonts w:ascii="Times New Roman" w:eastAsia="Times New Roman" w:hAnsi="Times New Roman" w:cs="Times New Roman"/>
          <w:sz w:val="16"/>
        </w:rPr>
        <w:t xml:space="preserve">ncluding heterogeneous subpopulations. </w:t>
      </w:r>
      <w:r>
        <w:rPr>
          <w:rFonts w:ascii="Times New Roman" w:eastAsia="Times New Roman" w:hAnsi="Times New Roman" w:cs="Times New Roman"/>
          <w:i/>
          <w:sz w:val="16"/>
        </w:rPr>
        <w:t xml:space="preserve">Nature Reviews Gastroenterology &amp; Hepatology. </w:t>
      </w:r>
      <w:r>
        <w:rPr>
          <w:rFonts w:ascii="Times New Roman" w:eastAsia="Times New Roman" w:hAnsi="Times New Roman" w:cs="Times New Roman"/>
          <w:sz w:val="16"/>
        </w:rPr>
        <w:t>2013;10(6):371–380. DOI: 10.1038/nrgastro.2013.50</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Akdamar K., Ertan A., Agrawal N.M., McMahon F.G., Ryan J.</w:t>
      </w:r>
      <w:r>
        <w:rPr>
          <w:rFonts w:ascii="Times New Roman" w:eastAsia="Times New Roman" w:hAnsi="Times New Roman" w:cs="Times New Roman"/>
          <w:sz w:val="16"/>
        </w:rPr>
        <w:t xml:space="preserve"> Upper gastrointestinal endoscopy in normal asymptomatic volunte</w:t>
      </w:r>
      <w:r>
        <w:rPr>
          <w:rFonts w:ascii="Times New Roman" w:eastAsia="Times New Roman" w:hAnsi="Times New Roman" w:cs="Times New Roman"/>
          <w:sz w:val="16"/>
        </w:rPr>
        <w:t xml:space="preserve">ers. </w:t>
      </w:r>
      <w:r>
        <w:rPr>
          <w:rFonts w:ascii="Times New Roman" w:eastAsia="Times New Roman" w:hAnsi="Times New Roman" w:cs="Times New Roman"/>
          <w:i/>
          <w:sz w:val="16"/>
        </w:rPr>
        <w:t>Gastrointest Endosc.</w:t>
      </w:r>
      <w:r>
        <w:rPr>
          <w:rFonts w:ascii="Times New Roman" w:eastAsia="Times New Roman" w:hAnsi="Times New Roman" w:cs="Times New Roman"/>
          <w:sz w:val="16"/>
        </w:rPr>
        <w:t xml:space="preserve"> 1986;32(2):78– 80. DOI: 10.1016/s0016-5107(86)71760-4</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Takashima T., Iwakiri R., Sakata Y., Yamaguchi D., Tsuruoka N., Akutagawa K., et al.</w:t>
      </w:r>
      <w:r>
        <w:rPr>
          <w:rFonts w:ascii="Times New Roman" w:eastAsia="Times New Roman" w:hAnsi="Times New Roman" w:cs="Times New Roman"/>
          <w:sz w:val="16"/>
        </w:rPr>
        <w:t xml:space="preserve"> Endoscopic reflux esophagitis and Helicobacter pylori infection in young healthy Japanese v</w:t>
      </w:r>
      <w:r>
        <w:rPr>
          <w:rFonts w:ascii="Times New Roman" w:eastAsia="Times New Roman" w:hAnsi="Times New Roman" w:cs="Times New Roman"/>
          <w:sz w:val="16"/>
        </w:rPr>
        <w:t xml:space="preserve">olunteers. </w:t>
      </w:r>
      <w:r>
        <w:rPr>
          <w:rFonts w:ascii="Times New Roman" w:eastAsia="Times New Roman" w:hAnsi="Times New Roman" w:cs="Times New Roman"/>
          <w:i/>
          <w:sz w:val="16"/>
        </w:rPr>
        <w:t>Digestion.</w:t>
      </w:r>
      <w:r>
        <w:rPr>
          <w:rFonts w:ascii="Times New Roman" w:eastAsia="Times New Roman" w:hAnsi="Times New Roman" w:cs="Times New Roman"/>
          <w:sz w:val="16"/>
        </w:rPr>
        <w:t xml:space="preserve"> 2012;86(1):55–8. DOI: 10.1159/000338849</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Zagari R.M., Fuccio L., Wallander M.A., Johansson S., Fiocca R., Casanova S., et al.</w:t>
      </w:r>
      <w:r>
        <w:rPr>
          <w:rFonts w:ascii="Times New Roman" w:eastAsia="Times New Roman" w:hAnsi="Times New Roman" w:cs="Times New Roman"/>
          <w:sz w:val="16"/>
        </w:rPr>
        <w:t xml:space="preserve"> Gastro-oesophageal reflux symptoms, oesophagitis and Barrett’s oesophagus in the general population: The Loia</w:t>
      </w:r>
      <w:r>
        <w:rPr>
          <w:rFonts w:ascii="Times New Roman" w:eastAsia="Times New Roman" w:hAnsi="Times New Roman" w:cs="Times New Roman"/>
          <w:sz w:val="16"/>
        </w:rPr>
        <w:t>no-Monghidoro study.</w:t>
      </w:r>
      <w:r>
        <w:rPr>
          <w:rFonts w:ascii="Times New Roman" w:eastAsia="Times New Roman" w:hAnsi="Times New Roman" w:cs="Times New Roman"/>
          <w:i/>
          <w:sz w:val="16"/>
        </w:rPr>
        <w:t xml:space="preserve"> Gut</w:t>
      </w:r>
      <w:r>
        <w:rPr>
          <w:rFonts w:ascii="Times New Roman" w:eastAsia="Times New Roman" w:hAnsi="Times New Roman" w:cs="Times New Roman"/>
          <w:sz w:val="16"/>
        </w:rPr>
        <w:t xml:space="preserve">. </w:t>
      </w:r>
    </w:p>
    <w:p w:rsidR="006F5A4C" w:rsidRDefault="00730F7D">
      <w:pPr>
        <w:spacing w:after="3" w:line="241" w:lineRule="auto"/>
        <w:ind w:left="299" w:right="55" w:firstLine="1"/>
        <w:jc w:val="both"/>
      </w:pPr>
      <w:r>
        <w:rPr>
          <w:rFonts w:ascii="Times New Roman" w:eastAsia="Times New Roman" w:hAnsi="Times New Roman" w:cs="Times New Roman"/>
          <w:sz w:val="16"/>
        </w:rPr>
        <w:t>2008;57(10):1354–9. DOI: 10.1136/gut.2007.145177</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Gyawali C.P., Kahrilas P.J., Savarino E., Zerbib F., Mion F., Smout AJPM, et al.</w:t>
      </w:r>
      <w:r>
        <w:rPr>
          <w:rFonts w:ascii="Times New Roman" w:eastAsia="Times New Roman" w:hAnsi="Times New Roman" w:cs="Times New Roman"/>
          <w:sz w:val="16"/>
        </w:rPr>
        <w:t xml:space="preserve"> Modern diagnosis of GERD: the Lyon Consensus. </w:t>
      </w:r>
      <w:r>
        <w:rPr>
          <w:rFonts w:ascii="Times New Roman" w:eastAsia="Times New Roman" w:hAnsi="Times New Roman" w:cs="Times New Roman"/>
          <w:i/>
          <w:sz w:val="16"/>
        </w:rPr>
        <w:t>Gut</w:t>
      </w:r>
      <w:r>
        <w:rPr>
          <w:rFonts w:ascii="Times New Roman" w:eastAsia="Times New Roman" w:hAnsi="Times New Roman" w:cs="Times New Roman"/>
          <w:sz w:val="16"/>
        </w:rPr>
        <w:t>. 2018;67(7):1351–62. DOI: 10.1136/gutjnl-2017-314</w:t>
      </w:r>
      <w:r>
        <w:rPr>
          <w:rFonts w:ascii="Times New Roman" w:eastAsia="Times New Roman" w:hAnsi="Times New Roman" w:cs="Times New Roman"/>
          <w:sz w:val="16"/>
        </w:rPr>
        <w:t>722</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Rank M.A., Sharaf R.N., Furuta G.T., Aceves S.S., Greenhawt M., Spergel J.M., et al.; AGA Institute.</w:t>
      </w:r>
      <w:r>
        <w:rPr>
          <w:rFonts w:ascii="Times New Roman" w:eastAsia="Times New Roman" w:hAnsi="Times New Roman" w:cs="Times New Roman"/>
          <w:sz w:val="16"/>
        </w:rPr>
        <w:t xml:space="preserve"> Electronic address: clinicalpractice@gastro.org; Joint Task Force on Allergy-Immunology Practice Parameters collaborators. Electronic address: drdanawa</w:t>
      </w:r>
      <w:r>
        <w:rPr>
          <w:rFonts w:ascii="Times New Roman" w:eastAsia="Times New Roman" w:hAnsi="Times New Roman" w:cs="Times New Roman"/>
          <w:sz w:val="16"/>
        </w:rPr>
        <w:t>llace@gmail.com; AGA Institute; Joint Task Force on Allergy-Immunology Practice Parameters collaborators. Technical review on the management of  eosinophilic esophagitis: A report from the AGA Institute and the Joint Task Force on allergy-immunology practi</w:t>
      </w:r>
      <w:r>
        <w:rPr>
          <w:rFonts w:ascii="Times New Roman" w:eastAsia="Times New Roman" w:hAnsi="Times New Roman" w:cs="Times New Roman"/>
          <w:sz w:val="16"/>
        </w:rPr>
        <w:t xml:space="preserve">ce parameters. </w:t>
      </w:r>
      <w:r>
        <w:rPr>
          <w:rFonts w:ascii="Times New Roman" w:eastAsia="Times New Roman" w:hAnsi="Times New Roman" w:cs="Times New Roman"/>
          <w:i/>
          <w:sz w:val="16"/>
        </w:rPr>
        <w:t>Gastroenterology.</w:t>
      </w:r>
      <w:r>
        <w:rPr>
          <w:rFonts w:ascii="Times New Roman" w:eastAsia="Times New Roman" w:hAnsi="Times New Roman" w:cs="Times New Roman"/>
          <w:sz w:val="16"/>
        </w:rPr>
        <w:t xml:space="preserve"> 2020;158(6):1789–810.e15. DOI: 10.1053/j.gastro.2020.02.039</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Gonçalves E.S., Assumpção M.S., Servidoni MFCP, Lomazi E.A., Ribeiro J.D.</w:t>
      </w:r>
      <w:r>
        <w:rPr>
          <w:rFonts w:ascii="Times New Roman" w:eastAsia="Times New Roman" w:hAnsi="Times New Roman" w:cs="Times New Roman"/>
          <w:sz w:val="16"/>
        </w:rPr>
        <w:t xml:space="preserve"> Multichannel intraluminal impedance-pH and psychometric properties in gastroesophageal re</w:t>
      </w:r>
      <w:r>
        <w:rPr>
          <w:rFonts w:ascii="Times New Roman" w:eastAsia="Times New Roman" w:hAnsi="Times New Roman" w:cs="Times New Roman"/>
          <w:sz w:val="16"/>
        </w:rPr>
        <w:t xml:space="preserve">flux: Systematic review. J Pediatr (Rio J). </w:t>
      </w:r>
    </w:p>
    <w:p w:rsidR="006F5A4C" w:rsidRDefault="00730F7D">
      <w:pPr>
        <w:spacing w:after="3" w:line="241" w:lineRule="auto"/>
        <w:ind w:left="299" w:right="55" w:firstLine="1"/>
        <w:jc w:val="both"/>
      </w:pPr>
      <w:r>
        <w:rPr>
          <w:rFonts w:ascii="Times New Roman" w:eastAsia="Times New Roman" w:hAnsi="Times New Roman" w:cs="Times New Roman"/>
          <w:sz w:val="16"/>
        </w:rPr>
        <w:t>2020;96(6):673–85. DOI: 10.1016/j.jped.2020.01.005</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Frazzoni M, de Bortoli N, Frazzoni L, et al.</w:t>
      </w:r>
      <w:r>
        <w:rPr>
          <w:rFonts w:ascii="Times New Roman" w:eastAsia="Times New Roman" w:hAnsi="Times New Roman" w:cs="Times New Roman"/>
          <w:sz w:val="16"/>
        </w:rPr>
        <w:t xml:space="preserve">  The added diagnostic value of postreflux swallow-induced peristaltic wave index and nocturnal baseline impedance i</w:t>
      </w:r>
      <w:r>
        <w:rPr>
          <w:rFonts w:ascii="Times New Roman" w:eastAsia="Times New Roman" w:hAnsi="Times New Roman" w:cs="Times New Roman"/>
          <w:sz w:val="16"/>
        </w:rPr>
        <w:t xml:space="preserve">n refractory reflux disease studied with on-therapy impedance-pH monitoring. </w:t>
      </w:r>
      <w:r>
        <w:rPr>
          <w:rFonts w:ascii="Times New Roman" w:eastAsia="Times New Roman" w:hAnsi="Times New Roman" w:cs="Times New Roman"/>
          <w:i/>
          <w:sz w:val="16"/>
        </w:rPr>
        <w:t xml:space="preserve">Neurogastroenterol Motil </w:t>
      </w:r>
      <w:r>
        <w:rPr>
          <w:rFonts w:ascii="Times New Roman" w:eastAsia="Times New Roman" w:hAnsi="Times New Roman" w:cs="Times New Roman"/>
          <w:sz w:val="16"/>
        </w:rPr>
        <w:t xml:space="preserve">2017;29:e12947. </w:t>
      </w:r>
    </w:p>
    <w:p w:rsidR="006F5A4C" w:rsidRDefault="00730F7D">
      <w:pPr>
        <w:spacing w:after="3" w:line="241" w:lineRule="auto"/>
        <w:ind w:left="301" w:right="55" w:firstLine="1"/>
        <w:jc w:val="both"/>
      </w:pPr>
      <w:r>
        <w:rPr>
          <w:rFonts w:ascii="Times New Roman" w:eastAsia="Times New Roman" w:hAnsi="Times New Roman" w:cs="Times New Roman"/>
          <w:sz w:val="16"/>
        </w:rPr>
        <w:t>DOI: 10.1111/nmo.12947</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Saritas Yuksel E., Higginbotham T., Slaughter J.C., Mabary J., Kavitt R.T., Garrett C.G., et al.</w:t>
      </w:r>
      <w:r>
        <w:rPr>
          <w:rFonts w:ascii="Times New Roman" w:eastAsia="Times New Roman" w:hAnsi="Times New Roman" w:cs="Times New Roman"/>
          <w:sz w:val="16"/>
        </w:rPr>
        <w:t xml:space="preserve"> Use of direct, endoscopic-guided measurements of mucosal impedance in diagnosis of gastroesophageal reflux disease. </w:t>
      </w:r>
      <w:r>
        <w:rPr>
          <w:rFonts w:ascii="Times New Roman" w:eastAsia="Times New Roman" w:hAnsi="Times New Roman" w:cs="Times New Roman"/>
          <w:i/>
          <w:sz w:val="16"/>
        </w:rPr>
        <w:t>Clin Gastroenterol Hepatol.</w:t>
      </w:r>
      <w:r>
        <w:rPr>
          <w:rFonts w:ascii="Times New Roman" w:eastAsia="Times New Roman" w:hAnsi="Times New Roman" w:cs="Times New Roman"/>
          <w:sz w:val="16"/>
        </w:rPr>
        <w:t xml:space="preserve"> 2012;10(10):1110–6. DOI: 10.1016/j.</w:t>
      </w:r>
    </w:p>
    <w:p w:rsidR="006F5A4C" w:rsidRDefault="00730F7D">
      <w:pPr>
        <w:spacing w:after="3" w:line="241" w:lineRule="auto"/>
        <w:ind w:left="303" w:right="55" w:firstLine="1"/>
        <w:jc w:val="both"/>
      </w:pPr>
      <w:r>
        <w:rPr>
          <w:rFonts w:ascii="Times New Roman" w:eastAsia="Times New Roman" w:hAnsi="Times New Roman" w:cs="Times New Roman"/>
          <w:sz w:val="16"/>
        </w:rPr>
        <w:t>cgh.2012.05.018</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Iluyomade A., Olowoyeye A., Fadahunsi O., Thomas L., Libend</w:t>
      </w:r>
      <w:r>
        <w:rPr>
          <w:rFonts w:ascii="Times New Roman" w:eastAsia="Times New Roman" w:hAnsi="Times New Roman" w:cs="Times New Roman"/>
          <w:i/>
          <w:sz w:val="16"/>
        </w:rPr>
        <w:t xml:space="preserve"> C.N., Ragunathan K., et al.</w:t>
      </w:r>
      <w:r>
        <w:rPr>
          <w:rFonts w:ascii="Times New Roman" w:eastAsia="Times New Roman" w:hAnsi="Times New Roman" w:cs="Times New Roman"/>
          <w:sz w:val="16"/>
        </w:rPr>
        <w:t xml:space="preserve"> Interference with daily activities and major adverse events during esophageal pH monitoring with bravo wireless capsule versus conventional intranasal catheter: A systematic review of randomized controlled trials. </w:t>
      </w:r>
      <w:r>
        <w:rPr>
          <w:rFonts w:ascii="Times New Roman" w:eastAsia="Times New Roman" w:hAnsi="Times New Roman" w:cs="Times New Roman"/>
          <w:i/>
          <w:sz w:val="16"/>
        </w:rPr>
        <w:t>Dis Esophagus</w:t>
      </w:r>
      <w:r>
        <w:rPr>
          <w:rFonts w:ascii="Times New Roman" w:eastAsia="Times New Roman" w:hAnsi="Times New Roman" w:cs="Times New Roman"/>
          <w:i/>
          <w:sz w:val="16"/>
        </w:rPr>
        <w:t>.</w:t>
      </w:r>
      <w:r>
        <w:rPr>
          <w:rFonts w:ascii="Times New Roman" w:eastAsia="Times New Roman" w:hAnsi="Times New Roman" w:cs="Times New Roman"/>
          <w:sz w:val="16"/>
        </w:rPr>
        <w:t xml:space="preserve"> 2017;30(3):1–9. DOI: 10.1111/dote.12464</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Gyawali C.P., Rogers B., Frazzoni M., Savarino E., Roman S., Sifrim D.</w:t>
      </w:r>
      <w:r>
        <w:rPr>
          <w:rFonts w:ascii="Times New Roman" w:eastAsia="Times New Roman" w:hAnsi="Times New Roman" w:cs="Times New Roman"/>
          <w:sz w:val="16"/>
        </w:rPr>
        <w:t xml:space="preserve"> Inter-reviewer variability in interpretation of pH-impedance studies: The Wingate Consensus. </w:t>
      </w:r>
      <w:r>
        <w:rPr>
          <w:rFonts w:ascii="Times New Roman" w:eastAsia="Times New Roman" w:hAnsi="Times New Roman" w:cs="Times New Roman"/>
          <w:i/>
          <w:sz w:val="16"/>
        </w:rPr>
        <w:t>Clin Gastroenterol Hepatol.</w:t>
      </w:r>
      <w:r>
        <w:rPr>
          <w:rFonts w:ascii="Times New Roman" w:eastAsia="Times New Roman" w:hAnsi="Times New Roman" w:cs="Times New Roman"/>
          <w:sz w:val="16"/>
        </w:rPr>
        <w:t xml:space="preserve"> 2021;19(9):1976–8.e1. </w:t>
      </w:r>
    </w:p>
    <w:p w:rsidR="006F5A4C" w:rsidRDefault="00730F7D">
      <w:pPr>
        <w:spacing w:after="3" w:line="241" w:lineRule="auto"/>
        <w:ind w:left="285" w:right="55" w:firstLine="1"/>
        <w:jc w:val="both"/>
      </w:pPr>
      <w:r>
        <w:rPr>
          <w:rFonts w:ascii="Times New Roman" w:eastAsia="Times New Roman" w:hAnsi="Times New Roman" w:cs="Times New Roman"/>
          <w:sz w:val="16"/>
        </w:rPr>
        <w:t>DOI: 10.1016/j.cgh.2020.09.002</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Woodland P., Shen Ooi J.L., Grassi F., Nikaki K.., Lee C, Evans J.A., et al.</w:t>
      </w:r>
      <w:r>
        <w:rPr>
          <w:rFonts w:ascii="Times New Roman" w:eastAsia="Times New Roman" w:hAnsi="Times New Roman" w:cs="Times New Roman"/>
          <w:sz w:val="16"/>
        </w:rPr>
        <w:t xml:space="preserve"> Superficial esophageal mucosal afferent nerves may contribute to reflux hypersensitivity in nonerosive reflux disease. </w:t>
      </w:r>
      <w:r>
        <w:rPr>
          <w:rFonts w:ascii="Times New Roman" w:eastAsia="Times New Roman" w:hAnsi="Times New Roman" w:cs="Times New Roman"/>
          <w:i/>
          <w:sz w:val="16"/>
        </w:rPr>
        <w:t xml:space="preserve">Gastroenterology. </w:t>
      </w:r>
      <w:r>
        <w:rPr>
          <w:rFonts w:ascii="Times New Roman" w:eastAsia="Times New Roman" w:hAnsi="Times New Roman" w:cs="Times New Roman"/>
          <w:sz w:val="16"/>
        </w:rPr>
        <w:t>2017;153(5):1230–9. DOI: 10.1053/j.gastro.2017.07.017</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Spechler S.J., Hunter J.G., Jones K.M., Lee R., Smith B.R., Mashimo H., et al.</w:t>
      </w:r>
      <w:r>
        <w:rPr>
          <w:rFonts w:ascii="Times New Roman" w:eastAsia="Times New Roman" w:hAnsi="Times New Roman" w:cs="Times New Roman"/>
          <w:sz w:val="16"/>
        </w:rPr>
        <w:t xml:space="preserve"> Randomized trial of medical versus surgical treatment for refractory heartburn. </w:t>
      </w:r>
    </w:p>
    <w:p w:rsidR="006F5A4C" w:rsidRDefault="00730F7D">
      <w:pPr>
        <w:spacing w:after="3" w:line="241" w:lineRule="auto"/>
        <w:ind w:left="285" w:right="55" w:firstLine="1"/>
        <w:jc w:val="both"/>
      </w:pPr>
      <w:r>
        <w:rPr>
          <w:rFonts w:ascii="Times New Roman" w:eastAsia="Times New Roman" w:hAnsi="Times New Roman" w:cs="Times New Roman"/>
          <w:i/>
          <w:sz w:val="16"/>
        </w:rPr>
        <w:t>N</w:t>
      </w:r>
      <w:r>
        <w:rPr>
          <w:rFonts w:ascii="Times New Roman" w:eastAsia="Times New Roman" w:hAnsi="Times New Roman" w:cs="Times New Roman"/>
          <w:sz w:val="16"/>
        </w:rPr>
        <w:t xml:space="preserve"> </w:t>
      </w:r>
      <w:r>
        <w:rPr>
          <w:rFonts w:ascii="Times New Roman" w:eastAsia="Times New Roman" w:hAnsi="Times New Roman" w:cs="Times New Roman"/>
          <w:i/>
          <w:sz w:val="16"/>
        </w:rPr>
        <w:t xml:space="preserve">Engl J Med. </w:t>
      </w:r>
      <w:r>
        <w:rPr>
          <w:rFonts w:ascii="Times New Roman" w:eastAsia="Times New Roman" w:hAnsi="Times New Roman" w:cs="Times New Roman"/>
          <w:sz w:val="16"/>
        </w:rPr>
        <w:t>2019;381(16):1513–23. DOI: 1</w:t>
      </w:r>
      <w:r>
        <w:rPr>
          <w:rFonts w:ascii="Times New Roman" w:eastAsia="Times New Roman" w:hAnsi="Times New Roman" w:cs="Times New Roman"/>
          <w:sz w:val="16"/>
        </w:rPr>
        <w:t>0.1056/ NEJMoa1811424</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Aziz Q., Fass R., Gyawali C.P., Miwa H., Pandolfino J.E., Zerbib F.</w:t>
      </w:r>
      <w:r>
        <w:rPr>
          <w:rFonts w:ascii="Times New Roman" w:eastAsia="Times New Roman" w:hAnsi="Times New Roman" w:cs="Times New Roman"/>
          <w:sz w:val="16"/>
        </w:rPr>
        <w:t xml:space="preserve"> Functional esophageal disorders. </w:t>
      </w:r>
      <w:r>
        <w:rPr>
          <w:rFonts w:ascii="Times New Roman" w:eastAsia="Times New Roman" w:hAnsi="Times New Roman" w:cs="Times New Roman"/>
          <w:i/>
          <w:sz w:val="16"/>
        </w:rPr>
        <w:t xml:space="preserve">Gastroenterology. </w:t>
      </w:r>
      <w:r>
        <w:rPr>
          <w:rFonts w:ascii="Times New Roman" w:eastAsia="Times New Roman" w:hAnsi="Times New Roman" w:cs="Times New Roman"/>
          <w:sz w:val="16"/>
        </w:rPr>
        <w:t>2016;S0016-5085(16)00178-5. DOI: 10.1053/j. gastro.2016.02.012</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 xml:space="preserve">Worrell S.G., DeMeester S.R., Greene C.L., Oh D.S., </w:t>
      </w:r>
      <w:r>
        <w:rPr>
          <w:rFonts w:ascii="Times New Roman" w:eastAsia="Times New Roman" w:hAnsi="Times New Roman" w:cs="Times New Roman"/>
          <w:i/>
          <w:sz w:val="16"/>
        </w:rPr>
        <w:t>Hagen J.A.</w:t>
      </w:r>
      <w:r>
        <w:rPr>
          <w:rFonts w:ascii="Times New Roman" w:eastAsia="Times New Roman" w:hAnsi="Times New Roman" w:cs="Times New Roman"/>
          <w:sz w:val="16"/>
        </w:rPr>
        <w:t xml:space="preserve"> Pharyngeal pH monitoring better predicts a successful outcome for extraesophageal reflux symptoms after antireflux surgery.</w:t>
      </w:r>
      <w:r>
        <w:rPr>
          <w:rFonts w:ascii="Times New Roman" w:eastAsia="Times New Roman" w:hAnsi="Times New Roman" w:cs="Times New Roman"/>
          <w:i/>
          <w:sz w:val="16"/>
        </w:rPr>
        <w:t xml:space="preserve"> Surg Endosc.</w:t>
      </w:r>
      <w:r>
        <w:rPr>
          <w:rFonts w:ascii="Times New Roman" w:eastAsia="Times New Roman" w:hAnsi="Times New Roman" w:cs="Times New Roman"/>
          <w:sz w:val="16"/>
        </w:rPr>
        <w:t xml:space="preserve"> 2013;27(11):4113– 8. DOI: 10.1007/s00464-013-3076-3</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Wiener G.J., Tsukashima R., Kelly C., Wolf E., Schmeltze</w:t>
      </w:r>
      <w:r>
        <w:rPr>
          <w:rFonts w:ascii="Times New Roman" w:eastAsia="Times New Roman" w:hAnsi="Times New Roman" w:cs="Times New Roman"/>
          <w:i/>
          <w:sz w:val="16"/>
        </w:rPr>
        <w:t>r M., Bankert C., et al.</w:t>
      </w:r>
      <w:r>
        <w:rPr>
          <w:rFonts w:ascii="Times New Roman" w:eastAsia="Times New Roman" w:hAnsi="Times New Roman" w:cs="Times New Roman"/>
          <w:sz w:val="16"/>
        </w:rPr>
        <w:t xml:space="preserve"> Oropharyngeal pH monitoring for the detection of liquid and aerosolized supraesophageal gastric reflux. </w:t>
      </w:r>
      <w:r>
        <w:rPr>
          <w:rFonts w:ascii="Times New Roman" w:eastAsia="Times New Roman" w:hAnsi="Times New Roman" w:cs="Times New Roman"/>
          <w:i/>
          <w:sz w:val="16"/>
        </w:rPr>
        <w:t>J Voice.</w:t>
      </w:r>
      <w:r>
        <w:rPr>
          <w:rFonts w:ascii="Times New Roman" w:eastAsia="Times New Roman" w:hAnsi="Times New Roman" w:cs="Times New Roman"/>
          <w:sz w:val="16"/>
        </w:rPr>
        <w:t xml:space="preserve"> 2009;23(4):498–504. DOI: 10.1016/j.jvoice.2007.12.005</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Wang A.J., Liang M.J., Jiang A.Y., Lin J.K., Xiao Y.L., Peng S.,</w:t>
      </w:r>
      <w:r>
        <w:rPr>
          <w:rFonts w:ascii="Times New Roman" w:eastAsia="Times New Roman" w:hAnsi="Times New Roman" w:cs="Times New Roman"/>
          <w:i/>
          <w:sz w:val="16"/>
        </w:rPr>
        <w:t xml:space="preserve"> et al.</w:t>
      </w:r>
      <w:r>
        <w:rPr>
          <w:rFonts w:ascii="Times New Roman" w:eastAsia="Times New Roman" w:hAnsi="Times New Roman" w:cs="Times New Roman"/>
          <w:sz w:val="16"/>
        </w:rPr>
        <w:t xml:space="preserve"> Gastroesophageal and laryngopharyngeal reflux detected by 24-hour combined impedance and pH monitoring in healthy Chinese volunteers. </w:t>
      </w:r>
    </w:p>
    <w:p w:rsidR="006F5A4C" w:rsidRDefault="00730F7D">
      <w:pPr>
        <w:spacing w:after="3" w:line="241" w:lineRule="auto"/>
        <w:ind w:left="270" w:right="55" w:firstLine="1"/>
        <w:jc w:val="both"/>
      </w:pPr>
      <w:r>
        <w:rPr>
          <w:rFonts w:ascii="Times New Roman" w:eastAsia="Times New Roman" w:hAnsi="Times New Roman" w:cs="Times New Roman"/>
          <w:i/>
          <w:sz w:val="16"/>
        </w:rPr>
        <w:t>J Dig Dis.</w:t>
      </w:r>
      <w:r>
        <w:rPr>
          <w:rFonts w:ascii="Times New Roman" w:eastAsia="Times New Roman" w:hAnsi="Times New Roman" w:cs="Times New Roman"/>
          <w:sz w:val="16"/>
        </w:rPr>
        <w:t xml:space="preserve"> 2011;12(3):173–80. DOI: 10.1111/j.1751-</w:t>
      </w:r>
    </w:p>
    <w:p w:rsidR="006F5A4C" w:rsidRDefault="00730F7D">
      <w:pPr>
        <w:spacing w:after="3" w:line="241" w:lineRule="auto"/>
        <w:ind w:left="283" w:right="55" w:firstLine="1"/>
        <w:jc w:val="both"/>
      </w:pPr>
      <w:r>
        <w:rPr>
          <w:rFonts w:ascii="Times New Roman" w:eastAsia="Times New Roman" w:hAnsi="Times New Roman" w:cs="Times New Roman"/>
          <w:sz w:val="16"/>
        </w:rPr>
        <w:t>2980.2011.00502.x</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Patterson N., Mainie I., Rafferty G., McGarv</w:t>
      </w:r>
      <w:r>
        <w:rPr>
          <w:rFonts w:ascii="Times New Roman" w:eastAsia="Times New Roman" w:hAnsi="Times New Roman" w:cs="Times New Roman"/>
          <w:i/>
          <w:sz w:val="16"/>
        </w:rPr>
        <w:t>ey L., Heaney L., Tutuian R., et al.</w:t>
      </w:r>
      <w:r>
        <w:rPr>
          <w:rFonts w:ascii="Times New Roman" w:eastAsia="Times New Roman" w:hAnsi="Times New Roman" w:cs="Times New Roman"/>
          <w:sz w:val="16"/>
        </w:rPr>
        <w:t xml:space="preserve"> Nonacid reflux episodes reaching the pharynx are important factors associated with cough. </w:t>
      </w:r>
      <w:r>
        <w:rPr>
          <w:rFonts w:ascii="Times New Roman" w:eastAsia="Times New Roman" w:hAnsi="Times New Roman" w:cs="Times New Roman"/>
          <w:i/>
          <w:sz w:val="16"/>
        </w:rPr>
        <w:t xml:space="preserve">J Clin Gastroenterol. </w:t>
      </w:r>
      <w:r>
        <w:rPr>
          <w:rFonts w:ascii="Times New Roman" w:eastAsia="Times New Roman" w:hAnsi="Times New Roman" w:cs="Times New Roman"/>
          <w:sz w:val="16"/>
        </w:rPr>
        <w:t>2009;43(5):414–9. DOI: 10.1097/MCG.0b013e31818859a3</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Ивашкин В.Т., Маев И.В., Трухманов А.С., Сторонова О.А.</w:t>
      </w:r>
      <w:r>
        <w:rPr>
          <w:rFonts w:ascii="Times New Roman" w:eastAsia="Times New Roman" w:hAnsi="Times New Roman" w:cs="Times New Roman"/>
          <w:i/>
          <w:sz w:val="16"/>
        </w:rPr>
        <w:t>, Абдулхаков С.Р., Андреев Д.Н.</w:t>
      </w:r>
      <w:r>
        <w:rPr>
          <w:rFonts w:ascii="Times New Roman" w:eastAsia="Times New Roman" w:hAnsi="Times New Roman" w:cs="Times New Roman"/>
          <w:sz w:val="16"/>
        </w:rPr>
        <w:t xml:space="preserve"> </w:t>
      </w:r>
      <w:r>
        <w:rPr>
          <w:rFonts w:ascii="Times New Roman" w:eastAsia="Times New Roman" w:hAnsi="Times New Roman" w:cs="Times New Roman"/>
          <w:i/>
          <w:sz w:val="16"/>
        </w:rPr>
        <w:t>и др.</w:t>
      </w:r>
      <w:r>
        <w:rPr>
          <w:rFonts w:ascii="Times New Roman" w:eastAsia="Times New Roman" w:hAnsi="Times New Roman" w:cs="Times New Roman"/>
          <w:sz w:val="16"/>
        </w:rPr>
        <w:t xml:space="preserve"> Рекомендации Российской гастроэнтерологической ассоциации по клиническому применению манометрии высокого разрешения при заболеваниях пищевода. </w:t>
      </w:r>
      <w:r>
        <w:rPr>
          <w:rFonts w:ascii="Times New Roman" w:eastAsia="Times New Roman" w:hAnsi="Times New Roman" w:cs="Times New Roman"/>
          <w:i/>
          <w:sz w:val="16"/>
        </w:rPr>
        <w:t xml:space="preserve">Российский журнал гастроэнтерологии, гепатологии, колопроктологии. </w:t>
      </w:r>
      <w:r>
        <w:rPr>
          <w:rFonts w:ascii="Times New Roman" w:eastAsia="Times New Roman" w:hAnsi="Times New Roman" w:cs="Times New Roman"/>
          <w:sz w:val="16"/>
        </w:rPr>
        <w:t>2020;30(</w:t>
      </w:r>
      <w:r>
        <w:rPr>
          <w:rFonts w:ascii="Times New Roman" w:eastAsia="Times New Roman" w:hAnsi="Times New Roman" w:cs="Times New Roman"/>
          <w:sz w:val="16"/>
        </w:rPr>
        <w:t>3):61–88. [</w:t>
      </w:r>
      <w:r>
        <w:rPr>
          <w:rFonts w:ascii="Times New Roman" w:eastAsia="Times New Roman" w:hAnsi="Times New Roman" w:cs="Times New Roman"/>
          <w:i/>
          <w:sz w:val="16"/>
        </w:rPr>
        <w:t xml:space="preserve">Ivashkin V.T., Mayev I.V., Trukhmanov A.S., Storonova O.A., Abdulkhakov S.A., Andreev D.N., et al. </w:t>
      </w:r>
      <w:r>
        <w:rPr>
          <w:rFonts w:ascii="Times New Roman" w:eastAsia="Times New Roman" w:hAnsi="Times New Roman" w:cs="Times New Roman"/>
          <w:sz w:val="16"/>
        </w:rPr>
        <w:t>Recommendations of the Russian Gastroenterological Association on clinical use of high-resolution manometry in diagnosis of esophageal disorders.</w:t>
      </w:r>
      <w:r>
        <w:rPr>
          <w:rFonts w:ascii="Times New Roman" w:eastAsia="Times New Roman" w:hAnsi="Times New Roman" w:cs="Times New Roman"/>
          <w:i/>
          <w:sz w:val="16"/>
        </w:rPr>
        <w:t xml:space="preserve"> </w:t>
      </w:r>
      <w:r>
        <w:rPr>
          <w:rFonts w:ascii="Times New Roman" w:eastAsia="Times New Roman" w:hAnsi="Times New Roman" w:cs="Times New Roman"/>
          <w:i/>
          <w:sz w:val="16"/>
        </w:rPr>
        <w:t xml:space="preserve">Russian Journal of Gastroenterology, Hepatology, Coloproctology. </w:t>
      </w:r>
      <w:r>
        <w:rPr>
          <w:rFonts w:ascii="Times New Roman" w:eastAsia="Times New Roman" w:hAnsi="Times New Roman" w:cs="Times New Roman"/>
          <w:sz w:val="16"/>
        </w:rPr>
        <w:t>2020;30(3):61–88. (In  Russ.)]. DOI: 10.22416/1382-4376-2020-30-3-61-88</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Stoikes N., Drapekin J., Kushnir V., Shaker A., Brunt L.M., Gyawali C.P.</w:t>
      </w:r>
      <w:r>
        <w:rPr>
          <w:rFonts w:ascii="Times New Roman" w:eastAsia="Times New Roman" w:hAnsi="Times New Roman" w:cs="Times New Roman"/>
          <w:sz w:val="16"/>
        </w:rPr>
        <w:t xml:space="preserve"> The value of multiple rapid swallows during preoperative esophageal manometry before laparoscopic antireflux surgery. </w:t>
      </w:r>
      <w:r>
        <w:rPr>
          <w:rFonts w:ascii="Times New Roman" w:eastAsia="Times New Roman" w:hAnsi="Times New Roman" w:cs="Times New Roman"/>
          <w:i/>
          <w:sz w:val="16"/>
        </w:rPr>
        <w:t xml:space="preserve">Surg Endosc. </w:t>
      </w:r>
      <w:r>
        <w:rPr>
          <w:rFonts w:ascii="Times New Roman" w:eastAsia="Times New Roman" w:hAnsi="Times New Roman" w:cs="Times New Roman"/>
          <w:sz w:val="16"/>
        </w:rPr>
        <w:t>2012;26(12):3401–7. DOI: 10.1007/s00464-012-2350-0</w:t>
      </w:r>
    </w:p>
    <w:p w:rsidR="006F5A4C" w:rsidRDefault="00730F7D">
      <w:pPr>
        <w:numPr>
          <w:ilvl w:val="0"/>
          <w:numId w:val="7"/>
        </w:numPr>
        <w:spacing w:after="4" w:line="247" w:lineRule="auto"/>
        <w:ind w:right="55" w:hanging="440"/>
        <w:jc w:val="both"/>
      </w:pPr>
      <w:r>
        <w:rPr>
          <w:rFonts w:ascii="Times New Roman" w:eastAsia="Times New Roman" w:hAnsi="Times New Roman" w:cs="Times New Roman"/>
          <w:i/>
          <w:sz w:val="16"/>
        </w:rPr>
        <w:t xml:space="preserve">Alexander H.C., Hendler R.S., Seymour N.E., </w:t>
      </w:r>
    </w:p>
    <w:p w:rsidR="006F5A4C" w:rsidRDefault="00730F7D">
      <w:pPr>
        <w:spacing w:after="3" w:line="241" w:lineRule="auto"/>
        <w:ind w:left="285" w:right="55" w:firstLine="1"/>
        <w:jc w:val="both"/>
      </w:pPr>
      <w:r>
        <w:rPr>
          <w:rFonts w:ascii="Times New Roman" w:eastAsia="Times New Roman" w:hAnsi="Times New Roman" w:cs="Times New Roman"/>
          <w:i/>
          <w:sz w:val="16"/>
        </w:rPr>
        <w:t>Shires G.T.</w:t>
      </w:r>
      <w:r>
        <w:rPr>
          <w:rFonts w:ascii="Times New Roman" w:eastAsia="Times New Roman" w:hAnsi="Times New Roman" w:cs="Times New Roman"/>
          <w:sz w:val="16"/>
        </w:rPr>
        <w:t xml:space="preserve"> 3rd. Laparoscopi</w:t>
      </w:r>
      <w:r>
        <w:rPr>
          <w:rFonts w:ascii="Times New Roman" w:eastAsia="Times New Roman" w:hAnsi="Times New Roman" w:cs="Times New Roman"/>
          <w:sz w:val="16"/>
        </w:rPr>
        <w:t xml:space="preserve">c treatment of gastroesophageal reflux disease. </w:t>
      </w:r>
      <w:r>
        <w:rPr>
          <w:rFonts w:ascii="Times New Roman" w:eastAsia="Times New Roman" w:hAnsi="Times New Roman" w:cs="Times New Roman"/>
          <w:i/>
          <w:sz w:val="16"/>
        </w:rPr>
        <w:t>Am Surg.</w:t>
      </w:r>
      <w:r>
        <w:rPr>
          <w:rFonts w:ascii="Times New Roman" w:eastAsia="Times New Roman" w:hAnsi="Times New Roman" w:cs="Times New Roman"/>
          <w:sz w:val="16"/>
        </w:rPr>
        <w:t xml:space="preserve"> 1997;63(5):434–40.</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Trudgill N.J., Sifrim D., Sweis R., Fullard M., Basu K., McCord M., et al.</w:t>
      </w:r>
      <w:r>
        <w:rPr>
          <w:rFonts w:ascii="Times New Roman" w:eastAsia="Times New Roman" w:hAnsi="Times New Roman" w:cs="Times New Roman"/>
          <w:sz w:val="16"/>
        </w:rPr>
        <w:t xml:space="preserve"> British Society of Gastroenterology guidelines for oesophageal manometry and oesophageal reflux monitorin</w:t>
      </w:r>
      <w:r>
        <w:rPr>
          <w:rFonts w:ascii="Times New Roman" w:eastAsia="Times New Roman" w:hAnsi="Times New Roman" w:cs="Times New Roman"/>
          <w:sz w:val="16"/>
        </w:rPr>
        <w:t xml:space="preserve">g. </w:t>
      </w:r>
      <w:r>
        <w:rPr>
          <w:rFonts w:ascii="Times New Roman" w:eastAsia="Times New Roman" w:hAnsi="Times New Roman" w:cs="Times New Roman"/>
          <w:i/>
          <w:sz w:val="16"/>
        </w:rPr>
        <w:t>Gut</w:t>
      </w:r>
      <w:r>
        <w:rPr>
          <w:rFonts w:ascii="Times New Roman" w:eastAsia="Times New Roman" w:hAnsi="Times New Roman" w:cs="Times New Roman"/>
          <w:sz w:val="16"/>
        </w:rPr>
        <w:t xml:space="preserve">. 2019;68(10):1731–50. </w:t>
      </w:r>
    </w:p>
    <w:p w:rsidR="006F5A4C" w:rsidRDefault="00730F7D">
      <w:pPr>
        <w:spacing w:after="3" w:line="241" w:lineRule="auto"/>
        <w:ind w:left="284" w:right="55" w:firstLine="1"/>
        <w:jc w:val="both"/>
      </w:pPr>
      <w:r>
        <w:rPr>
          <w:rFonts w:ascii="Times New Roman" w:eastAsia="Times New Roman" w:hAnsi="Times New Roman" w:cs="Times New Roman"/>
          <w:sz w:val="16"/>
        </w:rPr>
        <w:t>DOI: 10.1136/gutjnl-2018-318115</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Iwakiri K., Fujiwara Y., Manabe N., Ihara E., Kuribayashi S., Akiyama J., et al.</w:t>
      </w:r>
      <w:r>
        <w:rPr>
          <w:rFonts w:ascii="Times New Roman" w:eastAsia="Times New Roman" w:hAnsi="Times New Roman" w:cs="Times New Roman"/>
          <w:sz w:val="16"/>
        </w:rPr>
        <w:t xml:space="preserve"> Evidence-based clinical practice guidelines for gastroesophageal reflux disease 2021. </w:t>
      </w:r>
      <w:r>
        <w:rPr>
          <w:rFonts w:ascii="Times New Roman" w:eastAsia="Times New Roman" w:hAnsi="Times New Roman" w:cs="Times New Roman"/>
          <w:i/>
          <w:sz w:val="16"/>
        </w:rPr>
        <w:t>J Gastroenterol.</w:t>
      </w:r>
      <w:r>
        <w:rPr>
          <w:rFonts w:ascii="Times New Roman" w:eastAsia="Times New Roman" w:hAnsi="Times New Roman" w:cs="Times New Roman"/>
          <w:sz w:val="16"/>
        </w:rPr>
        <w:t xml:space="preserve"> 2022;57(4)</w:t>
      </w:r>
      <w:r>
        <w:rPr>
          <w:rFonts w:ascii="Times New Roman" w:eastAsia="Times New Roman" w:hAnsi="Times New Roman" w:cs="Times New Roman"/>
          <w:sz w:val="16"/>
        </w:rPr>
        <w:t>:267–85. DOI: 10.1007/ s00535-022-01861-z</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Zhang M., Hou Z.K., Huang Z.B., Chen X.L., Liu F.B.</w:t>
      </w:r>
      <w:r>
        <w:rPr>
          <w:rFonts w:ascii="Times New Roman" w:eastAsia="Times New Roman" w:hAnsi="Times New Roman" w:cs="Times New Roman"/>
          <w:sz w:val="16"/>
        </w:rPr>
        <w:t xml:space="preserve"> Dietary and lifestyle factors related to gastroesophageal reflux disease: A systematic review. </w:t>
      </w:r>
      <w:r>
        <w:rPr>
          <w:rFonts w:ascii="Times New Roman" w:eastAsia="Times New Roman" w:hAnsi="Times New Roman" w:cs="Times New Roman"/>
          <w:i/>
          <w:sz w:val="16"/>
        </w:rPr>
        <w:t>Ther Clin Risk Manag</w:t>
      </w:r>
      <w:r>
        <w:rPr>
          <w:rFonts w:ascii="Times New Roman" w:eastAsia="Times New Roman" w:hAnsi="Times New Roman" w:cs="Times New Roman"/>
          <w:sz w:val="16"/>
        </w:rPr>
        <w:t xml:space="preserve">. </w:t>
      </w:r>
    </w:p>
    <w:p w:rsidR="006F5A4C" w:rsidRDefault="00730F7D">
      <w:pPr>
        <w:spacing w:after="3" w:line="241" w:lineRule="auto"/>
        <w:ind w:left="298" w:right="55" w:firstLine="1"/>
        <w:jc w:val="both"/>
      </w:pPr>
      <w:r>
        <w:rPr>
          <w:rFonts w:ascii="Times New Roman" w:eastAsia="Times New Roman" w:hAnsi="Times New Roman" w:cs="Times New Roman"/>
          <w:sz w:val="16"/>
        </w:rPr>
        <w:t>2021;17:305–23. DOI: 10.2147/TCRM.S296680</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Eh</w:t>
      </w:r>
      <w:r>
        <w:rPr>
          <w:rFonts w:ascii="Times New Roman" w:eastAsia="Times New Roman" w:hAnsi="Times New Roman" w:cs="Times New Roman"/>
          <w:i/>
          <w:sz w:val="16"/>
        </w:rPr>
        <w:t>erer A.</w:t>
      </w:r>
      <w:r>
        <w:rPr>
          <w:rFonts w:ascii="Times New Roman" w:eastAsia="Times New Roman" w:hAnsi="Times New Roman" w:cs="Times New Roman"/>
          <w:sz w:val="16"/>
        </w:rPr>
        <w:t xml:space="preserve"> Management of gastroesophageal reflux disease: Lifestyle modification and alternative approaches. </w:t>
      </w:r>
      <w:r>
        <w:rPr>
          <w:rFonts w:ascii="Times New Roman" w:eastAsia="Times New Roman" w:hAnsi="Times New Roman" w:cs="Times New Roman"/>
          <w:i/>
          <w:sz w:val="16"/>
        </w:rPr>
        <w:t xml:space="preserve">Dig </w:t>
      </w:r>
    </w:p>
    <w:p w:rsidR="006F5A4C" w:rsidRDefault="00730F7D">
      <w:pPr>
        <w:spacing w:after="3" w:line="241" w:lineRule="auto"/>
        <w:ind w:left="296" w:right="55" w:firstLine="1"/>
        <w:jc w:val="both"/>
      </w:pPr>
      <w:r>
        <w:rPr>
          <w:rFonts w:ascii="Times New Roman" w:eastAsia="Times New Roman" w:hAnsi="Times New Roman" w:cs="Times New Roman"/>
          <w:i/>
          <w:sz w:val="16"/>
        </w:rPr>
        <w:t>Dis</w:t>
      </w:r>
      <w:r>
        <w:rPr>
          <w:rFonts w:ascii="Times New Roman" w:eastAsia="Times New Roman" w:hAnsi="Times New Roman" w:cs="Times New Roman"/>
          <w:sz w:val="16"/>
        </w:rPr>
        <w:t>. 2014;32(1–2):149–51. DOI: 10.1159/000357181</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Singh M., Lee J., Gupta N., Gaddam S., Smith B.K., Wani S.B., et al.</w:t>
      </w:r>
      <w:r>
        <w:rPr>
          <w:rFonts w:ascii="Times New Roman" w:eastAsia="Times New Roman" w:hAnsi="Times New Roman" w:cs="Times New Roman"/>
          <w:sz w:val="16"/>
        </w:rPr>
        <w:t xml:space="preserve"> Weight loss can lead to resolution of gastroesophageal reflux disease symptoms: A prospective intervention trial. </w:t>
      </w:r>
      <w:r>
        <w:rPr>
          <w:rFonts w:ascii="Times New Roman" w:eastAsia="Times New Roman" w:hAnsi="Times New Roman" w:cs="Times New Roman"/>
          <w:i/>
          <w:sz w:val="16"/>
        </w:rPr>
        <w:t>Obesity</w:t>
      </w:r>
      <w:r>
        <w:rPr>
          <w:rFonts w:ascii="Times New Roman" w:eastAsia="Times New Roman" w:hAnsi="Times New Roman" w:cs="Times New Roman"/>
          <w:sz w:val="16"/>
        </w:rPr>
        <w:t xml:space="preserve"> (</w:t>
      </w:r>
      <w:r>
        <w:rPr>
          <w:rFonts w:ascii="Times New Roman" w:eastAsia="Times New Roman" w:hAnsi="Times New Roman" w:cs="Times New Roman"/>
          <w:i/>
          <w:sz w:val="16"/>
        </w:rPr>
        <w:t>Silver Spring</w:t>
      </w:r>
      <w:r>
        <w:rPr>
          <w:rFonts w:ascii="Times New Roman" w:eastAsia="Times New Roman" w:hAnsi="Times New Roman" w:cs="Times New Roman"/>
          <w:sz w:val="16"/>
        </w:rPr>
        <w:t>). 2013;21(2):284–90. DOI: 10.1002/oby.20279</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Cao H., Huang X., Zhi X., Han C., Li L., Li Y.</w:t>
      </w:r>
      <w:r>
        <w:rPr>
          <w:rFonts w:ascii="Times New Roman" w:eastAsia="Times New Roman" w:hAnsi="Times New Roman" w:cs="Times New Roman"/>
          <w:sz w:val="16"/>
        </w:rPr>
        <w:t xml:space="preserve"> Association between tea con</w:t>
      </w:r>
      <w:r>
        <w:rPr>
          <w:rFonts w:ascii="Times New Roman" w:eastAsia="Times New Roman" w:hAnsi="Times New Roman" w:cs="Times New Roman"/>
          <w:sz w:val="16"/>
        </w:rPr>
        <w:t xml:space="preserve">sumption and gastroesophageal reflux disease: A meta-analysis. </w:t>
      </w:r>
      <w:r>
        <w:rPr>
          <w:rFonts w:ascii="Times New Roman" w:eastAsia="Times New Roman" w:hAnsi="Times New Roman" w:cs="Times New Roman"/>
          <w:i/>
          <w:sz w:val="16"/>
        </w:rPr>
        <w:t>Medicine</w:t>
      </w:r>
      <w:r>
        <w:rPr>
          <w:rFonts w:ascii="Times New Roman" w:eastAsia="Times New Roman" w:hAnsi="Times New Roman" w:cs="Times New Roman"/>
          <w:sz w:val="16"/>
        </w:rPr>
        <w:t xml:space="preserve"> (</w:t>
      </w:r>
      <w:r>
        <w:rPr>
          <w:rFonts w:ascii="Times New Roman" w:eastAsia="Times New Roman" w:hAnsi="Times New Roman" w:cs="Times New Roman"/>
          <w:i/>
          <w:sz w:val="16"/>
        </w:rPr>
        <w:t>Baltimore</w:t>
      </w:r>
      <w:r>
        <w:rPr>
          <w:rFonts w:ascii="Times New Roman" w:eastAsia="Times New Roman" w:hAnsi="Times New Roman" w:cs="Times New Roman"/>
          <w:sz w:val="16"/>
        </w:rPr>
        <w:t xml:space="preserve">). </w:t>
      </w:r>
    </w:p>
    <w:p w:rsidR="006F5A4C" w:rsidRDefault="00730F7D">
      <w:pPr>
        <w:spacing w:after="3" w:line="241" w:lineRule="auto"/>
        <w:ind w:left="299" w:right="55" w:firstLine="1"/>
        <w:jc w:val="both"/>
      </w:pPr>
      <w:r>
        <w:rPr>
          <w:rFonts w:ascii="Times New Roman" w:eastAsia="Times New Roman" w:hAnsi="Times New Roman" w:cs="Times New Roman"/>
          <w:sz w:val="16"/>
        </w:rPr>
        <w:t>2019;98(4):e14173. DOI: 10.1097/MD.0000000000014173</w:t>
      </w:r>
    </w:p>
    <w:p w:rsidR="006F5A4C" w:rsidRDefault="00730F7D">
      <w:pPr>
        <w:numPr>
          <w:ilvl w:val="0"/>
          <w:numId w:val="7"/>
        </w:numPr>
        <w:spacing w:after="4" w:line="247" w:lineRule="auto"/>
        <w:ind w:right="55" w:hanging="440"/>
        <w:jc w:val="both"/>
      </w:pPr>
      <w:r>
        <w:rPr>
          <w:rFonts w:ascii="Times New Roman" w:eastAsia="Times New Roman" w:hAnsi="Times New Roman" w:cs="Times New Roman"/>
          <w:i/>
          <w:sz w:val="16"/>
        </w:rPr>
        <w:t>Kim J., Oh S.W., Myung S.K., Kwon H., Lee C., Yun J.M., et al.; Korean Meta-analysis (KORMA) Study Group.</w:t>
      </w:r>
      <w:r>
        <w:rPr>
          <w:rFonts w:ascii="Times New Roman" w:eastAsia="Times New Roman" w:hAnsi="Times New Roman" w:cs="Times New Roman"/>
          <w:sz w:val="16"/>
        </w:rPr>
        <w:t xml:space="preserve"> Association between coffee intake and gastroesophageal reflux disease: A meta-analysis. </w:t>
      </w:r>
      <w:r>
        <w:rPr>
          <w:rFonts w:ascii="Times New Roman" w:eastAsia="Times New Roman" w:hAnsi="Times New Roman" w:cs="Times New Roman"/>
          <w:i/>
          <w:sz w:val="16"/>
        </w:rPr>
        <w:t>Dis Esopha-</w:t>
      </w:r>
    </w:p>
    <w:p w:rsidR="006F5A4C" w:rsidRDefault="00730F7D">
      <w:pPr>
        <w:spacing w:after="3" w:line="241" w:lineRule="auto"/>
        <w:ind w:left="294" w:right="55" w:firstLine="1"/>
        <w:jc w:val="both"/>
      </w:pPr>
      <w:r>
        <w:rPr>
          <w:rFonts w:ascii="Times New Roman" w:eastAsia="Times New Roman" w:hAnsi="Times New Roman" w:cs="Times New Roman"/>
          <w:i/>
          <w:sz w:val="16"/>
        </w:rPr>
        <w:t>gus.</w:t>
      </w:r>
      <w:r>
        <w:rPr>
          <w:rFonts w:ascii="Times New Roman" w:eastAsia="Times New Roman" w:hAnsi="Times New Roman" w:cs="Times New Roman"/>
          <w:sz w:val="16"/>
        </w:rPr>
        <w:t xml:space="preserve"> 2014;27(4):311–7. DOI: 10.1111/dote.12099</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Pan J., Cen L., Chen W., Yu C., Li Y., Shen Z.</w:t>
      </w:r>
      <w:r>
        <w:rPr>
          <w:rFonts w:ascii="Times New Roman" w:eastAsia="Times New Roman" w:hAnsi="Times New Roman" w:cs="Times New Roman"/>
          <w:sz w:val="16"/>
        </w:rPr>
        <w:t xml:space="preserve"> Alcohol consumption and the risk of gastroesophageal reflux d</w:t>
      </w:r>
      <w:r>
        <w:rPr>
          <w:rFonts w:ascii="Times New Roman" w:eastAsia="Times New Roman" w:hAnsi="Times New Roman" w:cs="Times New Roman"/>
          <w:sz w:val="16"/>
        </w:rPr>
        <w:t xml:space="preserve">isease: A systematic review and meta-analysis. </w:t>
      </w:r>
      <w:r>
        <w:rPr>
          <w:rFonts w:ascii="Times New Roman" w:eastAsia="Times New Roman" w:hAnsi="Times New Roman" w:cs="Times New Roman"/>
          <w:i/>
          <w:sz w:val="16"/>
        </w:rPr>
        <w:t>Alcohol Alcohol</w:t>
      </w:r>
      <w:r>
        <w:rPr>
          <w:rFonts w:ascii="Times New Roman" w:eastAsia="Times New Roman" w:hAnsi="Times New Roman" w:cs="Times New Roman"/>
          <w:sz w:val="16"/>
        </w:rPr>
        <w:t>. 2019;54(1):62–9. DOI: 10.1093/alcalc/agy063</w:t>
      </w:r>
    </w:p>
    <w:p w:rsidR="006F5A4C" w:rsidRDefault="00730F7D">
      <w:pPr>
        <w:numPr>
          <w:ilvl w:val="0"/>
          <w:numId w:val="7"/>
        </w:numPr>
        <w:spacing w:after="4" w:line="247" w:lineRule="auto"/>
        <w:ind w:right="55" w:hanging="440"/>
        <w:jc w:val="both"/>
      </w:pPr>
      <w:r>
        <w:rPr>
          <w:rFonts w:ascii="Times New Roman" w:eastAsia="Times New Roman" w:hAnsi="Times New Roman" w:cs="Times New Roman"/>
          <w:i/>
          <w:sz w:val="16"/>
        </w:rPr>
        <w:t>Khan M., Santana J., Donnellan C., Preston C., Moayyedi P.</w:t>
      </w:r>
      <w:r>
        <w:rPr>
          <w:rFonts w:ascii="Times New Roman" w:eastAsia="Times New Roman" w:hAnsi="Times New Roman" w:cs="Times New Roman"/>
          <w:sz w:val="16"/>
        </w:rPr>
        <w:t xml:space="preserve"> Medical treatments in the short term mana- gement of reflux oesophagitis. </w:t>
      </w:r>
      <w:r>
        <w:rPr>
          <w:rFonts w:ascii="Times New Roman" w:eastAsia="Times New Roman" w:hAnsi="Times New Roman" w:cs="Times New Roman"/>
          <w:i/>
          <w:sz w:val="16"/>
        </w:rPr>
        <w:t>Cochrane Databa</w:t>
      </w:r>
      <w:r>
        <w:rPr>
          <w:rFonts w:ascii="Times New Roman" w:eastAsia="Times New Roman" w:hAnsi="Times New Roman" w:cs="Times New Roman"/>
          <w:i/>
          <w:sz w:val="16"/>
        </w:rPr>
        <w:t>se Syst Rev.</w:t>
      </w:r>
      <w:r>
        <w:rPr>
          <w:rFonts w:ascii="Times New Roman" w:eastAsia="Times New Roman" w:hAnsi="Times New Roman" w:cs="Times New Roman"/>
          <w:sz w:val="16"/>
        </w:rPr>
        <w:t xml:space="preserve"> </w:t>
      </w:r>
    </w:p>
    <w:p w:rsidR="006F5A4C" w:rsidRDefault="00730F7D">
      <w:pPr>
        <w:spacing w:after="3" w:line="241" w:lineRule="auto"/>
        <w:ind w:left="299" w:right="55" w:firstLine="1"/>
        <w:jc w:val="both"/>
      </w:pPr>
      <w:r>
        <w:rPr>
          <w:rFonts w:ascii="Times New Roman" w:eastAsia="Times New Roman" w:hAnsi="Times New Roman" w:cs="Times New Roman"/>
          <w:sz w:val="16"/>
        </w:rPr>
        <w:t>2007;(2):CD003244. DOI: 10.1002/14651858.CD003244.pub2</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Tran T., Lowry A.M., El-Serag H.B.</w:t>
      </w:r>
      <w:r>
        <w:rPr>
          <w:rFonts w:ascii="Times New Roman" w:eastAsia="Times New Roman" w:hAnsi="Times New Roman" w:cs="Times New Roman"/>
          <w:sz w:val="16"/>
        </w:rPr>
        <w:t xml:space="preserve"> Meta-analysis: The efficacy of over-the-counter gastro-oesophageal reflux disea- se therapies. </w:t>
      </w:r>
      <w:r>
        <w:rPr>
          <w:rFonts w:ascii="Times New Roman" w:eastAsia="Times New Roman" w:hAnsi="Times New Roman" w:cs="Times New Roman"/>
          <w:i/>
          <w:sz w:val="16"/>
        </w:rPr>
        <w:t>Aliment Pharmacol Ther.</w:t>
      </w:r>
      <w:r>
        <w:rPr>
          <w:rFonts w:ascii="Times New Roman" w:eastAsia="Times New Roman" w:hAnsi="Times New Roman" w:cs="Times New Roman"/>
          <w:sz w:val="16"/>
        </w:rPr>
        <w:t xml:space="preserve"> 2007;25(2):143–53. DOI: 10.1111/j</w:t>
      </w:r>
      <w:r>
        <w:rPr>
          <w:rFonts w:ascii="Times New Roman" w:eastAsia="Times New Roman" w:hAnsi="Times New Roman" w:cs="Times New Roman"/>
          <w:sz w:val="16"/>
        </w:rPr>
        <w:t>.1365-2036.2006.03135.x</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Carlsson R., Galmiche J.P., Dent J., Lundell L., Frison L.</w:t>
      </w:r>
      <w:r>
        <w:rPr>
          <w:rFonts w:ascii="Times New Roman" w:eastAsia="Times New Roman" w:hAnsi="Times New Roman" w:cs="Times New Roman"/>
          <w:sz w:val="16"/>
        </w:rPr>
        <w:t xml:space="preserve"> Prognostic factors influencing relapse of oesop- hagitis during maintenance therapy with antisecretory drugs: A meta-analysis of long-term omeprazole trials. </w:t>
      </w:r>
      <w:r>
        <w:rPr>
          <w:rFonts w:ascii="Times New Roman" w:eastAsia="Times New Roman" w:hAnsi="Times New Roman" w:cs="Times New Roman"/>
          <w:i/>
          <w:sz w:val="16"/>
        </w:rPr>
        <w:t>Aliment Pharmac</w:t>
      </w:r>
      <w:r>
        <w:rPr>
          <w:rFonts w:ascii="Times New Roman" w:eastAsia="Times New Roman" w:hAnsi="Times New Roman" w:cs="Times New Roman"/>
          <w:i/>
          <w:sz w:val="16"/>
        </w:rPr>
        <w:t>ol Ther.</w:t>
      </w:r>
      <w:r>
        <w:rPr>
          <w:rFonts w:ascii="Times New Roman" w:eastAsia="Times New Roman" w:hAnsi="Times New Roman" w:cs="Times New Roman"/>
          <w:sz w:val="16"/>
        </w:rPr>
        <w:t xml:space="preserve"> 1997;11(3):473–82. DOI: 10.1046/j.1365-2036.1997.00167.x</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Gralnek I.M., Dulai G.S., Fennerty M.B., Spiegel B.M.</w:t>
      </w:r>
      <w:r>
        <w:rPr>
          <w:rFonts w:ascii="Times New Roman" w:eastAsia="Times New Roman" w:hAnsi="Times New Roman" w:cs="Times New Roman"/>
          <w:sz w:val="16"/>
        </w:rPr>
        <w:t xml:space="preserve"> Esomeprazole versus other proton pump inhibitors in erosive esophagitis: A meta-analysis of randomized clinical trials. </w:t>
      </w:r>
      <w:r>
        <w:rPr>
          <w:rFonts w:ascii="Times New Roman" w:eastAsia="Times New Roman" w:hAnsi="Times New Roman" w:cs="Times New Roman"/>
          <w:i/>
          <w:sz w:val="16"/>
        </w:rPr>
        <w:t>Clin Gastroenter</w:t>
      </w:r>
      <w:r>
        <w:rPr>
          <w:rFonts w:ascii="Times New Roman" w:eastAsia="Times New Roman" w:hAnsi="Times New Roman" w:cs="Times New Roman"/>
          <w:i/>
          <w:sz w:val="16"/>
        </w:rPr>
        <w:t>ol Hepatol.</w:t>
      </w:r>
      <w:r>
        <w:rPr>
          <w:rFonts w:ascii="Times New Roman" w:eastAsia="Times New Roman" w:hAnsi="Times New Roman" w:cs="Times New Roman"/>
          <w:sz w:val="16"/>
        </w:rPr>
        <w:t xml:space="preserve"> 2006;4(12):1452–8. </w:t>
      </w:r>
    </w:p>
    <w:p w:rsidR="006F5A4C" w:rsidRDefault="00730F7D">
      <w:pPr>
        <w:spacing w:after="3" w:line="241" w:lineRule="auto"/>
        <w:ind w:left="301" w:right="55" w:firstLine="1"/>
        <w:jc w:val="both"/>
      </w:pPr>
      <w:r>
        <w:rPr>
          <w:rFonts w:ascii="Times New Roman" w:eastAsia="Times New Roman" w:hAnsi="Times New Roman" w:cs="Times New Roman"/>
          <w:sz w:val="16"/>
        </w:rPr>
        <w:t>DOI: 10.1016/j.cgh.2006.09.013</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Gyawali C.P., Tutuian R., Zerbib F., Rogers B.D., Frazzoni M., Roman S., et al.</w:t>
      </w:r>
      <w:r>
        <w:rPr>
          <w:rFonts w:ascii="Times New Roman" w:eastAsia="Times New Roman" w:hAnsi="Times New Roman" w:cs="Times New Roman"/>
          <w:sz w:val="16"/>
        </w:rPr>
        <w:t xml:space="preserve"> Value of pH impedance monitoring while on twice-daily proton pump inhibitor therapy to identify need for escalati</w:t>
      </w:r>
      <w:r>
        <w:rPr>
          <w:rFonts w:ascii="Times New Roman" w:eastAsia="Times New Roman" w:hAnsi="Times New Roman" w:cs="Times New Roman"/>
          <w:sz w:val="16"/>
        </w:rPr>
        <w:t xml:space="preserve">on of reflux management. </w:t>
      </w:r>
      <w:r>
        <w:rPr>
          <w:rFonts w:ascii="Times New Roman" w:eastAsia="Times New Roman" w:hAnsi="Times New Roman" w:cs="Times New Roman"/>
          <w:i/>
          <w:sz w:val="16"/>
        </w:rPr>
        <w:t>Gastroenterology.</w:t>
      </w:r>
      <w:r>
        <w:rPr>
          <w:rFonts w:ascii="Times New Roman" w:eastAsia="Times New Roman" w:hAnsi="Times New Roman" w:cs="Times New Roman"/>
          <w:sz w:val="16"/>
        </w:rPr>
        <w:t xml:space="preserve"> 2021;161(5):1412–22. DOI: 10.1053/j. gastro.2021.07.004</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Miner P.</w:t>
      </w:r>
      <w:r>
        <w:rPr>
          <w:rFonts w:ascii="Times New Roman" w:eastAsia="Times New Roman" w:hAnsi="Times New Roman" w:cs="Times New Roman"/>
          <w:sz w:val="16"/>
        </w:rPr>
        <w:t xml:space="preserve"> Jr., Orr W., Filippone J., Jokubaitis L., Sloan S. Rabeprazole in nonerosive gastroesophageal reflux disease: A randomized placebo-controlled trial.</w:t>
      </w:r>
      <w:r>
        <w:rPr>
          <w:rFonts w:ascii="Times New Roman" w:eastAsia="Times New Roman" w:hAnsi="Times New Roman" w:cs="Times New Roman"/>
          <w:sz w:val="16"/>
        </w:rPr>
        <w:t xml:space="preserve"> </w:t>
      </w:r>
      <w:r>
        <w:rPr>
          <w:rFonts w:ascii="Times New Roman" w:eastAsia="Times New Roman" w:hAnsi="Times New Roman" w:cs="Times New Roman"/>
          <w:i/>
          <w:sz w:val="16"/>
        </w:rPr>
        <w:t>Am J Gastroenterol.</w:t>
      </w:r>
      <w:r>
        <w:rPr>
          <w:rFonts w:ascii="Times New Roman" w:eastAsia="Times New Roman" w:hAnsi="Times New Roman" w:cs="Times New Roman"/>
          <w:sz w:val="16"/>
        </w:rPr>
        <w:t xml:space="preserve"> 2002;97(6):1332–9. DOI: 10.1111/j.15720241.2002.05769.x</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Robinson M., Horn J.</w:t>
      </w:r>
      <w:r>
        <w:rPr>
          <w:rFonts w:ascii="Times New Roman" w:eastAsia="Times New Roman" w:hAnsi="Times New Roman" w:cs="Times New Roman"/>
          <w:sz w:val="16"/>
        </w:rPr>
        <w:t xml:space="preserve"> Clinical pharmacology of proton pump inhibitors: What the practising physician needs to know. </w:t>
      </w:r>
      <w:r>
        <w:rPr>
          <w:rFonts w:ascii="Times New Roman" w:eastAsia="Times New Roman" w:hAnsi="Times New Roman" w:cs="Times New Roman"/>
          <w:i/>
          <w:sz w:val="16"/>
        </w:rPr>
        <w:t>Drugs.</w:t>
      </w:r>
      <w:r>
        <w:rPr>
          <w:rFonts w:ascii="Times New Roman" w:eastAsia="Times New Roman" w:hAnsi="Times New Roman" w:cs="Times New Roman"/>
          <w:sz w:val="16"/>
        </w:rPr>
        <w:t xml:space="preserve"> 2003;63(24):2739–54. DOI: 10.2165/00003495-200363240-0000</w:t>
      </w:r>
      <w:r>
        <w:rPr>
          <w:rFonts w:ascii="Times New Roman" w:eastAsia="Times New Roman" w:hAnsi="Times New Roman" w:cs="Times New Roman"/>
          <w:sz w:val="16"/>
        </w:rPr>
        <w:t>4</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Besancon M., Simon A., Sachs G., Shin J.M.</w:t>
      </w:r>
      <w:r>
        <w:rPr>
          <w:rFonts w:ascii="Times New Roman" w:eastAsia="Times New Roman" w:hAnsi="Times New Roman" w:cs="Times New Roman"/>
          <w:sz w:val="16"/>
        </w:rPr>
        <w:t xml:space="preserve"> Sites of reaction of the gastric H,K-ATPase with extracytoplasmic thiol reagents. </w:t>
      </w:r>
      <w:r>
        <w:rPr>
          <w:rFonts w:ascii="Times New Roman" w:eastAsia="Times New Roman" w:hAnsi="Times New Roman" w:cs="Times New Roman"/>
          <w:i/>
          <w:sz w:val="16"/>
        </w:rPr>
        <w:t>J Biol Chem.</w:t>
      </w:r>
      <w:r>
        <w:rPr>
          <w:rFonts w:ascii="Times New Roman" w:eastAsia="Times New Roman" w:hAnsi="Times New Roman" w:cs="Times New Roman"/>
          <w:sz w:val="16"/>
        </w:rPr>
        <w:t xml:space="preserve"> 1997;272(36):22438–46. DOI: 10.1074/jbc.272.36.22438</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Kromer W.</w:t>
      </w:r>
      <w:r>
        <w:rPr>
          <w:rFonts w:ascii="Times New Roman" w:eastAsia="Times New Roman" w:hAnsi="Times New Roman" w:cs="Times New Roman"/>
          <w:sz w:val="16"/>
        </w:rPr>
        <w:t xml:space="preserve"> Relative efficacies of gastric proton-pump inhibitors</w:t>
      </w:r>
      <w:r>
        <w:rPr>
          <w:rFonts w:ascii="Times New Roman" w:eastAsia="Times New Roman" w:hAnsi="Times New Roman" w:cs="Times New Roman"/>
          <w:sz w:val="16"/>
        </w:rPr>
        <w:t xml:space="preserve"> on a milligram basis: Desired and undesired SH reactions. Impact of chirality. </w:t>
      </w:r>
      <w:r>
        <w:rPr>
          <w:rFonts w:ascii="Times New Roman" w:eastAsia="Times New Roman" w:hAnsi="Times New Roman" w:cs="Times New Roman"/>
          <w:i/>
          <w:sz w:val="16"/>
        </w:rPr>
        <w:t xml:space="preserve">Scand J Gastroenterol Suppl. </w:t>
      </w:r>
    </w:p>
    <w:p w:rsidR="006F5A4C" w:rsidRDefault="00730F7D">
      <w:pPr>
        <w:spacing w:after="3" w:line="241" w:lineRule="auto"/>
        <w:ind w:left="298" w:right="55" w:firstLine="1"/>
        <w:jc w:val="both"/>
      </w:pPr>
      <w:r>
        <w:rPr>
          <w:rFonts w:ascii="Times New Roman" w:eastAsia="Times New Roman" w:hAnsi="Times New Roman" w:cs="Times New Roman"/>
          <w:sz w:val="16"/>
        </w:rPr>
        <w:t>2001;(234):3–9. DOI: 10.1080/003655201753265389</w:t>
      </w:r>
    </w:p>
    <w:p w:rsidR="006F5A4C" w:rsidRDefault="00730F7D">
      <w:pPr>
        <w:numPr>
          <w:ilvl w:val="0"/>
          <w:numId w:val="7"/>
        </w:numPr>
        <w:spacing w:after="0" w:line="242" w:lineRule="auto"/>
        <w:ind w:right="55" w:hanging="440"/>
        <w:jc w:val="both"/>
      </w:pPr>
      <w:r>
        <w:rPr>
          <w:rFonts w:ascii="Times New Roman" w:eastAsia="Times New Roman" w:hAnsi="Times New Roman" w:cs="Times New Roman"/>
          <w:i/>
          <w:sz w:val="16"/>
        </w:rPr>
        <w:t>Kromer W., Krüger U., Huber R., Hartmann M., Steinijans V.W.</w:t>
      </w:r>
      <w:r>
        <w:rPr>
          <w:rFonts w:ascii="Times New Roman" w:eastAsia="Times New Roman" w:hAnsi="Times New Roman" w:cs="Times New Roman"/>
          <w:sz w:val="16"/>
        </w:rPr>
        <w:t xml:space="preserve"> Differences in pH-dependent activation rates of substituted benzimidazoles and biological </w:t>
      </w:r>
      <w:r>
        <w:rPr>
          <w:rFonts w:ascii="Times New Roman" w:eastAsia="Times New Roman" w:hAnsi="Times New Roman" w:cs="Times New Roman"/>
          <w:i/>
          <w:sz w:val="16"/>
        </w:rPr>
        <w:t>in vitro</w:t>
      </w:r>
      <w:r>
        <w:rPr>
          <w:rFonts w:ascii="Times New Roman" w:eastAsia="Times New Roman" w:hAnsi="Times New Roman" w:cs="Times New Roman"/>
          <w:sz w:val="16"/>
        </w:rPr>
        <w:t xml:space="preserve"> correlates. </w:t>
      </w:r>
      <w:r>
        <w:rPr>
          <w:rFonts w:ascii="Times New Roman" w:eastAsia="Times New Roman" w:hAnsi="Times New Roman" w:cs="Times New Roman"/>
          <w:i/>
          <w:sz w:val="16"/>
        </w:rPr>
        <w:t>Pharmacology.</w:t>
      </w:r>
      <w:r>
        <w:rPr>
          <w:rFonts w:ascii="Times New Roman" w:eastAsia="Times New Roman" w:hAnsi="Times New Roman" w:cs="Times New Roman"/>
          <w:sz w:val="16"/>
        </w:rPr>
        <w:t xml:space="preserve"> 1998;56(2):57–70. DOI: 10.1159/000028183</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Pantoflickova D., Dorta G., Ravic M., Jornod P., Blum AL.</w:t>
      </w:r>
      <w:r>
        <w:rPr>
          <w:rFonts w:ascii="Times New Roman" w:eastAsia="Times New Roman" w:hAnsi="Times New Roman" w:cs="Times New Roman"/>
          <w:sz w:val="16"/>
        </w:rPr>
        <w:t xml:space="preserve"> Acid inhibition on the first da</w:t>
      </w:r>
      <w:r>
        <w:rPr>
          <w:rFonts w:ascii="Times New Roman" w:eastAsia="Times New Roman" w:hAnsi="Times New Roman" w:cs="Times New Roman"/>
          <w:sz w:val="16"/>
        </w:rPr>
        <w:t xml:space="preserve">y of dosing: Comparison of four proton pump inhibitors. </w:t>
      </w:r>
      <w:r>
        <w:rPr>
          <w:rFonts w:ascii="Times New Roman" w:eastAsia="Times New Roman" w:hAnsi="Times New Roman" w:cs="Times New Roman"/>
          <w:i/>
          <w:sz w:val="16"/>
        </w:rPr>
        <w:t>Aliment Pharmacol Ther.</w:t>
      </w:r>
      <w:r>
        <w:rPr>
          <w:rFonts w:ascii="Times New Roman" w:eastAsia="Times New Roman" w:hAnsi="Times New Roman" w:cs="Times New Roman"/>
          <w:sz w:val="16"/>
        </w:rPr>
        <w:t xml:space="preserve"> 2003;17(12):1507–14. DOI: 10.1046/j.13652036.2003.01496.x</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Horn J.</w:t>
      </w:r>
      <w:r>
        <w:rPr>
          <w:rFonts w:ascii="Times New Roman" w:eastAsia="Times New Roman" w:hAnsi="Times New Roman" w:cs="Times New Roman"/>
          <w:sz w:val="16"/>
        </w:rPr>
        <w:t xml:space="preserve"> Review article: Understanding the pharmacodynamic and pharmacokinetic differences between proton pump inhibitors — focus on pKa and metabolism. </w:t>
      </w:r>
      <w:r>
        <w:rPr>
          <w:rFonts w:ascii="Times New Roman" w:eastAsia="Times New Roman" w:hAnsi="Times New Roman" w:cs="Times New Roman"/>
          <w:i/>
          <w:sz w:val="16"/>
        </w:rPr>
        <w:t xml:space="preserve">Alimentary Pharmacology &amp; Therapeutics Symposium Series. </w:t>
      </w:r>
    </w:p>
    <w:p w:rsidR="006F5A4C" w:rsidRDefault="00730F7D">
      <w:pPr>
        <w:spacing w:after="3" w:line="241" w:lineRule="auto"/>
        <w:ind w:left="275" w:right="55" w:firstLine="1"/>
        <w:jc w:val="both"/>
      </w:pPr>
      <w:r>
        <w:rPr>
          <w:rFonts w:ascii="Times New Roman" w:eastAsia="Times New Roman" w:hAnsi="Times New Roman" w:cs="Times New Roman"/>
          <w:sz w:val="16"/>
        </w:rPr>
        <w:t>2006;2:340–50. DOI: 10.1111/j.1746-6342.2006.00065.x</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Dekkers C.P., Beker J.A., Thjodleifsson B., Gabryelewicz A., Bell N.E., Humphries T.J.</w:t>
      </w:r>
      <w:r>
        <w:rPr>
          <w:rFonts w:ascii="Times New Roman" w:eastAsia="Times New Roman" w:hAnsi="Times New Roman" w:cs="Times New Roman"/>
          <w:sz w:val="16"/>
        </w:rPr>
        <w:t xml:space="preserve"> Double-blind comparison [correction of Double-blind, placebo-controlled comparison] of rabeprazole 20 mg vs. omeprazole 20 mg in the treatment of erosive or ulcerative g</w:t>
      </w:r>
      <w:r>
        <w:rPr>
          <w:rFonts w:ascii="Times New Roman" w:eastAsia="Times New Roman" w:hAnsi="Times New Roman" w:cs="Times New Roman"/>
          <w:sz w:val="16"/>
        </w:rPr>
        <w:t xml:space="preserve">astro-oesophageal reflux disease. The European Rabeprazole Study Group. </w:t>
      </w:r>
      <w:r>
        <w:rPr>
          <w:rFonts w:ascii="Times New Roman" w:eastAsia="Times New Roman" w:hAnsi="Times New Roman" w:cs="Times New Roman"/>
          <w:i/>
          <w:sz w:val="16"/>
        </w:rPr>
        <w:t xml:space="preserve">Aliment Pharmacol Ther. </w:t>
      </w:r>
      <w:r>
        <w:rPr>
          <w:rFonts w:ascii="Times New Roman" w:eastAsia="Times New Roman" w:hAnsi="Times New Roman" w:cs="Times New Roman"/>
          <w:sz w:val="16"/>
        </w:rPr>
        <w:t xml:space="preserve">1999;13(1):49–57. </w:t>
      </w:r>
    </w:p>
    <w:p w:rsidR="006F5A4C" w:rsidRDefault="00730F7D">
      <w:pPr>
        <w:spacing w:after="3" w:line="241" w:lineRule="auto"/>
        <w:ind w:left="277" w:right="55" w:firstLine="1"/>
        <w:jc w:val="both"/>
      </w:pPr>
      <w:r>
        <w:rPr>
          <w:rFonts w:ascii="Times New Roman" w:eastAsia="Times New Roman" w:hAnsi="Times New Roman" w:cs="Times New Roman"/>
          <w:sz w:val="16"/>
        </w:rPr>
        <w:t>DOI: 10.1046/j.1365-2036.1999.00438.x</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Katz P.O., Gerson L.B., Vela M.F.</w:t>
      </w:r>
      <w:r>
        <w:rPr>
          <w:rFonts w:ascii="Times New Roman" w:eastAsia="Times New Roman" w:hAnsi="Times New Roman" w:cs="Times New Roman"/>
          <w:sz w:val="16"/>
        </w:rPr>
        <w:t xml:space="preserve"> Guidelines for the diagnosis and management of gastroesophageal reflu</w:t>
      </w:r>
      <w:r>
        <w:rPr>
          <w:rFonts w:ascii="Times New Roman" w:eastAsia="Times New Roman" w:hAnsi="Times New Roman" w:cs="Times New Roman"/>
          <w:sz w:val="16"/>
        </w:rPr>
        <w:t xml:space="preserve">x disease. </w:t>
      </w:r>
      <w:r>
        <w:rPr>
          <w:rFonts w:ascii="Times New Roman" w:eastAsia="Times New Roman" w:hAnsi="Times New Roman" w:cs="Times New Roman"/>
          <w:i/>
          <w:sz w:val="16"/>
        </w:rPr>
        <w:t xml:space="preserve">Am J Gastroenterol. </w:t>
      </w:r>
      <w:r>
        <w:rPr>
          <w:rFonts w:ascii="Times New Roman" w:eastAsia="Times New Roman" w:hAnsi="Times New Roman" w:cs="Times New Roman"/>
          <w:sz w:val="16"/>
        </w:rPr>
        <w:t>2013;108(3):308–28. DOI: 10.1038/ ajg.2012.444</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van Zanten S.J., Henderson C., Hughes N.</w:t>
      </w:r>
      <w:r>
        <w:rPr>
          <w:rFonts w:ascii="Times New Roman" w:eastAsia="Times New Roman" w:hAnsi="Times New Roman" w:cs="Times New Roman"/>
          <w:sz w:val="16"/>
        </w:rPr>
        <w:t xml:space="preserve"> Patient satisfaction with medication for gastroesophageal reflux disease: A systematic review. </w:t>
      </w:r>
      <w:r>
        <w:rPr>
          <w:rFonts w:ascii="Times New Roman" w:eastAsia="Times New Roman" w:hAnsi="Times New Roman" w:cs="Times New Roman"/>
          <w:i/>
          <w:sz w:val="16"/>
        </w:rPr>
        <w:t xml:space="preserve">Can J Gastroenterol. </w:t>
      </w:r>
      <w:r>
        <w:rPr>
          <w:rFonts w:ascii="Times New Roman" w:eastAsia="Times New Roman" w:hAnsi="Times New Roman" w:cs="Times New Roman"/>
          <w:sz w:val="16"/>
        </w:rPr>
        <w:t>2012;26(4):196–204. D</w:t>
      </w:r>
      <w:r>
        <w:rPr>
          <w:rFonts w:ascii="Times New Roman" w:eastAsia="Times New Roman" w:hAnsi="Times New Roman" w:cs="Times New Roman"/>
          <w:sz w:val="16"/>
        </w:rPr>
        <w:t>OI: 10.1155/2012/235476</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Ghoneim S., Wang J., El Hage Chehade N., Ganocy S.J., Chitsaz E., Fass R.</w:t>
      </w:r>
      <w:r>
        <w:rPr>
          <w:rFonts w:ascii="Times New Roman" w:eastAsia="Times New Roman" w:hAnsi="Times New Roman" w:cs="Times New Roman"/>
          <w:sz w:val="16"/>
        </w:rPr>
        <w:t xml:space="preserve"> Diagnostic accuracy of the proton pump inhibitor test in gastroesophageal reflux disease and noncardiac chest pain: A systematic review and meta-analysis. </w:t>
      </w:r>
      <w:r>
        <w:rPr>
          <w:rFonts w:ascii="Times New Roman" w:eastAsia="Times New Roman" w:hAnsi="Times New Roman" w:cs="Times New Roman"/>
          <w:i/>
          <w:sz w:val="16"/>
        </w:rPr>
        <w:t>J C</w:t>
      </w:r>
      <w:r>
        <w:rPr>
          <w:rFonts w:ascii="Times New Roman" w:eastAsia="Times New Roman" w:hAnsi="Times New Roman" w:cs="Times New Roman"/>
          <w:i/>
          <w:sz w:val="16"/>
        </w:rPr>
        <w:t>lin Gastroenterol.</w:t>
      </w:r>
      <w:r>
        <w:rPr>
          <w:rFonts w:ascii="Times New Roman" w:eastAsia="Times New Roman" w:hAnsi="Times New Roman" w:cs="Times New Roman"/>
          <w:sz w:val="16"/>
        </w:rPr>
        <w:t xml:space="preserve"> 2023;57(4):380–8. DOI: 10.1097/MCG.0000000000001686</w:t>
      </w:r>
    </w:p>
    <w:p w:rsidR="006F5A4C" w:rsidRDefault="00730F7D">
      <w:pPr>
        <w:numPr>
          <w:ilvl w:val="0"/>
          <w:numId w:val="7"/>
        </w:numPr>
        <w:spacing w:after="4" w:line="247" w:lineRule="auto"/>
        <w:ind w:right="55" w:hanging="440"/>
        <w:jc w:val="both"/>
      </w:pPr>
      <w:r>
        <w:rPr>
          <w:rFonts w:ascii="Times New Roman" w:eastAsia="Times New Roman" w:hAnsi="Times New Roman" w:cs="Times New Roman"/>
          <w:i/>
          <w:sz w:val="16"/>
        </w:rPr>
        <w:t>Boghossian T.A., Rashid F.J., Thompson W., Welch  V., Moayyedi P., Rojas-Fernandez C., et al.</w:t>
      </w:r>
      <w:r>
        <w:rPr>
          <w:rFonts w:ascii="Times New Roman" w:eastAsia="Times New Roman" w:hAnsi="Times New Roman" w:cs="Times New Roman"/>
          <w:sz w:val="16"/>
        </w:rPr>
        <w:t xml:space="preserve"> Deprescribing versus continuation of chronic proton pump inhibitor use in adults. </w:t>
      </w:r>
      <w:r>
        <w:rPr>
          <w:rFonts w:ascii="Times New Roman" w:eastAsia="Times New Roman" w:hAnsi="Times New Roman" w:cs="Times New Roman"/>
          <w:i/>
          <w:sz w:val="16"/>
        </w:rPr>
        <w:t xml:space="preserve">Cochrane </w:t>
      </w:r>
      <w:r>
        <w:rPr>
          <w:rFonts w:ascii="Times New Roman" w:eastAsia="Times New Roman" w:hAnsi="Times New Roman" w:cs="Times New Roman"/>
          <w:i/>
          <w:sz w:val="16"/>
        </w:rPr>
        <w:t>Database Syst Rev.</w:t>
      </w:r>
      <w:r>
        <w:rPr>
          <w:rFonts w:ascii="Times New Roman" w:eastAsia="Times New Roman" w:hAnsi="Times New Roman" w:cs="Times New Roman"/>
          <w:sz w:val="16"/>
        </w:rPr>
        <w:t xml:space="preserve"> 2017;3(3):CD011969. </w:t>
      </w:r>
    </w:p>
    <w:p w:rsidR="006F5A4C" w:rsidRDefault="00730F7D">
      <w:pPr>
        <w:spacing w:after="3" w:line="241" w:lineRule="auto"/>
        <w:ind w:left="276" w:right="55" w:firstLine="1"/>
        <w:jc w:val="both"/>
      </w:pPr>
      <w:r>
        <w:rPr>
          <w:rFonts w:ascii="Times New Roman" w:eastAsia="Times New Roman" w:hAnsi="Times New Roman" w:cs="Times New Roman"/>
          <w:sz w:val="16"/>
        </w:rPr>
        <w:t>DOI: 10.1002/14651858.CD011969.pub2</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Ивашкин В.Т., Маев И.В., Трухманов А.С., Шептулин А.А., Симаненков В.И., Лапина Т.Л.</w:t>
      </w:r>
      <w:r>
        <w:rPr>
          <w:rFonts w:ascii="Times New Roman" w:eastAsia="Times New Roman" w:hAnsi="Times New Roman" w:cs="Times New Roman"/>
          <w:sz w:val="16"/>
        </w:rPr>
        <w:t xml:space="preserve"> </w:t>
      </w:r>
      <w:r>
        <w:rPr>
          <w:rFonts w:ascii="Times New Roman" w:eastAsia="Times New Roman" w:hAnsi="Times New Roman" w:cs="Times New Roman"/>
          <w:i/>
          <w:sz w:val="16"/>
        </w:rPr>
        <w:t>и др.</w:t>
      </w:r>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Депрескрайбинг ингибиторов протонной помпы и выбор оптимального препарата данной группы (по результатам научного форума, состоявшегося в рамках XXVI Объединенной Российской гастроэнтерологической недели). </w:t>
      </w:r>
      <w:r>
        <w:rPr>
          <w:rFonts w:ascii="Times New Roman" w:eastAsia="Times New Roman" w:hAnsi="Times New Roman" w:cs="Times New Roman"/>
          <w:i/>
          <w:sz w:val="16"/>
        </w:rPr>
        <w:t>Российский журнал гастроэнтерологии, гепатологии, к</w:t>
      </w:r>
      <w:r>
        <w:rPr>
          <w:rFonts w:ascii="Times New Roman" w:eastAsia="Times New Roman" w:hAnsi="Times New Roman" w:cs="Times New Roman"/>
          <w:i/>
          <w:sz w:val="16"/>
        </w:rPr>
        <w:t>олопроктологии.</w:t>
      </w:r>
      <w:r>
        <w:rPr>
          <w:rFonts w:ascii="Times New Roman" w:eastAsia="Times New Roman" w:hAnsi="Times New Roman" w:cs="Times New Roman"/>
          <w:sz w:val="16"/>
        </w:rPr>
        <w:t xml:space="preserve"> 2020;30(6):7–18. [I</w:t>
      </w:r>
      <w:r>
        <w:rPr>
          <w:rFonts w:ascii="Times New Roman" w:eastAsia="Times New Roman" w:hAnsi="Times New Roman" w:cs="Times New Roman"/>
          <w:i/>
          <w:sz w:val="16"/>
        </w:rPr>
        <w:t xml:space="preserve">vashkin V.T., Maev I.V., Trukhmanov A.S., Sheptulin A.A., Simanenkov V.I., Lapina T.L., et al. </w:t>
      </w:r>
      <w:r>
        <w:rPr>
          <w:rFonts w:ascii="Times New Roman" w:eastAsia="Times New Roman" w:hAnsi="Times New Roman" w:cs="Times New Roman"/>
          <w:sz w:val="16"/>
        </w:rPr>
        <w:t>Deprescribing and optimal selection of proton pump inhibitors (Contributions of the 26th United Russian Gastroenterology Week)</w:t>
      </w:r>
      <w:r>
        <w:rPr>
          <w:rFonts w:ascii="Times New Roman" w:eastAsia="Times New Roman" w:hAnsi="Times New Roman" w:cs="Times New Roman"/>
          <w:sz w:val="16"/>
        </w:rPr>
        <w:t xml:space="preserve">. </w:t>
      </w:r>
      <w:r>
        <w:rPr>
          <w:rFonts w:ascii="Times New Roman" w:eastAsia="Times New Roman" w:hAnsi="Times New Roman" w:cs="Times New Roman"/>
          <w:i/>
          <w:sz w:val="16"/>
        </w:rPr>
        <w:t xml:space="preserve">Russian </w:t>
      </w:r>
    </w:p>
    <w:p w:rsidR="006F5A4C" w:rsidRDefault="00730F7D">
      <w:pPr>
        <w:spacing w:after="4" w:line="247" w:lineRule="auto"/>
        <w:ind w:left="273" w:hanging="10"/>
        <w:jc w:val="both"/>
      </w:pPr>
      <w:r>
        <w:rPr>
          <w:rFonts w:ascii="Times New Roman" w:eastAsia="Times New Roman" w:hAnsi="Times New Roman" w:cs="Times New Roman"/>
          <w:i/>
          <w:sz w:val="16"/>
        </w:rPr>
        <w:t xml:space="preserve">Journal of Gastroenterology, Hepatology, Coloproctology. </w:t>
      </w:r>
    </w:p>
    <w:p w:rsidR="006F5A4C" w:rsidRDefault="00730F7D">
      <w:pPr>
        <w:spacing w:after="3" w:line="241" w:lineRule="auto"/>
        <w:ind w:left="275" w:right="55" w:firstLine="1"/>
        <w:jc w:val="both"/>
      </w:pPr>
      <w:r>
        <w:rPr>
          <w:rFonts w:ascii="Times New Roman" w:eastAsia="Times New Roman" w:hAnsi="Times New Roman" w:cs="Times New Roman"/>
          <w:sz w:val="16"/>
        </w:rPr>
        <w:t>2020;30(6):7–18. (In Russ.)]. DOI: 10.22416/1382-4376-</w:t>
      </w:r>
    </w:p>
    <w:p w:rsidR="006F5A4C" w:rsidRDefault="00730F7D">
      <w:pPr>
        <w:spacing w:after="3" w:line="241" w:lineRule="auto"/>
        <w:ind w:left="275" w:right="55" w:firstLine="1"/>
        <w:jc w:val="both"/>
      </w:pPr>
      <w:r>
        <w:rPr>
          <w:rFonts w:ascii="Times New Roman" w:eastAsia="Times New Roman" w:hAnsi="Times New Roman" w:cs="Times New Roman"/>
          <w:sz w:val="16"/>
        </w:rPr>
        <w:t>2020-30-6-7-18</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Moayyedi P., Eikelboom J.W., Bosch J., Connolly S.J., Dyal L., Shestakovska O., et al.</w:t>
      </w:r>
      <w:r>
        <w:rPr>
          <w:rFonts w:ascii="Times New Roman" w:eastAsia="Times New Roman" w:hAnsi="Times New Roman" w:cs="Times New Roman"/>
          <w:sz w:val="16"/>
        </w:rPr>
        <w:t xml:space="preserve"> Safety of proton pump inhibito</w:t>
      </w:r>
      <w:r>
        <w:rPr>
          <w:rFonts w:ascii="Times New Roman" w:eastAsia="Times New Roman" w:hAnsi="Times New Roman" w:cs="Times New Roman"/>
          <w:sz w:val="16"/>
        </w:rPr>
        <w:t xml:space="preserve">rs based on a large, multi-year, randomized trial of patients receiving rivaroxaban or aspirin. </w:t>
      </w:r>
      <w:r>
        <w:rPr>
          <w:rFonts w:ascii="Times New Roman" w:eastAsia="Times New Roman" w:hAnsi="Times New Roman" w:cs="Times New Roman"/>
          <w:i/>
          <w:sz w:val="16"/>
        </w:rPr>
        <w:t>Gastroenterology.</w:t>
      </w:r>
      <w:r>
        <w:rPr>
          <w:rFonts w:ascii="Times New Roman" w:eastAsia="Times New Roman" w:hAnsi="Times New Roman" w:cs="Times New Roman"/>
          <w:sz w:val="16"/>
        </w:rPr>
        <w:t xml:space="preserve"> 2019;157(3):682–91. DOI: 10.1053/j.gastro.2019.05.056</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Abdul-Hussein M., Freeman J., Castell D.</w:t>
      </w:r>
      <w:r>
        <w:rPr>
          <w:rFonts w:ascii="Times New Roman" w:eastAsia="Times New Roman" w:hAnsi="Times New Roman" w:cs="Times New Roman"/>
          <w:sz w:val="16"/>
        </w:rPr>
        <w:t xml:space="preserve"> Concomitant administration of a histamine2 rece</w:t>
      </w:r>
      <w:r>
        <w:rPr>
          <w:rFonts w:ascii="Times New Roman" w:eastAsia="Times New Roman" w:hAnsi="Times New Roman" w:cs="Times New Roman"/>
          <w:sz w:val="16"/>
        </w:rPr>
        <w:t xml:space="preserve">ptor antagonist and proton pump inhibitor enhances gastric acid suppression. </w:t>
      </w:r>
      <w:r>
        <w:rPr>
          <w:rFonts w:ascii="Times New Roman" w:eastAsia="Times New Roman" w:hAnsi="Times New Roman" w:cs="Times New Roman"/>
          <w:i/>
          <w:sz w:val="16"/>
        </w:rPr>
        <w:t>Pharmacotherapy.</w:t>
      </w:r>
      <w:r>
        <w:rPr>
          <w:rFonts w:ascii="Times New Roman" w:eastAsia="Times New Roman" w:hAnsi="Times New Roman" w:cs="Times New Roman"/>
          <w:sz w:val="16"/>
        </w:rPr>
        <w:t xml:space="preserve"> 2015;35(12):1124–9. DOI: 10.1002/ phar.1665</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Симаненков В.И., Маев И.В., Ткачева О.Н, Алексеенко С.А., Андреев Д.Н., Бордин Д.С. и др.</w:t>
      </w:r>
      <w:r>
        <w:rPr>
          <w:rFonts w:ascii="Times New Roman" w:eastAsia="Times New Roman" w:hAnsi="Times New Roman" w:cs="Times New Roman"/>
          <w:sz w:val="16"/>
        </w:rPr>
        <w:t xml:space="preserve"> Синдром повышенной эпителиал</w:t>
      </w:r>
      <w:r>
        <w:rPr>
          <w:rFonts w:ascii="Times New Roman" w:eastAsia="Times New Roman" w:hAnsi="Times New Roman" w:cs="Times New Roman"/>
          <w:sz w:val="16"/>
        </w:rPr>
        <w:t xml:space="preserve">ьной проницаемости в клинической практике. Мультидисциплинарный национальный консенсус. </w:t>
      </w:r>
      <w:r>
        <w:rPr>
          <w:rFonts w:ascii="Times New Roman" w:eastAsia="Times New Roman" w:hAnsi="Times New Roman" w:cs="Times New Roman"/>
          <w:i/>
          <w:sz w:val="16"/>
        </w:rPr>
        <w:t xml:space="preserve">Кардиоваскулярная терапия и профилактика. </w:t>
      </w:r>
      <w:r>
        <w:rPr>
          <w:rFonts w:ascii="Times New Roman" w:eastAsia="Times New Roman" w:hAnsi="Times New Roman" w:cs="Times New Roman"/>
          <w:sz w:val="16"/>
        </w:rPr>
        <w:t>2021;20(1):2758. [</w:t>
      </w:r>
      <w:r>
        <w:rPr>
          <w:rFonts w:ascii="Times New Roman" w:eastAsia="Times New Roman" w:hAnsi="Times New Roman" w:cs="Times New Roman"/>
          <w:i/>
          <w:sz w:val="16"/>
        </w:rPr>
        <w:t>Simanenkov V.I., Maev I.V., Tkacheva O.N., Alekseenko S.A., Andreev D.N., Bordin D.S., et al.</w:t>
      </w:r>
      <w:r>
        <w:rPr>
          <w:rFonts w:ascii="Times New Roman" w:eastAsia="Times New Roman" w:hAnsi="Times New Roman" w:cs="Times New Roman"/>
          <w:sz w:val="16"/>
        </w:rPr>
        <w:t xml:space="preserve"> Syndrome of in</w:t>
      </w:r>
      <w:r>
        <w:rPr>
          <w:rFonts w:ascii="Times New Roman" w:eastAsia="Times New Roman" w:hAnsi="Times New Roman" w:cs="Times New Roman"/>
          <w:sz w:val="16"/>
        </w:rPr>
        <w:t xml:space="preserve">creased epithelial permeability in clinical practice. Multidisciplinary national Consensus. </w:t>
      </w:r>
      <w:r>
        <w:rPr>
          <w:rFonts w:ascii="Times New Roman" w:eastAsia="Times New Roman" w:hAnsi="Times New Roman" w:cs="Times New Roman"/>
          <w:i/>
          <w:sz w:val="16"/>
        </w:rPr>
        <w:t>Cardiovascular Therapy and Prevention.</w:t>
      </w:r>
      <w:r>
        <w:rPr>
          <w:rFonts w:ascii="Times New Roman" w:eastAsia="Times New Roman" w:hAnsi="Times New Roman" w:cs="Times New Roman"/>
          <w:sz w:val="16"/>
        </w:rPr>
        <w:t xml:space="preserve"> 2021;20(1):2758. (In Russ.)]. </w:t>
      </w:r>
    </w:p>
    <w:p w:rsidR="006F5A4C" w:rsidRDefault="00730F7D">
      <w:pPr>
        <w:spacing w:after="3" w:line="241" w:lineRule="auto"/>
        <w:ind w:left="300" w:right="55" w:firstLine="1"/>
        <w:jc w:val="both"/>
      </w:pPr>
      <w:r>
        <w:rPr>
          <w:rFonts w:ascii="Times New Roman" w:eastAsia="Times New Roman" w:hAnsi="Times New Roman" w:cs="Times New Roman"/>
          <w:sz w:val="16"/>
        </w:rPr>
        <w:t>DOI: 10.15829/1728-8800-2021-2758</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Li J., Chen X.L., Shaker A., Oshima T., Shan J., Miwa H., et</w:t>
      </w:r>
      <w:r>
        <w:rPr>
          <w:rFonts w:ascii="Times New Roman" w:eastAsia="Times New Roman" w:hAnsi="Times New Roman" w:cs="Times New Roman"/>
          <w:i/>
          <w:sz w:val="16"/>
        </w:rPr>
        <w:t xml:space="preserve"> al.</w:t>
      </w:r>
      <w:r>
        <w:rPr>
          <w:rFonts w:ascii="Times New Roman" w:eastAsia="Times New Roman" w:hAnsi="Times New Roman" w:cs="Times New Roman"/>
          <w:sz w:val="16"/>
        </w:rPr>
        <w:t xml:space="preserve"> Contribution of immunomodulators to gastroesophageal reflux disease and its complications: Stromal cells, interleukin 4, and adiponectin. </w:t>
      </w:r>
      <w:r>
        <w:rPr>
          <w:rFonts w:ascii="Times New Roman" w:eastAsia="Times New Roman" w:hAnsi="Times New Roman" w:cs="Times New Roman"/>
          <w:i/>
          <w:sz w:val="16"/>
        </w:rPr>
        <w:t xml:space="preserve">Ann N Y Acad Sci. </w:t>
      </w:r>
      <w:r>
        <w:rPr>
          <w:rFonts w:ascii="Times New Roman" w:eastAsia="Times New Roman" w:hAnsi="Times New Roman" w:cs="Times New Roman"/>
          <w:sz w:val="16"/>
        </w:rPr>
        <w:t>2016;1380(1):183–94. DOI: 10.1111/nyas.13157</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 xml:space="preserve">Yoon S.M., Ji J.W., Kim D.H., Kim H.W., Kim K.B., </w:t>
      </w:r>
      <w:r>
        <w:rPr>
          <w:rFonts w:ascii="Times New Roman" w:eastAsia="Times New Roman" w:hAnsi="Times New Roman" w:cs="Times New Roman"/>
          <w:i/>
          <w:sz w:val="16"/>
        </w:rPr>
        <w:t>Choi S., et al.</w:t>
      </w:r>
      <w:r>
        <w:rPr>
          <w:rFonts w:ascii="Times New Roman" w:eastAsia="Times New Roman" w:hAnsi="Times New Roman" w:cs="Times New Roman"/>
          <w:sz w:val="16"/>
        </w:rPr>
        <w:t xml:space="preserve"> The effect of rebamipide in patients with gastroesophageal reflux disease, including non-erosive reflux disease: A multi-center, randomized, single-blind, placebo-controlled study. </w:t>
      </w:r>
      <w:r>
        <w:rPr>
          <w:rFonts w:ascii="Times New Roman" w:eastAsia="Times New Roman" w:hAnsi="Times New Roman" w:cs="Times New Roman"/>
          <w:i/>
          <w:sz w:val="16"/>
        </w:rPr>
        <w:t>Gastroenterology.</w:t>
      </w:r>
      <w:r>
        <w:rPr>
          <w:rFonts w:ascii="Times New Roman" w:eastAsia="Times New Roman" w:hAnsi="Times New Roman" w:cs="Times New Roman"/>
          <w:sz w:val="16"/>
        </w:rPr>
        <w:t xml:space="preserve"> 2019;156(6):S-5. </w:t>
      </w:r>
    </w:p>
    <w:p w:rsidR="006F5A4C" w:rsidRDefault="00730F7D">
      <w:pPr>
        <w:spacing w:after="3" w:line="241" w:lineRule="auto"/>
        <w:ind w:left="299" w:right="55" w:firstLine="1"/>
        <w:jc w:val="both"/>
      </w:pPr>
      <w:r>
        <w:rPr>
          <w:rFonts w:ascii="Times New Roman" w:eastAsia="Times New Roman" w:hAnsi="Times New Roman" w:cs="Times New Roman"/>
          <w:sz w:val="16"/>
        </w:rPr>
        <w:t>DOI: 10.1016/s0016-5085</w:t>
      </w:r>
      <w:r>
        <w:rPr>
          <w:rFonts w:ascii="Times New Roman" w:eastAsia="Times New Roman" w:hAnsi="Times New Roman" w:cs="Times New Roman"/>
          <w:sz w:val="16"/>
        </w:rPr>
        <w:t>(19)36783-6</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Yoshida N., Kamada K., Tomatsuri N., Suzuki T., Takagi T., Ichikawa H., et al.</w:t>
      </w:r>
      <w:r>
        <w:rPr>
          <w:rFonts w:ascii="Times New Roman" w:eastAsia="Times New Roman" w:hAnsi="Times New Roman" w:cs="Times New Roman"/>
          <w:sz w:val="16"/>
        </w:rPr>
        <w:t xml:space="preserve"> Management of recurrence of symptoms of gastroesophageal reflux disease: Synergistic effect of rebamipide with 15 mg lansoprazole. </w:t>
      </w:r>
      <w:r>
        <w:rPr>
          <w:rFonts w:ascii="Times New Roman" w:eastAsia="Times New Roman" w:hAnsi="Times New Roman" w:cs="Times New Roman"/>
          <w:i/>
          <w:sz w:val="16"/>
        </w:rPr>
        <w:t xml:space="preserve">Dig Dis </w:t>
      </w:r>
    </w:p>
    <w:p w:rsidR="006F5A4C" w:rsidRDefault="00730F7D">
      <w:pPr>
        <w:spacing w:after="3" w:line="241" w:lineRule="auto"/>
        <w:ind w:left="302" w:right="55" w:firstLine="1"/>
        <w:jc w:val="both"/>
      </w:pPr>
      <w:r>
        <w:rPr>
          <w:rFonts w:ascii="Times New Roman" w:eastAsia="Times New Roman" w:hAnsi="Times New Roman" w:cs="Times New Roman"/>
          <w:i/>
          <w:sz w:val="16"/>
        </w:rPr>
        <w:t>Sci.</w:t>
      </w:r>
      <w:r>
        <w:rPr>
          <w:rFonts w:ascii="Times New Roman" w:eastAsia="Times New Roman" w:hAnsi="Times New Roman" w:cs="Times New Roman"/>
          <w:sz w:val="16"/>
        </w:rPr>
        <w:t xml:space="preserve"> 2010;55(12):3393–8. DOI: 10.1007/s10620-010-1166-9</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Ивашкин В.Т., Трухманов А.С., Гоник М.И.</w:t>
      </w:r>
      <w:r>
        <w:rPr>
          <w:rFonts w:ascii="Times New Roman" w:eastAsia="Times New Roman" w:hAnsi="Times New Roman" w:cs="Times New Roman"/>
          <w:sz w:val="16"/>
        </w:rPr>
        <w:t xml:space="preserve"> Применение ребамипида в лечении гастроэзофагеальной рефлюксной болезни. </w:t>
      </w:r>
      <w:r>
        <w:rPr>
          <w:rFonts w:ascii="Times New Roman" w:eastAsia="Times New Roman" w:hAnsi="Times New Roman" w:cs="Times New Roman"/>
          <w:i/>
          <w:sz w:val="16"/>
        </w:rPr>
        <w:t>Терапевтический архив.</w:t>
      </w:r>
      <w:r>
        <w:rPr>
          <w:rFonts w:ascii="Times New Roman" w:eastAsia="Times New Roman" w:hAnsi="Times New Roman" w:cs="Times New Roman"/>
          <w:sz w:val="16"/>
        </w:rPr>
        <w:t xml:space="preserve"> 2020;9(4):98–104. [</w:t>
      </w:r>
      <w:r>
        <w:rPr>
          <w:rFonts w:ascii="Times New Roman" w:eastAsia="Times New Roman" w:hAnsi="Times New Roman" w:cs="Times New Roman"/>
          <w:i/>
          <w:sz w:val="16"/>
        </w:rPr>
        <w:t>Ivashkin V.T., Trukhmanov A.S., Gonik M.I.</w:t>
      </w:r>
      <w:r>
        <w:rPr>
          <w:rFonts w:ascii="Times New Roman" w:eastAsia="Times New Roman" w:hAnsi="Times New Roman" w:cs="Times New Roman"/>
          <w:sz w:val="16"/>
        </w:rPr>
        <w:t xml:space="preserve"> Rebami</w:t>
      </w:r>
      <w:r>
        <w:rPr>
          <w:rFonts w:ascii="Times New Roman" w:eastAsia="Times New Roman" w:hAnsi="Times New Roman" w:cs="Times New Roman"/>
          <w:sz w:val="16"/>
        </w:rPr>
        <w:t xml:space="preserve">- pide using in gastroesophageal reflux disease treatment. </w:t>
      </w:r>
    </w:p>
    <w:p w:rsidR="006F5A4C" w:rsidRDefault="00730F7D">
      <w:pPr>
        <w:spacing w:after="3" w:line="241" w:lineRule="auto"/>
        <w:ind w:left="298" w:right="55" w:firstLine="1"/>
        <w:jc w:val="both"/>
      </w:pPr>
      <w:r>
        <w:rPr>
          <w:rFonts w:ascii="Times New Roman" w:eastAsia="Times New Roman" w:hAnsi="Times New Roman" w:cs="Times New Roman"/>
          <w:i/>
          <w:sz w:val="16"/>
        </w:rPr>
        <w:t>Terapevticheskii arkhiv.</w:t>
      </w:r>
      <w:r>
        <w:rPr>
          <w:rFonts w:ascii="Times New Roman" w:eastAsia="Times New Roman" w:hAnsi="Times New Roman" w:cs="Times New Roman"/>
          <w:sz w:val="16"/>
        </w:rPr>
        <w:t xml:space="preserve"> 2020;92(4):98–104. (In Russ.)]. </w:t>
      </w:r>
    </w:p>
    <w:p w:rsidR="006F5A4C" w:rsidRDefault="00730F7D">
      <w:pPr>
        <w:spacing w:after="3" w:line="241" w:lineRule="auto"/>
        <w:ind w:left="299" w:right="55" w:firstLine="1"/>
        <w:jc w:val="both"/>
      </w:pPr>
      <w:r>
        <w:rPr>
          <w:rFonts w:ascii="Times New Roman" w:eastAsia="Times New Roman" w:hAnsi="Times New Roman" w:cs="Times New Roman"/>
          <w:sz w:val="16"/>
        </w:rPr>
        <w:t>DOI: 10.26442/00403660.2020.04.000568</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Hong S.J., Park S.H., Moon J.S., Shin W.G., Kim J.G., Lee Y.C., et al.</w:t>
      </w:r>
      <w:r>
        <w:rPr>
          <w:rFonts w:ascii="Times New Roman" w:eastAsia="Times New Roman" w:hAnsi="Times New Roman" w:cs="Times New Roman"/>
          <w:sz w:val="16"/>
        </w:rPr>
        <w:t xml:space="preserve"> The benefits of combination therapy with esomeprazole and rebamipide in symptom improvement in reflux esophagitis: An international multicenter study. </w:t>
      </w:r>
      <w:r>
        <w:rPr>
          <w:rFonts w:ascii="Times New Roman" w:eastAsia="Times New Roman" w:hAnsi="Times New Roman" w:cs="Times New Roman"/>
          <w:i/>
          <w:sz w:val="16"/>
        </w:rPr>
        <w:t xml:space="preserve">Gut </w:t>
      </w:r>
    </w:p>
    <w:p w:rsidR="006F5A4C" w:rsidRDefault="00730F7D">
      <w:pPr>
        <w:spacing w:after="3" w:line="241" w:lineRule="auto"/>
        <w:ind w:left="293" w:right="55" w:firstLine="1"/>
        <w:jc w:val="both"/>
      </w:pPr>
      <w:r>
        <w:rPr>
          <w:rFonts w:ascii="Times New Roman" w:eastAsia="Times New Roman" w:hAnsi="Times New Roman" w:cs="Times New Roman"/>
          <w:i/>
          <w:sz w:val="16"/>
        </w:rPr>
        <w:t>Liver.</w:t>
      </w:r>
      <w:r>
        <w:rPr>
          <w:rFonts w:ascii="Times New Roman" w:eastAsia="Times New Roman" w:hAnsi="Times New Roman" w:cs="Times New Roman"/>
          <w:sz w:val="16"/>
        </w:rPr>
        <w:t xml:space="preserve"> 2016;10(6):910–6. DOI: 10.5009/gnl15537</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Pauwels A., Altan E., Tack J.</w:t>
      </w:r>
      <w:r>
        <w:rPr>
          <w:rFonts w:ascii="Times New Roman" w:eastAsia="Times New Roman" w:hAnsi="Times New Roman" w:cs="Times New Roman"/>
          <w:sz w:val="16"/>
        </w:rPr>
        <w:t xml:space="preserve"> The gastric accommodat</w:t>
      </w:r>
      <w:r>
        <w:rPr>
          <w:rFonts w:ascii="Times New Roman" w:eastAsia="Times New Roman" w:hAnsi="Times New Roman" w:cs="Times New Roman"/>
          <w:sz w:val="16"/>
        </w:rPr>
        <w:t>ion response to meal intake determines the occurrence of transient lower esophageal sphincter relaxations and reflux events in patients with gastro-esophageal reflux disease.</w:t>
      </w:r>
      <w:r>
        <w:rPr>
          <w:rFonts w:ascii="Times New Roman" w:eastAsia="Times New Roman" w:hAnsi="Times New Roman" w:cs="Times New Roman"/>
          <w:i/>
          <w:sz w:val="16"/>
        </w:rPr>
        <w:t xml:space="preserve"> Neurogastroenterol Motil.</w:t>
      </w:r>
      <w:r>
        <w:rPr>
          <w:rFonts w:ascii="Times New Roman" w:eastAsia="Times New Roman" w:hAnsi="Times New Roman" w:cs="Times New Roman"/>
          <w:sz w:val="16"/>
        </w:rPr>
        <w:t xml:space="preserve"> 2014;26(4):581–8. </w:t>
      </w:r>
    </w:p>
    <w:p w:rsidR="006F5A4C" w:rsidRDefault="00730F7D">
      <w:pPr>
        <w:spacing w:after="3" w:line="241" w:lineRule="auto"/>
        <w:ind w:left="299" w:right="55" w:firstLine="1"/>
        <w:jc w:val="both"/>
      </w:pPr>
      <w:r>
        <w:rPr>
          <w:rFonts w:ascii="Times New Roman" w:eastAsia="Times New Roman" w:hAnsi="Times New Roman" w:cs="Times New Roman"/>
          <w:sz w:val="16"/>
        </w:rPr>
        <w:t>DOI: 10.1111/nmo.12305</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Ren L.H., Che</w:t>
      </w:r>
      <w:r>
        <w:rPr>
          <w:rFonts w:ascii="Times New Roman" w:eastAsia="Times New Roman" w:hAnsi="Times New Roman" w:cs="Times New Roman"/>
          <w:i/>
          <w:sz w:val="16"/>
        </w:rPr>
        <w:t>n W.X., Qian L.J., Li S., Gu M., Shi R.H.</w:t>
      </w:r>
      <w:r>
        <w:rPr>
          <w:rFonts w:ascii="Times New Roman" w:eastAsia="Times New Roman" w:hAnsi="Times New Roman" w:cs="Times New Roman"/>
          <w:sz w:val="16"/>
        </w:rPr>
        <w:t xml:space="preserve"> Addition of prokinetics to PPI therapy in gastroesophageal reflux disease: A meta-analysis. </w:t>
      </w:r>
      <w:r>
        <w:rPr>
          <w:rFonts w:ascii="Times New Roman" w:eastAsia="Times New Roman" w:hAnsi="Times New Roman" w:cs="Times New Roman"/>
          <w:i/>
          <w:sz w:val="16"/>
        </w:rPr>
        <w:t>World J Gastroenterol.</w:t>
      </w:r>
      <w:r>
        <w:rPr>
          <w:rFonts w:ascii="Times New Roman" w:eastAsia="Times New Roman" w:hAnsi="Times New Roman" w:cs="Times New Roman"/>
          <w:sz w:val="16"/>
        </w:rPr>
        <w:t xml:space="preserve"> 2014;20(9):2412–9. DOI: 10.3748/wjg. v20.i9.2412</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Xi L., Zhu J., Zhang H., Muktiali M., Li Y., Wu A.</w:t>
      </w:r>
      <w:r>
        <w:rPr>
          <w:rFonts w:ascii="Times New Roman" w:eastAsia="Times New Roman" w:hAnsi="Times New Roman" w:cs="Times New Roman"/>
          <w:sz w:val="16"/>
        </w:rPr>
        <w:t xml:space="preserve"> The treatment efficacy of adding prokinetics to PPIs for gastroesophageal reflux disease: A meta-analysis. </w:t>
      </w:r>
      <w:r>
        <w:rPr>
          <w:rFonts w:ascii="Times New Roman" w:eastAsia="Times New Roman" w:hAnsi="Times New Roman" w:cs="Times New Roman"/>
          <w:i/>
          <w:sz w:val="16"/>
        </w:rPr>
        <w:t>Esophagus.</w:t>
      </w:r>
      <w:r>
        <w:rPr>
          <w:rFonts w:ascii="Times New Roman" w:eastAsia="Times New Roman" w:hAnsi="Times New Roman" w:cs="Times New Roman"/>
          <w:sz w:val="16"/>
        </w:rPr>
        <w:t xml:space="preserve"> 2021;18(1):144–51. DOI: 10.1007/s10388-020-00753-6</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Шептулин А.А., Курбатова А.А., Баранов С.А.</w:t>
      </w:r>
      <w:r>
        <w:rPr>
          <w:rFonts w:ascii="Times New Roman" w:eastAsia="Times New Roman" w:hAnsi="Times New Roman" w:cs="Times New Roman"/>
          <w:sz w:val="16"/>
        </w:rPr>
        <w:t xml:space="preserve"> Современные возможности применения прокине</w:t>
      </w:r>
      <w:r>
        <w:rPr>
          <w:rFonts w:ascii="Times New Roman" w:eastAsia="Times New Roman" w:hAnsi="Times New Roman" w:cs="Times New Roman"/>
          <w:sz w:val="16"/>
        </w:rPr>
        <w:t xml:space="preserve">тиков в  лечении больных с гастроэзофагеальной рефлюксной болезнью. </w:t>
      </w:r>
      <w:r>
        <w:rPr>
          <w:rFonts w:ascii="Times New Roman" w:eastAsia="Times New Roman" w:hAnsi="Times New Roman" w:cs="Times New Roman"/>
          <w:i/>
          <w:sz w:val="16"/>
        </w:rPr>
        <w:t xml:space="preserve">Российский журнал гастроэнтерологии, гепатологии, колопроктологии. </w:t>
      </w:r>
      <w:r>
        <w:rPr>
          <w:rFonts w:ascii="Times New Roman" w:eastAsia="Times New Roman" w:hAnsi="Times New Roman" w:cs="Times New Roman"/>
          <w:sz w:val="16"/>
        </w:rPr>
        <w:t>2018;28(1):71–7. [</w:t>
      </w:r>
      <w:r>
        <w:rPr>
          <w:rFonts w:ascii="Times New Roman" w:eastAsia="Times New Roman" w:hAnsi="Times New Roman" w:cs="Times New Roman"/>
          <w:i/>
          <w:sz w:val="16"/>
        </w:rPr>
        <w:t>Sheptulin A.A., Kurbatova A.A., Baranov S.A.</w:t>
      </w:r>
      <w:r>
        <w:rPr>
          <w:rFonts w:ascii="Times New Roman" w:eastAsia="Times New Roman" w:hAnsi="Times New Roman" w:cs="Times New Roman"/>
          <w:sz w:val="16"/>
        </w:rPr>
        <w:t xml:space="preserve"> Modern options of prokinetics in gastroesophageal reflux d</w:t>
      </w:r>
      <w:r>
        <w:rPr>
          <w:rFonts w:ascii="Times New Roman" w:eastAsia="Times New Roman" w:hAnsi="Times New Roman" w:cs="Times New Roman"/>
          <w:sz w:val="16"/>
        </w:rPr>
        <w:t xml:space="preserve">isease treatment. </w:t>
      </w:r>
      <w:r>
        <w:rPr>
          <w:rFonts w:ascii="Times New Roman" w:eastAsia="Times New Roman" w:hAnsi="Times New Roman" w:cs="Times New Roman"/>
          <w:i/>
          <w:sz w:val="16"/>
        </w:rPr>
        <w:t>Russian Journal of Gastroenterology, Hepatology, Coloproctology.</w:t>
      </w:r>
      <w:r>
        <w:rPr>
          <w:rFonts w:ascii="Times New Roman" w:eastAsia="Times New Roman" w:hAnsi="Times New Roman" w:cs="Times New Roman"/>
          <w:sz w:val="16"/>
        </w:rPr>
        <w:t xml:space="preserve"> 2018;28(1):71–7. (In Russ.)]. </w:t>
      </w:r>
    </w:p>
    <w:p w:rsidR="006F5A4C" w:rsidRDefault="00730F7D">
      <w:pPr>
        <w:spacing w:after="3" w:line="241" w:lineRule="auto"/>
        <w:ind w:left="300" w:right="55" w:firstLine="1"/>
        <w:jc w:val="both"/>
      </w:pPr>
      <w:r>
        <w:rPr>
          <w:rFonts w:ascii="Times New Roman" w:eastAsia="Times New Roman" w:hAnsi="Times New Roman" w:cs="Times New Roman"/>
          <w:sz w:val="16"/>
        </w:rPr>
        <w:t>DOI: 10.22416/1382-4376-2018-28-1-71-77</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Jung D.H., Huh C.W., Lee S.K., Park J.C., Shin S.K., Lee Y.C.</w:t>
      </w:r>
      <w:r>
        <w:rPr>
          <w:rFonts w:ascii="Times New Roman" w:eastAsia="Times New Roman" w:hAnsi="Times New Roman" w:cs="Times New Roman"/>
          <w:sz w:val="16"/>
        </w:rPr>
        <w:t xml:space="preserve"> A systematic review and meta-analysis of</w:t>
      </w:r>
      <w:r>
        <w:rPr>
          <w:rFonts w:ascii="Times New Roman" w:eastAsia="Times New Roman" w:hAnsi="Times New Roman" w:cs="Times New Roman"/>
          <w:sz w:val="16"/>
        </w:rPr>
        <w:t xml:space="preserve"> randomized control trials: Combination treatment with proton pump inhibitor plus prokinetic for gastroesophageal reflux disease. </w:t>
      </w:r>
      <w:r>
        <w:rPr>
          <w:rFonts w:ascii="Times New Roman" w:eastAsia="Times New Roman" w:hAnsi="Times New Roman" w:cs="Times New Roman"/>
          <w:i/>
          <w:sz w:val="16"/>
        </w:rPr>
        <w:t>J Neurogastroenterol Motil.</w:t>
      </w:r>
      <w:r>
        <w:rPr>
          <w:rFonts w:ascii="Times New Roman" w:eastAsia="Times New Roman" w:hAnsi="Times New Roman" w:cs="Times New Roman"/>
          <w:sz w:val="16"/>
        </w:rPr>
        <w:t xml:space="preserve"> 2021;27(2):165–75. </w:t>
      </w:r>
    </w:p>
    <w:p w:rsidR="006F5A4C" w:rsidRDefault="00730F7D">
      <w:pPr>
        <w:spacing w:after="3" w:line="241" w:lineRule="auto"/>
        <w:ind w:left="299" w:right="55" w:firstLine="1"/>
        <w:jc w:val="both"/>
      </w:pPr>
      <w:r>
        <w:rPr>
          <w:rFonts w:ascii="Times New Roman" w:eastAsia="Times New Roman" w:hAnsi="Times New Roman" w:cs="Times New Roman"/>
          <w:sz w:val="16"/>
        </w:rPr>
        <w:t>DOI: 10.5056/jnm20161</w:t>
      </w:r>
    </w:p>
    <w:p w:rsidR="006F5A4C" w:rsidRDefault="00730F7D">
      <w:pPr>
        <w:numPr>
          <w:ilvl w:val="0"/>
          <w:numId w:val="7"/>
        </w:numPr>
        <w:spacing w:after="4" w:line="247" w:lineRule="auto"/>
        <w:ind w:right="55" w:hanging="440"/>
        <w:jc w:val="both"/>
      </w:pPr>
      <w:r>
        <w:rPr>
          <w:rFonts w:ascii="Times New Roman" w:eastAsia="Times New Roman" w:hAnsi="Times New Roman" w:cs="Times New Roman"/>
          <w:i/>
          <w:sz w:val="16"/>
        </w:rPr>
        <w:t xml:space="preserve">Yamashita H., Okada A., Naora K., Hongoh M., </w:t>
      </w:r>
    </w:p>
    <w:p w:rsidR="006F5A4C" w:rsidRDefault="00730F7D">
      <w:pPr>
        <w:spacing w:after="3" w:line="241" w:lineRule="auto"/>
        <w:ind w:left="296" w:right="55" w:firstLine="1"/>
        <w:jc w:val="both"/>
      </w:pPr>
      <w:r>
        <w:rPr>
          <w:rFonts w:ascii="Times New Roman" w:eastAsia="Times New Roman" w:hAnsi="Times New Roman" w:cs="Times New Roman"/>
          <w:i/>
          <w:sz w:val="16"/>
        </w:rPr>
        <w:t>Kinoshita Y.</w:t>
      </w:r>
      <w:r>
        <w:rPr>
          <w:rFonts w:ascii="Times New Roman" w:eastAsia="Times New Roman" w:hAnsi="Times New Roman" w:cs="Times New Roman"/>
          <w:sz w:val="16"/>
        </w:rPr>
        <w:t xml:space="preserve"> Adding acotiamide to gastric acid inhibitors is effective for treating refractory symptoms in patients with non-erosive reflux disease. </w:t>
      </w:r>
      <w:r>
        <w:rPr>
          <w:rFonts w:ascii="Times New Roman" w:eastAsia="Times New Roman" w:hAnsi="Times New Roman" w:cs="Times New Roman"/>
          <w:i/>
          <w:sz w:val="16"/>
        </w:rPr>
        <w:t>Dig Dis Sci.</w:t>
      </w:r>
      <w:r>
        <w:rPr>
          <w:rFonts w:ascii="Times New Roman" w:eastAsia="Times New Roman" w:hAnsi="Times New Roman" w:cs="Times New Roman"/>
          <w:sz w:val="16"/>
        </w:rPr>
        <w:t xml:space="preserve"> 2019;64(3):823– 31. DOI: 10.1007/s10620-018-5377-9</w:t>
      </w:r>
    </w:p>
    <w:p w:rsidR="006F5A4C" w:rsidRDefault="00730F7D">
      <w:pPr>
        <w:numPr>
          <w:ilvl w:val="0"/>
          <w:numId w:val="7"/>
        </w:numPr>
        <w:spacing w:after="3" w:line="241" w:lineRule="auto"/>
        <w:ind w:right="55" w:hanging="440"/>
        <w:jc w:val="both"/>
      </w:pPr>
      <w:r>
        <w:rPr>
          <w:rFonts w:ascii="Times New Roman" w:eastAsia="Times New Roman" w:hAnsi="Times New Roman" w:cs="Times New Roman"/>
          <w:i/>
          <w:sz w:val="16"/>
        </w:rPr>
        <w:t>Hoshino S., Takenouchi N., Hanada Y., Umeza</w:t>
      </w:r>
      <w:r>
        <w:rPr>
          <w:rFonts w:ascii="Times New Roman" w:eastAsia="Times New Roman" w:hAnsi="Times New Roman" w:cs="Times New Roman"/>
          <w:i/>
          <w:sz w:val="16"/>
        </w:rPr>
        <w:t>wa M., Sano H., Kawami N., et al.</w:t>
      </w:r>
      <w:r>
        <w:rPr>
          <w:rFonts w:ascii="Times New Roman" w:eastAsia="Times New Roman" w:hAnsi="Times New Roman" w:cs="Times New Roman"/>
          <w:sz w:val="16"/>
        </w:rPr>
        <w:t xml:space="preserve"> Effect of acotiamide on  esophageal motility in healthy subjects: A randomized, double-blind, placebo-controlled crossover study. </w:t>
      </w:r>
      <w:r>
        <w:rPr>
          <w:rFonts w:ascii="Times New Roman" w:eastAsia="Times New Roman" w:hAnsi="Times New Roman" w:cs="Times New Roman"/>
          <w:i/>
          <w:sz w:val="16"/>
        </w:rPr>
        <w:t>Esop- hagus.</w:t>
      </w:r>
      <w:r>
        <w:rPr>
          <w:rFonts w:ascii="Times New Roman" w:eastAsia="Times New Roman" w:hAnsi="Times New Roman" w:cs="Times New Roman"/>
          <w:sz w:val="16"/>
        </w:rPr>
        <w:t xml:space="preserve"> 2017;14:146–52. DOI: 10.1007/s10388-016-0559-z</w:t>
      </w:r>
    </w:p>
    <w:p w:rsidR="006F5A4C" w:rsidRDefault="00730F7D">
      <w:pPr>
        <w:spacing w:after="3" w:line="241" w:lineRule="auto"/>
        <w:ind w:left="304" w:right="55" w:hanging="294"/>
        <w:jc w:val="both"/>
      </w:pPr>
      <w:r>
        <w:rPr>
          <w:rFonts w:ascii="Times New Roman" w:eastAsia="Times New Roman" w:hAnsi="Times New Roman" w:cs="Times New Roman"/>
          <w:sz w:val="16"/>
        </w:rPr>
        <w:t xml:space="preserve">111 </w:t>
      </w:r>
      <w:r>
        <w:rPr>
          <w:rFonts w:ascii="Times New Roman" w:eastAsia="Times New Roman" w:hAnsi="Times New Roman" w:cs="Times New Roman"/>
          <w:i/>
          <w:sz w:val="16"/>
        </w:rPr>
        <w:t>Mayanagi S., Kishino M., Kit</w:t>
      </w:r>
      <w:r>
        <w:rPr>
          <w:rFonts w:ascii="Times New Roman" w:eastAsia="Times New Roman" w:hAnsi="Times New Roman" w:cs="Times New Roman"/>
          <w:i/>
          <w:sz w:val="16"/>
        </w:rPr>
        <w:t>agawa Y., Sunamura M.</w:t>
      </w:r>
      <w:r>
        <w:rPr>
          <w:rFonts w:ascii="Times New Roman" w:eastAsia="Times New Roman" w:hAnsi="Times New Roman" w:cs="Times New Roman"/>
          <w:sz w:val="16"/>
        </w:rPr>
        <w:t xml:space="preserve"> Efficacy of acotiamide in combination with esomeprazole for functional dyspepsia refractory to proton-pump inhibi- </w:t>
      </w:r>
    </w:p>
    <w:p w:rsidR="006F5A4C" w:rsidRDefault="00730F7D">
      <w:pPr>
        <w:spacing w:after="3" w:line="241" w:lineRule="auto"/>
        <w:ind w:left="292" w:right="55" w:firstLine="1"/>
        <w:jc w:val="both"/>
      </w:pPr>
      <w:r>
        <w:rPr>
          <w:rFonts w:ascii="Times New Roman" w:eastAsia="Times New Roman" w:hAnsi="Times New Roman" w:cs="Times New Roman"/>
          <w:sz w:val="16"/>
        </w:rPr>
        <w:t xml:space="preserve">tor monotherapy. </w:t>
      </w:r>
      <w:r>
        <w:rPr>
          <w:rFonts w:ascii="Times New Roman" w:eastAsia="Times New Roman" w:hAnsi="Times New Roman" w:cs="Times New Roman"/>
          <w:i/>
          <w:sz w:val="16"/>
        </w:rPr>
        <w:t>Tohoku J Exp Med.</w:t>
      </w:r>
      <w:r>
        <w:rPr>
          <w:rFonts w:ascii="Times New Roman" w:eastAsia="Times New Roman" w:hAnsi="Times New Roman" w:cs="Times New Roman"/>
          <w:sz w:val="16"/>
        </w:rPr>
        <w:t xml:space="preserve"> 2014;234(3):237– 40. DOI: 10.1620/tjem.234.237</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Takeuchi T., Takahashi Y., Kawaguchi</w:t>
      </w:r>
      <w:r>
        <w:rPr>
          <w:rFonts w:ascii="Times New Roman" w:eastAsia="Times New Roman" w:hAnsi="Times New Roman" w:cs="Times New Roman"/>
          <w:i/>
          <w:sz w:val="16"/>
        </w:rPr>
        <w:t xml:space="preserve"> S., Ota K., Harada S., Kojima Y., et al.</w:t>
      </w:r>
      <w:r>
        <w:rPr>
          <w:rFonts w:ascii="Times New Roman" w:eastAsia="Times New Roman" w:hAnsi="Times New Roman" w:cs="Times New Roman"/>
          <w:sz w:val="16"/>
        </w:rPr>
        <w:t xml:space="preserve"> Therapy of gastroesophageal reflux disease and functional dyspepsia overlaps with symptoms after usual-dose proton pump inhibitor: Acotiamide plus usual-dose proton pump inhibitor versus double-dose proton pump inh</w:t>
      </w:r>
      <w:r>
        <w:rPr>
          <w:rFonts w:ascii="Times New Roman" w:eastAsia="Times New Roman" w:hAnsi="Times New Roman" w:cs="Times New Roman"/>
          <w:sz w:val="16"/>
        </w:rPr>
        <w:t xml:space="preserve">ibitor. </w:t>
      </w:r>
      <w:r>
        <w:rPr>
          <w:rFonts w:ascii="Times New Roman" w:eastAsia="Times New Roman" w:hAnsi="Times New Roman" w:cs="Times New Roman"/>
          <w:i/>
          <w:sz w:val="16"/>
        </w:rPr>
        <w:t xml:space="preserve">J Gastroenterol Hepatol. </w:t>
      </w:r>
    </w:p>
    <w:p w:rsidR="006F5A4C" w:rsidRDefault="00730F7D">
      <w:pPr>
        <w:spacing w:after="3" w:line="241" w:lineRule="auto"/>
        <w:ind w:left="293" w:right="55" w:firstLine="1"/>
        <w:jc w:val="both"/>
      </w:pPr>
      <w:r>
        <w:rPr>
          <w:rFonts w:ascii="Times New Roman" w:eastAsia="Times New Roman" w:hAnsi="Times New Roman" w:cs="Times New Roman"/>
          <w:sz w:val="16"/>
        </w:rPr>
        <w:t>2018;33(3):623–30. DOI: 10.1111/jgh.13970</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Funaki Y., Ogasawara N., Kawamura Y., Yoshimine T., Tamura Y., Izawa S., et al.</w:t>
      </w:r>
      <w:r>
        <w:rPr>
          <w:rFonts w:ascii="Times New Roman" w:eastAsia="Times New Roman" w:hAnsi="Times New Roman" w:cs="Times New Roman"/>
          <w:sz w:val="16"/>
        </w:rPr>
        <w:t xml:space="preserve"> Effects of acotiamide on functional dyspepsia patients with heartburn who failed proton pump inhibit</w:t>
      </w:r>
      <w:r>
        <w:rPr>
          <w:rFonts w:ascii="Times New Roman" w:eastAsia="Times New Roman" w:hAnsi="Times New Roman" w:cs="Times New Roman"/>
          <w:sz w:val="16"/>
        </w:rPr>
        <w:t xml:space="preserve">or treatment in Japanese patients: A randomized, double-blind, placebo-controlled crossover study. </w:t>
      </w:r>
      <w:r>
        <w:rPr>
          <w:rFonts w:ascii="Times New Roman" w:eastAsia="Times New Roman" w:hAnsi="Times New Roman" w:cs="Times New Roman"/>
          <w:i/>
          <w:sz w:val="16"/>
        </w:rPr>
        <w:t>Neurogastroenterol Motil.</w:t>
      </w:r>
      <w:r>
        <w:rPr>
          <w:rFonts w:ascii="Times New Roman" w:eastAsia="Times New Roman" w:hAnsi="Times New Roman" w:cs="Times New Roman"/>
          <w:sz w:val="16"/>
        </w:rPr>
        <w:t xml:space="preserve"> 2020;32(2):e13749. </w:t>
      </w:r>
    </w:p>
    <w:p w:rsidR="006F5A4C" w:rsidRDefault="00730F7D">
      <w:pPr>
        <w:spacing w:after="3" w:line="241" w:lineRule="auto"/>
        <w:ind w:left="295" w:right="55" w:firstLine="1"/>
        <w:jc w:val="both"/>
      </w:pPr>
      <w:r>
        <w:rPr>
          <w:rFonts w:ascii="Times New Roman" w:eastAsia="Times New Roman" w:hAnsi="Times New Roman" w:cs="Times New Roman"/>
          <w:sz w:val="16"/>
        </w:rPr>
        <w:t>DOI: 10.1111/nmo.13749</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Kim Y.S., Kim T.H., Choi C.S., Shon Y.W., Kim S.W., Seo G.S., et al.</w:t>
      </w:r>
      <w:r>
        <w:rPr>
          <w:rFonts w:ascii="Times New Roman" w:eastAsia="Times New Roman" w:hAnsi="Times New Roman" w:cs="Times New Roman"/>
          <w:sz w:val="16"/>
        </w:rPr>
        <w:t xml:space="preserve"> Effect of itopride, a new prokinetic, in patients with mild GERD: A pilot study. </w:t>
      </w:r>
      <w:r>
        <w:rPr>
          <w:rFonts w:ascii="Times New Roman" w:eastAsia="Times New Roman" w:hAnsi="Times New Roman" w:cs="Times New Roman"/>
          <w:i/>
          <w:sz w:val="16"/>
        </w:rPr>
        <w:t>World J Gastroenterol.</w:t>
      </w:r>
      <w:r>
        <w:rPr>
          <w:rFonts w:ascii="Times New Roman" w:eastAsia="Times New Roman" w:hAnsi="Times New Roman" w:cs="Times New Roman"/>
          <w:sz w:val="16"/>
        </w:rPr>
        <w:t xml:space="preserve"> 2005;11(27):4210–4. DOI: 10.3748/wjg.v11. i27.4210</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Ezzat W.F., Fawaz S.A., Fathey H., El Demerdash A.</w:t>
      </w:r>
      <w:r>
        <w:rPr>
          <w:rFonts w:ascii="Times New Roman" w:eastAsia="Times New Roman" w:hAnsi="Times New Roman" w:cs="Times New Roman"/>
          <w:sz w:val="16"/>
        </w:rPr>
        <w:t xml:space="preserve"> Virtue of adding prokinetics to proton pump inhib</w:t>
      </w:r>
      <w:r>
        <w:rPr>
          <w:rFonts w:ascii="Times New Roman" w:eastAsia="Times New Roman" w:hAnsi="Times New Roman" w:cs="Times New Roman"/>
          <w:sz w:val="16"/>
        </w:rPr>
        <w:t xml:space="preserve">itors in the treatment of laryngopharyngeal reflux disease: Prospective study. </w:t>
      </w:r>
      <w:r>
        <w:rPr>
          <w:rFonts w:ascii="Times New Roman" w:eastAsia="Times New Roman" w:hAnsi="Times New Roman" w:cs="Times New Roman"/>
          <w:i/>
          <w:sz w:val="16"/>
        </w:rPr>
        <w:t xml:space="preserve">J Otolaryngol Head Neck Surg. </w:t>
      </w:r>
    </w:p>
    <w:p w:rsidR="006F5A4C" w:rsidRDefault="00730F7D">
      <w:pPr>
        <w:spacing w:after="3" w:line="241" w:lineRule="auto"/>
        <w:ind w:left="294" w:right="55" w:firstLine="1"/>
        <w:jc w:val="both"/>
      </w:pPr>
      <w:r>
        <w:rPr>
          <w:rFonts w:ascii="Times New Roman" w:eastAsia="Times New Roman" w:hAnsi="Times New Roman" w:cs="Times New Roman"/>
          <w:sz w:val="16"/>
        </w:rPr>
        <w:t>2011;40(4):350–6.</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Chun B.J., Lee D.S.</w:t>
      </w:r>
      <w:r>
        <w:rPr>
          <w:rFonts w:ascii="Times New Roman" w:eastAsia="Times New Roman" w:hAnsi="Times New Roman" w:cs="Times New Roman"/>
          <w:sz w:val="16"/>
        </w:rPr>
        <w:t xml:space="preserve"> The effect of itopride combined with lansoprazole in patients with laryngopharyngeal reflux disea- se. </w:t>
      </w:r>
      <w:r>
        <w:rPr>
          <w:rFonts w:ascii="Times New Roman" w:eastAsia="Times New Roman" w:hAnsi="Times New Roman" w:cs="Times New Roman"/>
          <w:i/>
          <w:sz w:val="16"/>
        </w:rPr>
        <w:t xml:space="preserve">Eur Arch Otorhinolaryngol. </w:t>
      </w:r>
      <w:r>
        <w:rPr>
          <w:rFonts w:ascii="Times New Roman" w:eastAsia="Times New Roman" w:hAnsi="Times New Roman" w:cs="Times New Roman"/>
          <w:sz w:val="16"/>
        </w:rPr>
        <w:t xml:space="preserve">2013;270(4):1385–90. </w:t>
      </w:r>
    </w:p>
    <w:p w:rsidR="006F5A4C" w:rsidRDefault="00730F7D">
      <w:pPr>
        <w:spacing w:after="3" w:line="241" w:lineRule="auto"/>
        <w:ind w:left="296" w:right="55" w:firstLine="1"/>
        <w:jc w:val="both"/>
      </w:pPr>
      <w:r>
        <w:rPr>
          <w:rFonts w:ascii="Times New Roman" w:eastAsia="Times New Roman" w:hAnsi="Times New Roman" w:cs="Times New Roman"/>
          <w:sz w:val="16"/>
        </w:rPr>
        <w:t>DOI: 10.1007/s00405-012-2341-8</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Федорченко Ю.Л.</w:t>
      </w:r>
      <w:r>
        <w:rPr>
          <w:rFonts w:ascii="Times New Roman" w:eastAsia="Times New Roman" w:hAnsi="Times New Roman" w:cs="Times New Roman"/>
          <w:sz w:val="16"/>
        </w:rPr>
        <w:t xml:space="preserve"> Сравнительная характеристика прокинетиков при лечении гастроэзофагеальной рефлюксной болезни у больных сахарным диабетом. </w:t>
      </w:r>
      <w:r>
        <w:rPr>
          <w:rFonts w:ascii="Times New Roman" w:eastAsia="Times New Roman" w:hAnsi="Times New Roman" w:cs="Times New Roman"/>
          <w:i/>
          <w:sz w:val="16"/>
        </w:rPr>
        <w:t>Экспериментальная и клиническая гастро</w:t>
      </w:r>
      <w:r>
        <w:rPr>
          <w:rFonts w:ascii="Times New Roman" w:eastAsia="Times New Roman" w:hAnsi="Times New Roman" w:cs="Times New Roman"/>
          <w:i/>
          <w:sz w:val="16"/>
        </w:rPr>
        <w:t>энтерология.</w:t>
      </w:r>
      <w:r>
        <w:rPr>
          <w:rFonts w:ascii="Times New Roman" w:eastAsia="Times New Roman" w:hAnsi="Times New Roman" w:cs="Times New Roman"/>
          <w:sz w:val="16"/>
        </w:rPr>
        <w:t xml:space="preserve"> 2013;5:42–8. [</w:t>
      </w:r>
      <w:r>
        <w:rPr>
          <w:rFonts w:ascii="Times New Roman" w:eastAsia="Times New Roman" w:hAnsi="Times New Roman" w:cs="Times New Roman"/>
          <w:i/>
          <w:sz w:val="16"/>
        </w:rPr>
        <w:t>Fedorchenko Yu.L.</w:t>
      </w:r>
      <w:r>
        <w:rPr>
          <w:rFonts w:ascii="Times New Roman" w:eastAsia="Times New Roman" w:hAnsi="Times New Roman" w:cs="Times New Roman"/>
          <w:sz w:val="16"/>
        </w:rPr>
        <w:t xml:space="preserve"> Comparative assessment of prokinetic therapy for gastroesophageal reflux disea- se in patients with diabetes mellitus. </w:t>
      </w:r>
      <w:r>
        <w:rPr>
          <w:rFonts w:ascii="Times New Roman" w:eastAsia="Times New Roman" w:hAnsi="Times New Roman" w:cs="Times New Roman"/>
          <w:i/>
          <w:sz w:val="16"/>
        </w:rPr>
        <w:t>Experimental and Clinical Gastroenterology.</w:t>
      </w:r>
      <w:r>
        <w:rPr>
          <w:rFonts w:ascii="Times New Roman" w:eastAsia="Times New Roman" w:hAnsi="Times New Roman" w:cs="Times New Roman"/>
          <w:sz w:val="16"/>
        </w:rPr>
        <w:t xml:space="preserve"> 2013;5:42–8. (In Russ.)].</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Маев И.В., Трухманов А</w:t>
      </w:r>
      <w:r>
        <w:rPr>
          <w:rFonts w:ascii="Times New Roman" w:eastAsia="Times New Roman" w:hAnsi="Times New Roman" w:cs="Times New Roman"/>
          <w:i/>
          <w:sz w:val="16"/>
        </w:rPr>
        <w:t>.С., Шептулин А.А., Симаненков В.И., Абдулхаков С.Р., Агафонова Н.А.</w:t>
      </w:r>
      <w:r>
        <w:rPr>
          <w:rFonts w:ascii="Times New Roman" w:eastAsia="Times New Roman" w:hAnsi="Times New Roman" w:cs="Times New Roman"/>
          <w:sz w:val="16"/>
        </w:rPr>
        <w:t xml:space="preserve"> </w:t>
      </w:r>
      <w:r>
        <w:rPr>
          <w:rFonts w:ascii="Times New Roman" w:eastAsia="Times New Roman" w:hAnsi="Times New Roman" w:cs="Times New Roman"/>
          <w:i/>
          <w:sz w:val="16"/>
        </w:rPr>
        <w:t xml:space="preserve">и др. </w:t>
      </w:r>
      <w:r>
        <w:rPr>
          <w:rFonts w:ascii="Times New Roman" w:eastAsia="Times New Roman" w:hAnsi="Times New Roman" w:cs="Times New Roman"/>
          <w:sz w:val="16"/>
        </w:rPr>
        <w:t xml:space="preserve">Роль нарушений моторики в патогенезе функциональных расстройств желудочно-кишечного тракта и современные возможности их лечения (Резолюция Экспертного совета и обзор литературы). </w:t>
      </w:r>
      <w:r>
        <w:rPr>
          <w:rFonts w:ascii="Times New Roman" w:eastAsia="Times New Roman" w:hAnsi="Times New Roman" w:cs="Times New Roman"/>
          <w:i/>
          <w:sz w:val="16"/>
        </w:rPr>
        <w:t>Ро</w:t>
      </w:r>
      <w:r>
        <w:rPr>
          <w:rFonts w:ascii="Times New Roman" w:eastAsia="Times New Roman" w:hAnsi="Times New Roman" w:cs="Times New Roman"/>
          <w:i/>
          <w:sz w:val="16"/>
        </w:rPr>
        <w:t>ссийский журнал гастроэнтерологии, гепатологии, колопроктологии.</w:t>
      </w:r>
      <w:r>
        <w:rPr>
          <w:rFonts w:ascii="Times New Roman" w:eastAsia="Times New Roman" w:hAnsi="Times New Roman" w:cs="Times New Roman"/>
          <w:sz w:val="16"/>
        </w:rPr>
        <w:t xml:space="preserve"> 2019;29(6):7–14. [</w:t>
      </w:r>
      <w:r>
        <w:rPr>
          <w:rFonts w:ascii="Times New Roman" w:eastAsia="Times New Roman" w:hAnsi="Times New Roman" w:cs="Times New Roman"/>
          <w:i/>
          <w:sz w:val="16"/>
        </w:rPr>
        <w:t xml:space="preserve">Maev I.V., Trukhmanov A.S., </w:t>
      </w:r>
    </w:p>
    <w:p w:rsidR="006F5A4C" w:rsidRDefault="00730F7D">
      <w:pPr>
        <w:spacing w:after="4" w:line="247" w:lineRule="auto"/>
        <w:ind w:left="309" w:hanging="10"/>
        <w:jc w:val="both"/>
      </w:pPr>
      <w:r>
        <w:rPr>
          <w:rFonts w:ascii="Times New Roman" w:eastAsia="Times New Roman" w:hAnsi="Times New Roman" w:cs="Times New Roman"/>
          <w:i/>
          <w:sz w:val="16"/>
        </w:rPr>
        <w:t xml:space="preserve">Sheptulin A.A., Simanenkov V.I., Abdulhakov S.R., </w:t>
      </w:r>
    </w:p>
    <w:p w:rsidR="006F5A4C" w:rsidRDefault="00730F7D">
      <w:pPr>
        <w:spacing w:after="3" w:line="241" w:lineRule="auto"/>
        <w:ind w:left="286" w:right="55" w:firstLine="1"/>
        <w:jc w:val="both"/>
      </w:pPr>
      <w:r>
        <w:rPr>
          <w:rFonts w:ascii="Times New Roman" w:eastAsia="Times New Roman" w:hAnsi="Times New Roman" w:cs="Times New Roman"/>
          <w:i/>
          <w:sz w:val="16"/>
        </w:rPr>
        <w:t>Agafonova N.A., et al.</w:t>
      </w:r>
      <w:r>
        <w:rPr>
          <w:rFonts w:ascii="Times New Roman" w:eastAsia="Times New Roman" w:hAnsi="Times New Roman" w:cs="Times New Roman"/>
          <w:sz w:val="16"/>
        </w:rPr>
        <w:t xml:space="preserve"> The role of motility impairment in the pathogenesis of functional diso</w:t>
      </w:r>
      <w:r>
        <w:rPr>
          <w:rFonts w:ascii="Times New Roman" w:eastAsia="Times New Roman" w:hAnsi="Times New Roman" w:cs="Times New Roman"/>
          <w:sz w:val="16"/>
        </w:rPr>
        <w:t xml:space="preserve">rders of the gastrointestinal tract and modern possibilities for their treatment (Resolution of an Expert Council and literature review). </w:t>
      </w:r>
      <w:r>
        <w:rPr>
          <w:rFonts w:ascii="Times New Roman" w:eastAsia="Times New Roman" w:hAnsi="Times New Roman" w:cs="Times New Roman"/>
          <w:i/>
          <w:sz w:val="16"/>
        </w:rPr>
        <w:t xml:space="preserve">Russian </w:t>
      </w:r>
    </w:p>
    <w:p w:rsidR="006F5A4C" w:rsidRDefault="00730F7D">
      <w:pPr>
        <w:spacing w:after="4" w:line="247" w:lineRule="auto"/>
        <w:ind w:left="293" w:hanging="10"/>
        <w:jc w:val="both"/>
      </w:pPr>
      <w:r>
        <w:rPr>
          <w:rFonts w:ascii="Times New Roman" w:eastAsia="Times New Roman" w:hAnsi="Times New Roman" w:cs="Times New Roman"/>
          <w:i/>
          <w:sz w:val="16"/>
        </w:rPr>
        <w:t xml:space="preserve">Journal of Gastroenterology, Hepatology, Coloproctology. </w:t>
      </w:r>
    </w:p>
    <w:p w:rsidR="006F5A4C" w:rsidRDefault="00730F7D">
      <w:pPr>
        <w:spacing w:after="3" w:line="241" w:lineRule="auto"/>
        <w:ind w:left="296" w:right="55" w:firstLine="1"/>
        <w:jc w:val="both"/>
      </w:pPr>
      <w:r>
        <w:rPr>
          <w:rFonts w:ascii="Times New Roman" w:eastAsia="Times New Roman" w:hAnsi="Times New Roman" w:cs="Times New Roman"/>
          <w:sz w:val="16"/>
        </w:rPr>
        <w:t>2019;29(6):7–14. (In Russ.)]. DOI: 10.22416/1382-43</w:t>
      </w:r>
      <w:r>
        <w:rPr>
          <w:rFonts w:ascii="Times New Roman" w:eastAsia="Times New Roman" w:hAnsi="Times New Roman" w:cs="Times New Roman"/>
          <w:sz w:val="16"/>
        </w:rPr>
        <w:t>76-</w:t>
      </w:r>
    </w:p>
    <w:p w:rsidR="006F5A4C" w:rsidRDefault="00730F7D">
      <w:pPr>
        <w:spacing w:after="3" w:line="241" w:lineRule="auto"/>
        <w:ind w:left="296" w:right="55" w:firstLine="1"/>
        <w:jc w:val="both"/>
      </w:pPr>
      <w:r>
        <w:rPr>
          <w:rFonts w:ascii="Times New Roman" w:eastAsia="Times New Roman" w:hAnsi="Times New Roman" w:cs="Times New Roman"/>
          <w:sz w:val="16"/>
        </w:rPr>
        <w:t>2019-29-6-7-14</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Babu S.</w:t>
      </w:r>
      <w:r>
        <w:rPr>
          <w:rFonts w:ascii="Times New Roman" w:eastAsia="Times New Roman" w:hAnsi="Times New Roman" w:cs="Times New Roman"/>
          <w:sz w:val="16"/>
        </w:rPr>
        <w:t xml:space="preserve"> Drug therapy of gastroesophageal reflux disease (GERD): Focus on itopride hydrochloride. Indian Practitioner. 2003;56(12):827–30.</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Минушкин О.Н., Лощинина Ю.Н.</w:t>
      </w:r>
      <w:r>
        <w:rPr>
          <w:rFonts w:ascii="Times New Roman" w:eastAsia="Times New Roman" w:hAnsi="Times New Roman" w:cs="Times New Roman"/>
          <w:sz w:val="16"/>
        </w:rPr>
        <w:t xml:space="preserve"> Эффективность применения препарата Ганатон в лечении больных ГЭРБ. </w:t>
      </w:r>
      <w:r>
        <w:rPr>
          <w:rFonts w:ascii="Times New Roman" w:eastAsia="Times New Roman" w:hAnsi="Times New Roman" w:cs="Times New Roman"/>
          <w:i/>
          <w:sz w:val="16"/>
        </w:rPr>
        <w:t>Эфф</w:t>
      </w:r>
      <w:r>
        <w:rPr>
          <w:rFonts w:ascii="Times New Roman" w:eastAsia="Times New Roman" w:hAnsi="Times New Roman" w:cs="Times New Roman"/>
          <w:i/>
          <w:sz w:val="16"/>
        </w:rPr>
        <w:t xml:space="preserve">ективная фармакотерапия в гастроэнтерологии. </w:t>
      </w:r>
      <w:r>
        <w:rPr>
          <w:rFonts w:ascii="Times New Roman" w:eastAsia="Times New Roman" w:hAnsi="Times New Roman" w:cs="Times New Roman"/>
          <w:sz w:val="16"/>
        </w:rPr>
        <w:t>2008;3:20–4. [</w:t>
      </w:r>
      <w:r>
        <w:rPr>
          <w:rFonts w:ascii="Times New Roman" w:eastAsia="Times New Roman" w:hAnsi="Times New Roman" w:cs="Times New Roman"/>
          <w:i/>
          <w:sz w:val="16"/>
        </w:rPr>
        <w:t>Minushkin O.N., Loschinina Yu.N.</w:t>
      </w:r>
      <w:r>
        <w:rPr>
          <w:rFonts w:ascii="Times New Roman" w:eastAsia="Times New Roman" w:hAnsi="Times New Roman" w:cs="Times New Roman"/>
          <w:sz w:val="16"/>
        </w:rPr>
        <w:t xml:space="preserve"> Efficacy of Ganaton in GERD therapy. </w:t>
      </w:r>
      <w:r>
        <w:rPr>
          <w:rFonts w:ascii="Times New Roman" w:eastAsia="Times New Roman" w:hAnsi="Times New Roman" w:cs="Times New Roman"/>
          <w:i/>
          <w:sz w:val="16"/>
        </w:rPr>
        <w:t>Effective Drug Therapy in Gastroenterology</w:t>
      </w:r>
      <w:r>
        <w:rPr>
          <w:rFonts w:ascii="Times New Roman" w:eastAsia="Times New Roman" w:hAnsi="Times New Roman" w:cs="Times New Roman"/>
          <w:sz w:val="16"/>
        </w:rPr>
        <w:t>. 2008;3:20–4. (In Russ.)].</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Takeda N., Takemura M., Kanemitsu Y., Hijikata H., Fukumi</w:t>
      </w:r>
      <w:r>
        <w:rPr>
          <w:rFonts w:ascii="Times New Roman" w:eastAsia="Times New Roman" w:hAnsi="Times New Roman" w:cs="Times New Roman"/>
          <w:i/>
          <w:sz w:val="16"/>
        </w:rPr>
        <w:t>tsu K., Asano T., et al.</w:t>
      </w:r>
      <w:r>
        <w:rPr>
          <w:rFonts w:ascii="Times New Roman" w:eastAsia="Times New Roman" w:hAnsi="Times New Roman" w:cs="Times New Roman"/>
          <w:sz w:val="16"/>
        </w:rPr>
        <w:t xml:space="preserve"> Effect of anti-reflux treatment on gastroesophageal reflux-associated chronic cough: Implications of neurogenic and neutrophilic inflammation. </w:t>
      </w:r>
      <w:r>
        <w:rPr>
          <w:rFonts w:ascii="Times New Roman" w:eastAsia="Times New Roman" w:hAnsi="Times New Roman" w:cs="Times New Roman"/>
          <w:i/>
          <w:sz w:val="16"/>
        </w:rPr>
        <w:t>J Asthma.</w:t>
      </w:r>
      <w:r>
        <w:rPr>
          <w:rFonts w:ascii="Times New Roman" w:eastAsia="Times New Roman" w:hAnsi="Times New Roman" w:cs="Times New Roman"/>
          <w:sz w:val="16"/>
        </w:rPr>
        <w:t xml:space="preserve"> 2020;57(11):1202–10. DOI: 10.1080/02770903</w:t>
      </w:r>
    </w:p>
    <w:p w:rsidR="006F5A4C" w:rsidRDefault="00730F7D">
      <w:pPr>
        <w:spacing w:after="3" w:line="241" w:lineRule="auto"/>
        <w:ind w:left="248" w:right="55" w:firstLine="1"/>
        <w:jc w:val="both"/>
      </w:pPr>
      <w:r>
        <w:rPr>
          <w:rFonts w:ascii="Times New Roman" w:eastAsia="Times New Roman" w:hAnsi="Times New Roman" w:cs="Times New Roman"/>
          <w:sz w:val="16"/>
        </w:rPr>
        <w:t>.2019.1641204</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Palmieri B., Merighi A., Corbascio D., Rottigni V., Fistetto G., Esposito A.</w:t>
      </w:r>
      <w:r>
        <w:rPr>
          <w:rFonts w:ascii="Times New Roman" w:eastAsia="Times New Roman" w:hAnsi="Times New Roman" w:cs="Times New Roman"/>
          <w:sz w:val="16"/>
        </w:rPr>
        <w:t xml:space="preserve"> Fixed combination of hyalu- ronic acid and chondroitin-sulphate oral formulation in a randomized double blind, placebo controlled study for the treatment of symptoms in patients w</w:t>
      </w:r>
      <w:r>
        <w:rPr>
          <w:rFonts w:ascii="Times New Roman" w:eastAsia="Times New Roman" w:hAnsi="Times New Roman" w:cs="Times New Roman"/>
          <w:sz w:val="16"/>
        </w:rPr>
        <w:t>ith non-ero-</w:t>
      </w:r>
    </w:p>
    <w:p w:rsidR="006F5A4C" w:rsidRDefault="00730F7D">
      <w:pPr>
        <w:spacing w:after="0"/>
        <w:ind w:left="10" w:right="53" w:hanging="10"/>
        <w:jc w:val="right"/>
      </w:pPr>
      <w:r>
        <w:rPr>
          <w:rFonts w:ascii="Times New Roman" w:eastAsia="Times New Roman" w:hAnsi="Times New Roman" w:cs="Times New Roman"/>
          <w:sz w:val="16"/>
        </w:rPr>
        <w:t xml:space="preserve">sive gastroesophageal reflux. </w:t>
      </w:r>
      <w:r>
        <w:rPr>
          <w:rFonts w:ascii="Times New Roman" w:eastAsia="Times New Roman" w:hAnsi="Times New Roman" w:cs="Times New Roman"/>
          <w:i/>
          <w:sz w:val="16"/>
        </w:rPr>
        <w:t xml:space="preserve">Eur Rev Med Pharmacol Sci. </w:t>
      </w:r>
    </w:p>
    <w:p w:rsidR="006F5A4C" w:rsidRDefault="00730F7D">
      <w:pPr>
        <w:spacing w:after="3" w:line="241" w:lineRule="auto"/>
        <w:ind w:left="298" w:right="55" w:firstLine="1"/>
        <w:jc w:val="both"/>
      </w:pPr>
      <w:r>
        <w:rPr>
          <w:rFonts w:ascii="Times New Roman" w:eastAsia="Times New Roman" w:hAnsi="Times New Roman" w:cs="Times New Roman"/>
          <w:sz w:val="16"/>
        </w:rPr>
        <w:t>2013;17(24):3272–8.</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Бордин Д.С., Андреев Д.Н., Маев И.В.</w:t>
      </w:r>
      <w:r>
        <w:rPr>
          <w:rFonts w:ascii="Times New Roman" w:eastAsia="Times New Roman" w:hAnsi="Times New Roman" w:cs="Times New Roman"/>
          <w:sz w:val="16"/>
        </w:rPr>
        <w:t xml:space="preserve"> Эффективность эзофагопротекции в комплексном лечении эрозивной формы гастроэзофагеальной рефлюксной болезни: систематический обз</w:t>
      </w:r>
      <w:r>
        <w:rPr>
          <w:rFonts w:ascii="Times New Roman" w:eastAsia="Times New Roman" w:hAnsi="Times New Roman" w:cs="Times New Roman"/>
          <w:sz w:val="16"/>
        </w:rPr>
        <w:t xml:space="preserve">ор и метаанализ контролируемых исследований. </w:t>
      </w:r>
      <w:r>
        <w:rPr>
          <w:rFonts w:ascii="Times New Roman" w:eastAsia="Times New Roman" w:hAnsi="Times New Roman" w:cs="Times New Roman"/>
          <w:i/>
          <w:sz w:val="16"/>
        </w:rPr>
        <w:t>Терапевтический архив.</w:t>
      </w:r>
      <w:r>
        <w:rPr>
          <w:rFonts w:ascii="Times New Roman" w:eastAsia="Times New Roman" w:hAnsi="Times New Roman" w:cs="Times New Roman"/>
          <w:sz w:val="16"/>
        </w:rPr>
        <w:t xml:space="preserve"> 2022;94(12):1407–12. [</w:t>
      </w:r>
      <w:r>
        <w:rPr>
          <w:rFonts w:ascii="Times New Roman" w:eastAsia="Times New Roman" w:hAnsi="Times New Roman" w:cs="Times New Roman"/>
          <w:i/>
          <w:sz w:val="16"/>
        </w:rPr>
        <w:t xml:space="preserve">Bordin D.S., Andreev D.N., Maev I.V. </w:t>
      </w:r>
      <w:r>
        <w:rPr>
          <w:rFonts w:ascii="Times New Roman" w:eastAsia="Times New Roman" w:hAnsi="Times New Roman" w:cs="Times New Roman"/>
          <w:sz w:val="16"/>
        </w:rPr>
        <w:t>Efficacy of esophagus protection in complex treatment of erosive gastroesophageal reflux disease: A systematic review and meta-an</w:t>
      </w:r>
      <w:r>
        <w:rPr>
          <w:rFonts w:ascii="Times New Roman" w:eastAsia="Times New Roman" w:hAnsi="Times New Roman" w:cs="Times New Roman"/>
          <w:sz w:val="16"/>
        </w:rPr>
        <w:t xml:space="preserve">alysis of controlled trials. </w:t>
      </w:r>
      <w:r>
        <w:rPr>
          <w:rFonts w:ascii="Times New Roman" w:eastAsia="Times New Roman" w:hAnsi="Times New Roman" w:cs="Times New Roman"/>
          <w:i/>
          <w:sz w:val="16"/>
        </w:rPr>
        <w:t>Ter-</w:t>
      </w:r>
    </w:p>
    <w:p w:rsidR="006F5A4C" w:rsidRDefault="00730F7D">
      <w:pPr>
        <w:spacing w:after="3" w:line="241" w:lineRule="auto"/>
        <w:ind w:left="295" w:right="55" w:firstLine="1"/>
        <w:jc w:val="both"/>
      </w:pPr>
      <w:r>
        <w:rPr>
          <w:rFonts w:ascii="Times New Roman" w:eastAsia="Times New Roman" w:hAnsi="Times New Roman" w:cs="Times New Roman"/>
          <w:i/>
          <w:sz w:val="16"/>
        </w:rPr>
        <w:t xml:space="preserve">apevticheskii Arkhiv. </w:t>
      </w:r>
      <w:r>
        <w:rPr>
          <w:rFonts w:ascii="Times New Roman" w:eastAsia="Times New Roman" w:hAnsi="Times New Roman" w:cs="Times New Roman"/>
          <w:sz w:val="16"/>
        </w:rPr>
        <w:t>2022;94(12):1407–12. (In Russ.)]. DOI: 10.26442/00403660.2022.12.202011</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Mandel K.G., Daggy B.P., Brodie D.A., Jacoby H.I.</w:t>
      </w:r>
      <w:r>
        <w:rPr>
          <w:rFonts w:ascii="Times New Roman" w:eastAsia="Times New Roman" w:hAnsi="Times New Roman" w:cs="Times New Roman"/>
          <w:sz w:val="16"/>
        </w:rPr>
        <w:t xml:space="preserve"> Review article: Alginate-raft formulations in the treatment of heartburn and a</w:t>
      </w:r>
      <w:r>
        <w:rPr>
          <w:rFonts w:ascii="Times New Roman" w:eastAsia="Times New Roman" w:hAnsi="Times New Roman" w:cs="Times New Roman"/>
          <w:sz w:val="16"/>
        </w:rPr>
        <w:t xml:space="preserve">cid reflux. </w:t>
      </w:r>
      <w:r>
        <w:rPr>
          <w:rFonts w:ascii="Times New Roman" w:eastAsia="Times New Roman" w:hAnsi="Times New Roman" w:cs="Times New Roman"/>
          <w:i/>
          <w:sz w:val="16"/>
        </w:rPr>
        <w:t>Aliment Pharmacol Ther.</w:t>
      </w:r>
      <w:r>
        <w:rPr>
          <w:rFonts w:ascii="Times New Roman" w:eastAsia="Times New Roman" w:hAnsi="Times New Roman" w:cs="Times New Roman"/>
          <w:sz w:val="16"/>
        </w:rPr>
        <w:t xml:space="preserve"> 2000;14(6):669–90. DOI: 10.1046/j.13652036.2000.00759.x</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Naik R.D., Meyers M.H., Vaezi M.F.</w:t>
      </w:r>
      <w:r>
        <w:rPr>
          <w:rFonts w:ascii="Times New Roman" w:eastAsia="Times New Roman" w:hAnsi="Times New Roman" w:cs="Times New Roman"/>
          <w:sz w:val="16"/>
        </w:rPr>
        <w:t xml:space="preserve"> Treatment of refractory gastroesophageal reflux disease. </w:t>
      </w:r>
      <w:r>
        <w:rPr>
          <w:rFonts w:ascii="Times New Roman" w:eastAsia="Times New Roman" w:hAnsi="Times New Roman" w:cs="Times New Roman"/>
          <w:i/>
          <w:sz w:val="16"/>
        </w:rPr>
        <w:t>Gastroenterol Hepatol</w:t>
      </w:r>
      <w:r>
        <w:rPr>
          <w:rFonts w:ascii="Times New Roman" w:eastAsia="Times New Roman" w:hAnsi="Times New Roman" w:cs="Times New Roman"/>
          <w:sz w:val="16"/>
        </w:rPr>
        <w:t xml:space="preserve"> (</w:t>
      </w:r>
      <w:r>
        <w:rPr>
          <w:rFonts w:ascii="Times New Roman" w:eastAsia="Times New Roman" w:hAnsi="Times New Roman" w:cs="Times New Roman"/>
          <w:i/>
          <w:sz w:val="16"/>
        </w:rPr>
        <w:t>N Y</w:t>
      </w:r>
      <w:r>
        <w:rPr>
          <w:rFonts w:ascii="Times New Roman" w:eastAsia="Times New Roman" w:hAnsi="Times New Roman" w:cs="Times New Roman"/>
          <w:sz w:val="16"/>
        </w:rPr>
        <w:t>). 2020;16(4):196–205.</w:t>
      </w:r>
    </w:p>
    <w:p w:rsidR="006F5A4C" w:rsidRDefault="00730F7D">
      <w:pPr>
        <w:numPr>
          <w:ilvl w:val="0"/>
          <w:numId w:val="8"/>
        </w:numPr>
        <w:spacing w:after="481" w:line="241" w:lineRule="auto"/>
        <w:ind w:right="55" w:hanging="297"/>
        <w:jc w:val="both"/>
      </w:pPr>
      <w:r>
        <w:rPr>
          <w:rFonts w:ascii="Times New Roman" w:eastAsia="Times New Roman" w:hAnsi="Times New Roman" w:cs="Times New Roman"/>
          <w:i/>
          <w:sz w:val="16"/>
        </w:rPr>
        <w:t>Otake K., Sakurai Y., Nishida H., Fukui H., Tagawa Y., Yamasaki H., et al.</w:t>
      </w:r>
      <w:r>
        <w:rPr>
          <w:rFonts w:ascii="Times New Roman" w:eastAsia="Times New Roman" w:hAnsi="Times New Roman" w:cs="Times New Roman"/>
          <w:sz w:val="16"/>
        </w:rPr>
        <w:t xml:space="preserve"> Characteristics of the novel potassium-competitive acid blocker vonoprazan fumarate</w:t>
      </w:r>
    </w:p>
    <w:p w:rsidR="006F5A4C" w:rsidRDefault="00730F7D">
      <w:pPr>
        <w:spacing w:after="0"/>
        <w:ind w:left="15"/>
      </w:pPr>
      <w:r>
        <w:rPr>
          <w:rFonts w:ascii="Times New Roman" w:eastAsia="Times New Roman" w:hAnsi="Times New Roman" w:cs="Times New Roman"/>
          <w:b/>
          <w:color w:val="0ABAEE"/>
        </w:rPr>
        <w:t xml:space="preserve">Приложение А. </w:t>
      </w:r>
    </w:p>
    <w:p w:rsidR="006F5A4C" w:rsidRDefault="00730F7D">
      <w:pPr>
        <w:spacing w:after="3" w:line="241" w:lineRule="auto"/>
        <w:ind w:left="297" w:right="55" w:firstLine="1"/>
        <w:jc w:val="both"/>
      </w:pPr>
      <w:r>
        <w:rPr>
          <w:rFonts w:ascii="Times New Roman" w:eastAsia="Times New Roman" w:hAnsi="Times New Roman" w:cs="Times New Roman"/>
          <w:sz w:val="16"/>
        </w:rPr>
        <w:t xml:space="preserve">(TAK-438). </w:t>
      </w:r>
      <w:r>
        <w:rPr>
          <w:rFonts w:ascii="Times New Roman" w:eastAsia="Times New Roman" w:hAnsi="Times New Roman" w:cs="Times New Roman"/>
          <w:i/>
          <w:sz w:val="16"/>
        </w:rPr>
        <w:t>Adv Ther.</w:t>
      </w:r>
      <w:r>
        <w:rPr>
          <w:rFonts w:ascii="Times New Roman" w:eastAsia="Times New Roman" w:hAnsi="Times New Roman" w:cs="Times New Roman"/>
          <w:sz w:val="16"/>
        </w:rPr>
        <w:t xml:space="preserve"> 2016;33(7):1140–57. DOI: 10.1007/ s12325-016-0345-2</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Cheng Y., Liu J., Tan X., Dai Y., Xie C., Li X., et al.</w:t>
      </w:r>
      <w:r>
        <w:rPr>
          <w:rFonts w:ascii="Times New Roman" w:eastAsia="Times New Roman" w:hAnsi="Times New Roman" w:cs="Times New Roman"/>
          <w:sz w:val="16"/>
        </w:rPr>
        <w:t xml:space="preserve"> Direct comparison of the efficacy and safety of vonoprazan versus proton-pump inhibitors for gastroesophageal reflux disease: A systematic review and meta-analysis. </w:t>
      </w:r>
      <w:r>
        <w:rPr>
          <w:rFonts w:ascii="Times New Roman" w:eastAsia="Times New Roman" w:hAnsi="Times New Roman" w:cs="Times New Roman"/>
          <w:i/>
          <w:sz w:val="16"/>
        </w:rPr>
        <w:t xml:space="preserve">Dig Dis </w:t>
      </w:r>
    </w:p>
    <w:p w:rsidR="006F5A4C" w:rsidRDefault="00730F7D">
      <w:pPr>
        <w:spacing w:after="3" w:line="241" w:lineRule="auto"/>
        <w:ind w:left="296" w:right="55" w:firstLine="1"/>
        <w:jc w:val="both"/>
      </w:pPr>
      <w:r>
        <w:rPr>
          <w:rFonts w:ascii="Times New Roman" w:eastAsia="Times New Roman" w:hAnsi="Times New Roman" w:cs="Times New Roman"/>
          <w:i/>
          <w:sz w:val="16"/>
        </w:rPr>
        <w:t>Sci.</w:t>
      </w:r>
      <w:r>
        <w:rPr>
          <w:rFonts w:ascii="Times New Roman" w:eastAsia="Times New Roman" w:hAnsi="Times New Roman" w:cs="Times New Roman"/>
          <w:sz w:val="16"/>
        </w:rPr>
        <w:t xml:space="preserve"> 2021;66(1):19–28. DOI</w:t>
      </w:r>
      <w:r>
        <w:rPr>
          <w:rFonts w:ascii="Times New Roman" w:eastAsia="Times New Roman" w:hAnsi="Times New Roman" w:cs="Times New Roman"/>
          <w:sz w:val="16"/>
        </w:rPr>
        <w:t>: 10.1007/s10620-020-06141-5</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Quartarone G.</w:t>
      </w:r>
      <w:r>
        <w:rPr>
          <w:rFonts w:ascii="Times New Roman" w:eastAsia="Times New Roman" w:hAnsi="Times New Roman" w:cs="Times New Roman"/>
          <w:sz w:val="16"/>
        </w:rPr>
        <w:t xml:space="preserve"> Gastroesophageal reflux in pregnancy: A systematic review on the benefit of raft forming agents. </w:t>
      </w:r>
      <w:r>
        <w:rPr>
          <w:rFonts w:ascii="Times New Roman" w:eastAsia="Times New Roman" w:hAnsi="Times New Roman" w:cs="Times New Roman"/>
          <w:i/>
          <w:sz w:val="16"/>
        </w:rPr>
        <w:t>Minerva Ginecol.</w:t>
      </w:r>
      <w:r>
        <w:rPr>
          <w:rFonts w:ascii="Times New Roman" w:eastAsia="Times New Roman" w:hAnsi="Times New Roman" w:cs="Times New Roman"/>
          <w:sz w:val="16"/>
        </w:rPr>
        <w:t xml:space="preserve"> 2013;65(5):541–9.</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Du X., Hu Z., Yan C., Zhang C., Wang Z., Wu J.</w:t>
      </w:r>
      <w:r>
        <w:rPr>
          <w:rFonts w:ascii="Times New Roman" w:eastAsia="Times New Roman" w:hAnsi="Times New Roman" w:cs="Times New Roman"/>
          <w:sz w:val="16"/>
        </w:rPr>
        <w:t xml:space="preserve"> A meta-analysis of long follow-up </w:t>
      </w:r>
      <w:r>
        <w:rPr>
          <w:rFonts w:ascii="Times New Roman" w:eastAsia="Times New Roman" w:hAnsi="Times New Roman" w:cs="Times New Roman"/>
          <w:sz w:val="16"/>
        </w:rPr>
        <w:t xml:space="preserve">outcomes of laparoscopic Nissen (total) versus Toupet (270°) fundoplication for gastro-esophageal reflux disease based on randomized controlled trials in adults. </w:t>
      </w:r>
      <w:r>
        <w:rPr>
          <w:rFonts w:ascii="Times New Roman" w:eastAsia="Times New Roman" w:hAnsi="Times New Roman" w:cs="Times New Roman"/>
          <w:i/>
          <w:sz w:val="16"/>
        </w:rPr>
        <w:t xml:space="preserve">BMC Gastroenterol. </w:t>
      </w:r>
      <w:r>
        <w:rPr>
          <w:rFonts w:ascii="Times New Roman" w:eastAsia="Times New Roman" w:hAnsi="Times New Roman" w:cs="Times New Roman"/>
          <w:sz w:val="16"/>
        </w:rPr>
        <w:t xml:space="preserve">2016;16(1):88. </w:t>
      </w:r>
    </w:p>
    <w:p w:rsidR="006F5A4C" w:rsidRDefault="00730F7D">
      <w:pPr>
        <w:spacing w:after="3" w:line="241" w:lineRule="auto"/>
        <w:ind w:left="294" w:right="55" w:firstLine="1"/>
        <w:jc w:val="both"/>
      </w:pPr>
      <w:r>
        <w:rPr>
          <w:rFonts w:ascii="Times New Roman" w:eastAsia="Times New Roman" w:hAnsi="Times New Roman" w:cs="Times New Roman"/>
          <w:sz w:val="16"/>
        </w:rPr>
        <w:t>DOI: 10.1186/s12876-016-0502-8</w:t>
      </w:r>
    </w:p>
    <w:p w:rsidR="006F5A4C" w:rsidRDefault="00730F7D">
      <w:pPr>
        <w:numPr>
          <w:ilvl w:val="0"/>
          <w:numId w:val="8"/>
        </w:numPr>
        <w:spacing w:after="3" w:line="241" w:lineRule="auto"/>
        <w:ind w:right="55" w:hanging="297"/>
        <w:jc w:val="both"/>
      </w:pPr>
      <w:r>
        <w:rPr>
          <w:rFonts w:ascii="Times New Roman" w:eastAsia="Times New Roman" w:hAnsi="Times New Roman" w:cs="Times New Roman"/>
          <w:i/>
          <w:sz w:val="16"/>
        </w:rPr>
        <w:t>Galmiche J.P., Hatlebakk J.,</w:t>
      </w:r>
      <w:r>
        <w:rPr>
          <w:rFonts w:ascii="Times New Roman" w:eastAsia="Times New Roman" w:hAnsi="Times New Roman" w:cs="Times New Roman"/>
          <w:i/>
          <w:sz w:val="16"/>
        </w:rPr>
        <w:t xml:space="preserve"> Attwood S., Ell C., Fiocca R., Eklund S., et al.</w:t>
      </w:r>
      <w:r>
        <w:rPr>
          <w:rFonts w:ascii="Times New Roman" w:eastAsia="Times New Roman" w:hAnsi="Times New Roman" w:cs="Times New Roman"/>
          <w:sz w:val="16"/>
        </w:rPr>
        <w:t xml:space="preserve"> Laparoscopic antireflux surgery vs esomeprazole treatment for chronic GERD.</w:t>
      </w:r>
      <w:r>
        <w:rPr>
          <w:rFonts w:ascii="Times New Roman" w:eastAsia="Times New Roman" w:hAnsi="Times New Roman" w:cs="Times New Roman"/>
          <w:i/>
          <w:sz w:val="16"/>
        </w:rPr>
        <w:t xml:space="preserve"> JAMA. </w:t>
      </w:r>
      <w:r>
        <w:rPr>
          <w:rFonts w:ascii="Times New Roman" w:eastAsia="Times New Roman" w:hAnsi="Times New Roman" w:cs="Times New Roman"/>
          <w:sz w:val="16"/>
        </w:rPr>
        <w:t>2011;305(19):1969–77. DOI: 10.1001/jama.2011.626</w:t>
      </w:r>
    </w:p>
    <w:p w:rsidR="006F5A4C" w:rsidRDefault="00730F7D">
      <w:pPr>
        <w:numPr>
          <w:ilvl w:val="0"/>
          <w:numId w:val="8"/>
        </w:numPr>
        <w:spacing w:after="4" w:line="247" w:lineRule="auto"/>
        <w:ind w:right="55" w:hanging="297"/>
        <w:jc w:val="both"/>
      </w:pPr>
      <w:r>
        <w:rPr>
          <w:rFonts w:ascii="Times New Roman" w:eastAsia="Times New Roman" w:hAnsi="Times New Roman" w:cs="Times New Roman"/>
          <w:i/>
          <w:sz w:val="16"/>
        </w:rPr>
        <w:t>Wileman S.M., McCann S., Grant A.M., Krukowski Z.H., Bruce J.</w:t>
      </w:r>
      <w:r>
        <w:rPr>
          <w:rFonts w:ascii="Times New Roman" w:eastAsia="Times New Roman" w:hAnsi="Times New Roman" w:cs="Times New Roman"/>
          <w:sz w:val="16"/>
        </w:rPr>
        <w:t xml:space="preserve"> Medical versu</w:t>
      </w:r>
      <w:r>
        <w:rPr>
          <w:rFonts w:ascii="Times New Roman" w:eastAsia="Times New Roman" w:hAnsi="Times New Roman" w:cs="Times New Roman"/>
          <w:sz w:val="16"/>
        </w:rPr>
        <w:t xml:space="preserve">s surgical management for GERD in adults. </w:t>
      </w:r>
      <w:r>
        <w:rPr>
          <w:rFonts w:ascii="Times New Roman" w:eastAsia="Times New Roman" w:hAnsi="Times New Roman" w:cs="Times New Roman"/>
          <w:i/>
          <w:sz w:val="16"/>
        </w:rPr>
        <w:t xml:space="preserve">Cochrane Database Syst Rev. </w:t>
      </w:r>
      <w:r>
        <w:rPr>
          <w:rFonts w:ascii="Times New Roman" w:eastAsia="Times New Roman" w:hAnsi="Times New Roman" w:cs="Times New Roman"/>
          <w:sz w:val="16"/>
        </w:rPr>
        <w:t xml:space="preserve">2010;(3):CD003243. </w:t>
      </w:r>
    </w:p>
    <w:tbl>
      <w:tblPr>
        <w:tblStyle w:val="TableGrid"/>
        <w:tblpPr w:vertAnchor="text" w:horzAnchor="margin" w:tblpY="917"/>
        <w:tblOverlap w:val="never"/>
        <w:tblW w:w="9746" w:type="dxa"/>
        <w:tblInd w:w="0" w:type="dxa"/>
        <w:tblCellMar>
          <w:top w:w="0" w:type="dxa"/>
          <w:left w:w="13" w:type="dxa"/>
          <w:bottom w:w="0" w:type="dxa"/>
          <w:right w:w="36" w:type="dxa"/>
        </w:tblCellMar>
        <w:tblLook w:val="04A0" w:firstRow="1" w:lastRow="0" w:firstColumn="1" w:lastColumn="0" w:noHBand="0" w:noVBand="1"/>
      </w:tblPr>
      <w:tblGrid>
        <w:gridCol w:w="9697"/>
      </w:tblGrid>
      <w:tr w:rsidR="006F5A4C">
        <w:trPr>
          <w:trHeight w:val="2964"/>
        </w:trPr>
        <w:tc>
          <w:tcPr>
            <w:tcW w:w="9697" w:type="dxa"/>
            <w:tcBorders>
              <w:top w:val="nil"/>
              <w:left w:val="nil"/>
              <w:bottom w:val="nil"/>
              <w:right w:val="nil"/>
            </w:tcBorders>
          </w:tcPr>
          <w:p w:rsidR="006F5A4C" w:rsidRDefault="00730F7D">
            <w:pPr>
              <w:spacing w:after="84" w:line="260" w:lineRule="auto"/>
              <w:ind w:right="1255"/>
            </w:pPr>
            <w:r>
              <w:rPr>
                <w:rFonts w:ascii="Times New Roman" w:eastAsia="Times New Roman" w:hAnsi="Times New Roman" w:cs="Times New Roman"/>
                <w:b/>
                <w:color w:val="0ABAEE"/>
              </w:rPr>
              <w:t>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w:t>
            </w:r>
            <w:r>
              <w:rPr>
                <w:rFonts w:ascii="Times New Roman" w:eastAsia="Times New Roman" w:hAnsi="Times New Roman" w:cs="Times New Roman"/>
                <w:b/>
                <w:color w:val="0ABAEE"/>
              </w:rPr>
              <w:t>карственного препарата</w:t>
            </w:r>
          </w:p>
          <w:p w:rsidR="006F5A4C" w:rsidRDefault="00730F7D">
            <w:pPr>
              <w:spacing w:after="0"/>
            </w:pPr>
            <w:r>
              <w:rPr>
                <w:rFonts w:ascii="Times New Roman" w:eastAsia="Times New Roman" w:hAnsi="Times New Roman" w:cs="Times New Roman"/>
                <w:sz w:val="16"/>
              </w:rPr>
              <w:t>Данные клинические рекомендации разработаны с учетом следующих нормативно-правовых документов:</w:t>
            </w:r>
          </w:p>
          <w:p w:rsidR="006F5A4C" w:rsidRDefault="00730F7D">
            <w:pPr>
              <w:numPr>
                <w:ilvl w:val="0"/>
                <w:numId w:val="9"/>
              </w:numPr>
              <w:spacing w:after="0" w:line="233" w:lineRule="auto"/>
              <w:ind w:hanging="170"/>
              <w:jc w:val="both"/>
            </w:pPr>
            <w:r>
              <w:rPr>
                <w:rFonts w:ascii="Times New Roman" w:eastAsia="Times New Roman" w:hAnsi="Times New Roman" w:cs="Times New Roman"/>
                <w:sz w:val="16"/>
              </w:rPr>
              <w:t>Приказ Министерства здравоохранения Российской Федерации № 906н от 12.11.2012 г. «Об утверждении Порядка оказания медицинской помощи насел</w:t>
            </w:r>
            <w:r>
              <w:rPr>
                <w:rFonts w:ascii="Times New Roman" w:eastAsia="Times New Roman" w:hAnsi="Times New Roman" w:cs="Times New Roman"/>
                <w:sz w:val="16"/>
              </w:rPr>
              <w:t>ению по профилю “гастроэнтерология”».</w:t>
            </w:r>
          </w:p>
          <w:p w:rsidR="006F5A4C" w:rsidRDefault="00730F7D">
            <w:pPr>
              <w:numPr>
                <w:ilvl w:val="0"/>
                <w:numId w:val="9"/>
              </w:numPr>
              <w:spacing w:after="0" w:line="233" w:lineRule="auto"/>
              <w:ind w:hanging="170"/>
              <w:jc w:val="both"/>
            </w:pPr>
            <w:r>
              <w:rPr>
                <w:rFonts w:ascii="Times New Roman" w:eastAsia="Times New Roman" w:hAnsi="Times New Roman" w:cs="Times New Roman"/>
                <w:sz w:val="16"/>
              </w:rPr>
              <w:t>Приказ Министерства здравоохранения Российской Федерации № 203н от 10.05.2017 г. «Об утверждении критериев оценки качества медицинской помощи».</w:t>
            </w:r>
          </w:p>
          <w:p w:rsidR="006F5A4C" w:rsidRDefault="00730F7D">
            <w:pPr>
              <w:numPr>
                <w:ilvl w:val="0"/>
                <w:numId w:val="9"/>
              </w:numPr>
              <w:spacing w:after="572" w:line="233" w:lineRule="auto"/>
              <w:ind w:hanging="170"/>
              <w:jc w:val="both"/>
            </w:pPr>
            <w:r>
              <w:rPr>
                <w:rFonts w:ascii="Times New Roman" w:eastAsia="Times New Roman" w:hAnsi="Times New Roman" w:cs="Times New Roman"/>
                <w:sz w:val="16"/>
              </w:rPr>
              <w:t>Приказ Министерства здравоохранения Российской Федерации № 247н от 22.11.2004 г. «Об утверждении стандарта медицинской помощи взрослым при гастроэзофагеальном рефлюксе (диагностика и лечение)».</w:t>
            </w:r>
          </w:p>
          <w:p w:rsidR="006F5A4C" w:rsidRDefault="00730F7D">
            <w:pPr>
              <w:spacing w:after="0"/>
            </w:pPr>
            <w:r>
              <w:rPr>
                <w:rFonts w:ascii="Times New Roman" w:eastAsia="Times New Roman" w:hAnsi="Times New Roman" w:cs="Times New Roman"/>
                <w:b/>
                <w:color w:val="0ABAEE"/>
              </w:rPr>
              <w:t xml:space="preserve">Приложение Б. </w:t>
            </w:r>
          </w:p>
          <w:p w:rsidR="006F5A4C" w:rsidRDefault="00730F7D">
            <w:pPr>
              <w:spacing w:after="0"/>
            </w:pPr>
            <w:r>
              <w:rPr>
                <w:noProof/>
              </w:rPr>
              <mc:AlternateContent>
                <mc:Choice Requires="wpg">
                  <w:drawing>
                    <wp:inline distT="0" distB="0" distL="0" distR="0">
                      <wp:extent cx="6118099" cy="3523965"/>
                      <wp:effectExtent l="0" t="0" r="0" b="0"/>
                      <wp:docPr id="49225" name="Group 49225"/>
                      <wp:cNvGraphicFramePr/>
                      <a:graphic xmlns:a="http://schemas.openxmlformats.org/drawingml/2006/main">
                        <a:graphicData uri="http://schemas.microsoft.com/office/word/2010/wordprocessingGroup">
                          <wpg:wgp>
                            <wpg:cNvGrpSpPr/>
                            <wpg:grpSpPr>
                              <a:xfrm>
                                <a:off x="0" y="0"/>
                                <a:ext cx="6118099" cy="3523965"/>
                                <a:chOff x="0" y="0"/>
                                <a:chExt cx="6118099" cy="3523965"/>
                              </a:xfrm>
                            </wpg:grpSpPr>
                            <wps:wsp>
                              <wps:cNvPr id="5220" name="Rectangle 5220"/>
                              <wps:cNvSpPr/>
                              <wps:spPr>
                                <a:xfrm>
                                  <a:off x="0" y="0"/>
                                  <a:ext cx="2465765" cy="185801"/>
                                </a:xfrm>
                                <a:prstGeom prst="rect">
                                  <a:avLst/>
                                </a:prstGeom>
                                <a:ln>
                                  <a:noFill/>
                                </a:ln>
                              </wps:spPr>
                              <wps:txbx>
                                <w:txbxContent>
                                  <w:p w:rsidR="006F5A4C" w:rsidRDefault="00730F7D">
                                    <w:r>
                                      <w:rPr>
                                        <w:rFonts w:ascii="Times New Roman" w:eastAsia="Times New Roman" w:hAnsi="Times New Roman" w:cs="Times New Roman"/>
                                        <w:b/>
                                        <w:color w:val="0ABAEE"/>
                                        <w:w w:val="112"/>
                                      </w:rPr>
                                      <w:t>Алгоритмы</w:t>
                                    </w:r>
                                    <w:r>
                                      <w:rPr>
                                        <w:rFonts w:ascii="Times New Roman" w:eastAsia="Times New Roman" w:hAnsi="Times New Roman" w:cs="Times New Roman"/>
                                        <w:b/>
                                        <w:color w:val="0ABAEE"/>
                                        <w:spacing w:val="26"/>
                                        <w:w w:val="112"/>
                                      </w:rPr>
                                      <w:t xml:space="preserve"> </w:t>
                                    </w:r>
                                    <w:r>
                                      <w:rPr>
                                        <w:rFonts w:ascii="Times New Roman" w:eastAsia="Times New Roman" w:hAnsi="Times New Roman" w:cs="Times New Roman"/>
                                        <w:b/>
                                        <w:color w:val="0ABAEE"/>
                                        <w:w w:val="112"/>
                                      </w:rPr>
                                      <w:t>действий</w:t>
                                    </w:r>
                                    <w:r>
                                      <w:rPr>
                                        <w:rFonts w:ascii="Times New Roman" w:eastAsia="Times New Roman" w:hAnsi="Times New Roman" w:cs="Times New Roman"/>
                                        <w:b/>
                                        <w:color w:val="0ABAEE"/>
                                        <w:spacing w:val="26"/>
                                        <w:w w:val="112"/>
                                      </w:rPr>
                                      <w:t xml:space="preserve"> </w:t>
                                    </w:r>
                                    <w:r>
                                      <w:rPr>
                                        <w:rFonts w:ascii="Times New Roman" w:eastAsia="Times New Roman" w:hAnsi="Times New Roman" w:cs="Times New Roman"/>
                                        <w:b/>
                                        <w:color w:val="0ABAEE"/>
                                        <w:w w:val="112"/>
                                      </w:rPr>
                                      <w:t>врача</w:t>
                                    </w:r>
                                  </w:p>
                                </w:txbxContent>
                              </wps:txbx>
                              <wps:bodyPr horzOverflow="overflow" vert="horz" lIns="0" tIns="0" rIns="0" bIns="0" rtlCol="0">
                                <a:noAutofit/>
                              </wps:bodyPr>
                            </wps:wsp>
                            <pic:pic xmlns:pic="http://schemas.openxmlformats.org/drawingml/2006/picture">
                              <pic:nvPicPr>
                                <pic:cNvPr id="5222" name="Picture 5222"/>
                                <pic:cNvPicPr/>
                              </pic:nvPicPr>
                              <pic:blipFill>
                                <a:blip r:embed="rId13"/>
                                <a:stretch>
                                  <a:fillRect/>
                                </a:stretch>
                              </pic:blipFill>
                              <pic:spPr>
                                <a:xfrm>
                                  <a:off x="808732" y="389388"/>
                                  <a:ext cx="4502537" cy="3056387"/>
                                </a:xfrm>
                                <a:prstGeom prst="rect">
                                  <a:avLst/>
                                </a:prstGeom>
                              </pic:spPr>
                            </pic:pic>
                            <wps:wsp>
                              <wps:cNvPr id="5223" name="Shape 5223"/>
                              <wps:cNvSpPr/>
                              <wps:spPr>
                                <a:xfrm>
                                  <a:off x="1906" y="311170"/>
                                  <a:ext cx="6116193" cy="3212795"/>
                                </a:xfrm>
                                <a:custGeom>
                                  <a:avLst/>
                                  <a:gdLst/>
                                  <a:ahLst/>
                                  <a:cxnLst/>
                                  <a:rect l="0" t="0" r="0" b="0"/>
                                  <a:pathLst>
                                    <a:path w="6116193" h="3212795">
                                      <a:moveTo>
                                        <a:pt x="0" y="3212795"/>
                                      </a:moveTo>
                                      <a:lnTo>
                                        <a:pt x="6116193" y="3212795"/>
                                      </a:lnTo>
                                      <a:lnTo>
                                        <a:pt x="6116193" y="0"/>
                                      </a:lnTo>
                                      <a:lnTo>
                                        <a:pt x="0" y="0"/>
                                      </a:lnTo>
                                      <a:close/>
                                    </a:path>
                                  </a:pathLst>
                                </a:custGeom>
                                <a:ln w="3810" cap="flat">
                                  <a:miter lim="100000"/>
                                </a:ln>
                              </wps:spPr>
                              <wps:style>
                                <a:lnRef idx="1">
                                  <a:srgbClr val="009EE3"/>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9225" style="width:481.74pt;height:277.478pt;mso-position-horizontal-relative:char;mso-position-vertical-relative:line" coordsize="61180,35239">
                      <v:rect id="Rectangle 5220" style="position:absolute;width:24657;height:1858;left:0;top:0;" filled="f" stroked="f">
                        <v:textbox inset="0,0,0,0">
                          <w:txbxContent>
                            <w:p>
                              <w:pPr>
                                <w:spacing w:before="0" w:after="160" w:line="259" w:lineRule="auto"/>
                              </w:pPr>
                              <w:r>
                                <w:rPr>
                                  <w:rFonts w:cs="Times New Roman" w:hAnsi="Times New Roman" w:eastAsia="Times New Roman" w:ascii="Times New Roman"/>
                                  <w:b w:val="1"/>
                                  <w:color w:val="0abaee"/>
                                  <w:w w:val="112"/>
                                </w:rPr>
                                <w:t xml:space="preserve">Алгоритмы</w:t>
                              </w:r>
                              <w:r>
                                <w:rPr>
                                  <w:rFonts w:cs="Times New Roman" w:hAnsi="Times New Roman" w:eastAsia="Times New Roman" w:ascii="Times New Roman"/>
                                  <w:b w:val="1"/>
                                  <w:color w:val="0abaee"/>
                                  <w:spacing w:val="26"/>
                                  <w:w w:val="112"/>
                                </w:rPr>
                                <w:t xml:space="preserve"> </w:t>
                              </w:r>
                              <w:r>
                                <w:rPr>
                                  <w:rFonts w:cs="Times New Roman" w:hAnsi="Times New Roman" w:eastAsia="Times New Roman" w:ascii="Times New Roman"/>
                                  <w:b w:val="1"/>
                                  <w:color w:val="0abaee"/>
                                  <w:w w:val="112"/>
                                </w:rPr>
                                <w:t xml:space="preserve">действий</w:t>
                              </w:r>
                              <w:r>
                                <w:rPr>
                                  <w:rFonts w:cs="Times New Roman" w:hAnsi="Times New Roman" w:eastAsia="Times New Roman" w:ascii="Times New Roman"/>
                                  <w:b w:val="1"/>
                                  <w:color w:val="0abaee"/>
                                  <w:spacing w:val="26"/>
                                  <w:w w:val="112"/>
                                </w:rPr>
                                <w:t xml:space="preserve"> </w:t>
                              </w:r>
                              <w:r>
                                <w:rPr>
                                  <w:rFonts w:cs="Times New Roman" w:hAnsi="Times New Roman" w:eastAsia="Times New Roman" w:ascii="Times New Roman"/>
                                  <w:b w:val="1"/>
                                  <w:color w:val="0abaee"/>
                                  <w:w w:val="112"/>
                                </w:rPr>
                                <w:t xml:space="preserve">врача</w:t>
                              </w:r>
                            </w:p>
                          </w:txbxContent>
                        </v:textbox>
                      </v:rect>
                      <v:shape id="Picture 5222" style="position:absolute;width:45025;height:30563;left:8087;top:3893;" filled="f">
                        <v:imagedata r:id="rId27"/>
                      </v:shape>
                      <v:shape id="Shape 5223" style="position:absolute;width:61161;height:32127;left:19;top:3111;" coordsize="6116193,3212795" path="m0,3212795l6116193,3212795l6116193,0l0,0x">
                        <v:stroke weight="0.3pt" endcap="flat" joinstyle="miter" miterlimit="4" on="true" color="#009ee3"/>
                        <v:fill on="false" color="#000000" opacity="0"/>
                      </v:shape>
                    </v:group>
                  </w:pict>
                </mc:Fallback>
              </mc:AlternateContent>
            </w:r>
          </w:p>
        </w:tc>
      </w:tr>
    </w:tbl>
    <w:p w:rsidR="006F5A4C" w:rsidRDefault="00730F7D">
      <w:pPr>
        <w:spacing w:after="3" w:line="241" w:lineRule="auto"/>
        <w:ind w:left="295" w:right="55" w:firstLine="1"/>
        <w:jc w:val="both"/>
      </w:pPr>
      <w:r>
        <w:rPr>
          <w:rFonts w:ascii="Times New Roman" w:eastAsia="Times New Roman" w:hAnsi="Times New Roman" w:cs="Times New Roman"/>
          <w:sz w:val="16"/>
        </w:rPr>
        <w:t>DOI: 10.1002/14651858.CD003243.pub2</w:t>
      </w:r>
      <w:r>
        <w:br w:type="page"/>
      </w:r>
    </w:p>
    <w:p w:rsidR="006F5A4C" w:rsidRDefault="00730F7D">
      <w:pPr>
        <w:spacing w:after="53" w:line="255" w:lineRule="auto"/>
        <w:ind w:left="291" w:right="130"/>
      </w:pPr>
      <w:r>
        <w:rPr>
          <w:noProof/>
        </w:rPr>
        <mc:AlternateContent>
          <mc:Choice Requires="wpg">
            <w:drawing>
              <wp:anchor distT="0" distB="0" distL="114300" distR="114300" simplePos="0" relativeHeight="251659264" behindDoc="0" locked="0" layoutInCell="1" allowOverlap="1">
                <wp:simplePos x="0" y="0"/>
                <wp:positionH relativeFrom="margin">
                  <wp:posOffset>11127</wp:posOffset>
                </wp:positionH>
                <wp:positionV relativeFrom="paragraph">
                  <wp:posOffset>-3624819</wp:posOffset>
                </wp:positionV>
                <wp:extent cx="6116193" cy="3270390"/>
                <wp:effectExtent l="0" t="0" r="0" b="0"/>
                <wp:wrapTopAndBottom/>
                <wp:docPr id="52737" name="Group 52737"/>
                <wp:cNvGraphicFramePr/>
                <a:graphic xmlns:a="http://schemas.openxmlformats.org/drawingml/2006/main">
                  <a:graphicData uri="http://schemas.microsoft.com/office/word/2010/wordprocessingGroup">
                    <wpg:wgp>
                      <wpg:cNvGrpSpPr/>
                      <wpg:grpSpPr>
                        <a:xfrm>
                          <a:off x="0" y="0"/>
                          <a:ext cx="6116193" cy="3270390"/>
                          <a:chOff x="0" y="0"/>
                          <a:chExt cx="6116193" cy="3270390"/>
                        </a:xfrm>
                      </wpg:grpSpPr>
                      <pic:pic xmlns:pic="http://schemas.openxmlformats.org/drawingml/2006/picture">
                        <pic:nvPicPr>
                          <pic:cNvPr id="5423" name="Picture 5423"/>
                          <pic:cNvPicPr/>
                        </pic:nvPicPr>
                        <pic:blipFill>
                          <a:blip r:embed="rId28"/>
                          <a:stretch>
                            <a:fillRect/>
                          </a:stretch>
                        </pic:blipFill>
                        <pic:spPr>
                          <a:xfrm>
                            <a:off x="202094" y="120807"/>
                            <a:ext cx="5712000" cy="3028802"/>
                          </a:xfrm>
                          <a:prstGeom prst="rect">
                            <a:avLst/>
                          </a:prstGeom>
                        </pic:spPr>
                      </pic:pic>
                      <wps:wsp>
                        <wps:cNvPr id="5424" name="Shape 5424"/>
                        <wps:cNvSpPr/>
                        <wps:spPr>
                          <a:xfrm>
                            <a:off x="0" y="0"/>
                            <a:ext cx="6116193" cy="3270390"/>
                          </a:xfrm>
                          <a:custGeom>
                            <a:avLst/>
                            <a:gdLst/>
                            <a:ahLst/>
                            <a:cxnLst/>
                            <a:rect l="0" t="0" r="0" b="0"/>
                            <a:pathLst>
                              <a:path w="6116193" h="3270390">
                                <a:moveTo>
                                  <a:pt x="0" y="3270390"/>
                                </a:moveTo>
                                <a:lnTo>
                                  <a:pt x="6116193" y="3270390"/>
                                </a:lnTo>
                                <a:lnTo>
                                  <a:pt x="6116193" y="0"/>
                                </a:lnTo>
                                <a:lnTo>
                                  <a:pt x="0" y="0"/>
                                </a:lnTo>
                                <a:close/>
                              </a:path>
                            </a:pathLst>
                          </a:custGeom>
                          <a:ln w="3810" cap="flat">
                            <a:miter lim="100000"/>
                          </a:ln>
                        </wps:spPr>
                        <wps:style>
                          <a:lnRef idx="1">
                            <a:srgbClr val="009EE3"/>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2737" style="width:481.59pt;height:257.511pt;position:absolute;mso-position-horizontal-relative:margin;mso-position-horizontal:absolute;margin-left:0.876141pt;mso-position-vertical-relative:text;margin-top:-285.419pt;" coordsize="61161,32703">
                <v:shape id="Picture 5423" style="position:absolute;width:57120;height:30288;left:2020;top:1208;" filled="f">
                  <v:imagedata r:id="rId29"/>
                </v:shape>
                <v:shape id="Shape 5424" style="position:absolute;width:61161;height:32703;left:0;top:0;" coordsize="6116193,3270390" path="m0,3270390l6116193,3270390l6116193,0l0,0x">
                  <v:stroke weight="0.3pt" endcap="flat" joinstyle="miter" miterlimit="4" on="true" color="#009ee3"/>
                  <v:fill on="false" color="#000000" opacity="0"/>
                </v:shape>
                <w10:wrap type="topAndBottom"/>
              </v:group>
            </w:pict>
          </mc:Fallback>
        </mc:AlternateContent>
      </w:r>
      <w:r>
        <w:rPr>
          <w:rFonts w:ascii="Times New Roman" w:eastAsia="Times New Roman" w:hAnsi="Times New Roman" w:cs="Times New Roman"/>
          <w:b/>
          <w:color w:val="009EE3"/>
          <w:sz w:val="19"/>
        </w:rPr>
        <w:t>Сведения об авторах</w:t>
      </w:r>
    </w:p>
    <w:p w:rsidR="006F5A4C" w:rsidRDefault="00730F7D">
      <w:pPr>
        <w:spacing w:after="3" w:line="241" w:lineRule="auto"/>
        <w:ind w:left="10" w:right="55" w:firstLine="1"/>
        <w:jc w:val="both"/>
      </w:pPr>
      <w:r>
        <w:rPr>
          <w:rFonts w:ascii="Times New Roman" w:eastAsia="Times New Roman" w:hAnsi="Times New Roman" w:cs="Times New Roman"/>
          <w:b/>
          <w:sz w:val="16"/>
        </w:rPr>
        <w:t>Ивашкин Владимир Трофимович</w:t>
      </w:r>
      <w:r>
        <w:rPr>
          <w:rFonts w:ascii="Times New Roman" w:eastAsia="Times New Roman" w:hAnsi="Times New Roman" w:cs="Times New Roman"/>
          <w:sz w:val="16"/>
        </w:rPr>
        <w:t xml:space="preserve"> — доктор медицинских наук, профессор, академик РАН, заведующий кафедрой пропедевтики внутренних болезней, гастроэнтерологии и гепатологии, ФГАОУ ВО «Первый Московский гос</w:t>
      </w:r>
      <w:r>
        <w:rPr>
          <w:rFonts w:ascii="Times New Roman" w:eastAsia="Times New Roman" w:hAnsi="Times New Roman" w:cs="Times New Roman"/>
          <w:sz w:val="16"/>
        </w:rPr>
        <w:t>ударственный медицинский университет им. И.М. Сеченова» Министерства здравоохранения Российской Федерации (Сеченовский Университет); главный внештатный специалист гастроэнтеролог МЗ РФ; президент Российского общества по изучению печени (РОПИП).</w:t>
      </w:r>
    </w:p>
    <w:p w:rsidR="006F5A4C" w:rsidRDefault="00730F7D">
      <w:pPr>
        <w:spacing w:after="3" w:line="241" w:lineRule="auto"/>
        <w:ind w:left="10" w:right="55" w:firstLine="1"/>
        <w:jc w:val="both"/>
      </w:pPr>
      <w:r>
        <w:rPr>
          <w:rFonts w:ascii="Times New Roman" w:eastAsia="Times New Roman" w:hAnsi="Times New Roman" w:cs="Times New Roman"/>
          <w:sz w:val="16"/>
        </w:rPr>
        <w:t>Контактная информация: ivashkin_v_t@staff.sechenov.ru; 119048, г. Москва, ул. Трубецкая, 8, стр. 2.</w:t>
      </w:r>
    </w:p>
    <w:p w:rsidR="006F5A4C" w:rsidRDefault="00730F7D">
      <w:pPr>
        <w:spacing w:after="213" w:line="241" w:lineRule="auto"/>
        <w:ind w:left="10" w:right="55" w:firstLine="1"/>
        <w:jc w:val="both"/>
      </w:pPr>
      <w:r>
        <w:rPr>
          <w:rFonts w:ascii="Times New Roman" w:eastAsia="Times New Roman" w:hAnsi="Times New Roman" w:cs="Times New Roman"/>
          <w:sz w:val="16"/>
        </w:rPr>
        <w:t>ORCID: https://orcid.org/0000-0002-6815-6015</w:t>
      </w:r>
    </w:p>
    <w:p w:rsidR="006F5A4C" w:rsidRDefault="00730F7D">
      <w:pPr>
        <w:spacing w:after="3" w:line="241" w:lineRule="auto"/>
        <w:ind w:left="10" w:right="55" w:firstLine="1"/>
        <w:jc w:val="both"/>
      </w:pPr>
      <w:r>
        <w:rPr>
          <w:rFonts w:ascii="Times New Roman" w:eastAsia="Times New Roman" w:hAnsi="Times New Roman" w:cs="Times New Roman"/>
          <w:b/>
          <w:sz w:val="16"/>
        </w:rPr>
        <w:t>Трухманов Александр Сергеевич</w:t>
      </w:r>
      <w:r>
        <w:rPr>
          <w:rFonts w:ascii="Times New Roman" w:eastAsia="Times New Roman" w:hAnsi="Times New Roman" w:cs="Times New Roman"/>
          <w:sz w:val="16"/>
        </w:rPr>
        <w:t xml:space="preserve"> — доктор медицинских наук, профессор кафедры пропедевтики внутренних болезней, га</w:t>
      </w:r>
      <w:r>
        <w:rPr>
          <w:rFonts w:ascii="Times New Roman" w:eastAsia="Times New Roman" w:hAnsi="Times New Roman" w:cs="Times New Roman"/>
          <w:sz w:val="16"/>
        </w:rPr>
        <w:t>строэнтерологии и гепатологии, ФГАОУ ВО «Первый Московский государственный медицинский университет им. И.М. Сеченова» Министерства здравоохранения Российской Федерации (Сеченовский Университет). Контактная информация: trukhmanov_a_s@staff.sechenov.ru; 1194</w:t>
      </w:r>
      <w:r>
        <w:rPr>
          <w:rFonts w:ascii="Times New Roman" w:eastAsia="Times New Roman" w:hAnsi="Times New Roman" w:cs="Times New Roman"/>
          <w:sz w:val="16"/>
        </w:rPr>
        <w:t>35, г. Москва, ул. Погодинская, 1, стр. 1.</w:t>
      </w:r>
    </w:p>
    <w:p w:rsidR="006F5A4C" w:rsidRDefault="00730F7D">
      <w:pPr>
        <w:spacing w:after="211" w:line="241" w:lineRule="auto"/>
        <w:ind w:left="10" w:right="55" w:firstLine="1"/>
        <w:jc w:val="both"/>
      </w:pPr>
      <w:r>
        <w:rPr>
          <w:rFonts w:ascii="Times New Roman" w:eastAsia="Times New Roman" w:hAnsi="Times New Roman" w:cs="Times New Roman"/>
          <w:sz w:val="16"/>
        </w:rPr>
        <w:t>ORCID: https://orcid.org/0000-0003-3362-2968</w:t>
      </w:r>
    </w:p>
    <w:p w:rsidR="006F5A4C" w:rsidRDefault="00730F7D">
      <w:pPr>
        <w:spacing w:after="3" w:line="241" w:lineRule="auto"/>
        <w:ind w:left="10" w:right="55" w:firstLine="1"/>
        <w:jc w:val="both"/>
      </w:pPr>
      <w:r>
        <w:rPr>
          <w:rFonts w:ascii="Times New Roman" w:eastAsia="Times New Roman" w:hAnsi="Times New Roman" w:cs="Times New Roman"/>
          <w:b/>
          <w:sz w:val="16"/>
        </w:rPr>
        <w:t xml:space="preserve">Маев Игорь Вениаминович </w:t>
      </w:r>
      <w:r>
        <w:rPr>
          <w:rFonts w:ascii="Times New Roman" w:eastAsia="Times New Roman" w:hAnsi="Times New Roman" w:cs="Times New Roman"/>
          <w:sz w:val="16"/>
        </w:rPr>
        <w:t>— доктор медицинских наук, профессор, академик РАН, заведующий кафедрой пропедевтики внутренних болезней и гастроэнтерологии, ФГБОУ ВО «Российск</w:t>
      </w:r>
      <w:r>
        <w:rPr>
          <w:rFonts w:ascii="Times New Roman" w:eastAsia="Times New Roman" w:hAnsi="Times New Roman" w:cs="Times New Roman"/>
          <w:sz w:val="16"/>
        </w:rPr>
        <w:t>ий университет медицины». Контактная информация: igormaev@rambler.ru; 127473, г. Москва, ул. Делегатская, 20, стр. 1.</w:t>
      </w:r>
    </w:p>
    <w:p w:rsidR="006F5A4C" w:rsidRDefault="00730F7D">
      <w:pPr>
        <w:spacing w:after="212" w:line="241" w:lineRule="auto"/>
        <w:ind w:left="10" w:right="55" w:firstLine="1"/>
        <w:jc w:val="both"/>
      </w:pPr>
      <w:r>
        <w:rPr>
          <w:rFonts w:ascii="Times New Roman" w:eastAsia="Times New Roman" w:hAnsi="Times New Roman" w:cs="Times New Roman"/>
          <w:sz w:val="16"/>
        </w:rPr>
        <w:t>ORCID: https://orcid.org/0000-0001-6114-564X</w:t>
      </w:r>
    </w:p>
    <w:p w:rsidR="006F5A4C" w:rsidRDefault="00730F7D">
      <w:pPr>
        <w:spacing w:after="3" w:line="241" w:lineRule="auto"/>
        <w:ind w:left="10" w:right="55" w:firstLine="1"/>
        <w:jc w:val="both"/>
      </w:pPr>
      <w:r>
        <w:rPr>
          <w:rFonts w:ascii="Times New Roman" w:eastAsia="Times New Roman" w:hAnsi="Times New Roman" w:cs="Times New Roman"/>
          <w:b/>
          <w:sz w:val="16"/>
        </w:rPr>
        <w:t>Драпкина Оксана Михайловна</w:t>
      </w:r>
      <w:r>
        <w:rPr>
          <w:rFonts w:ascii="Times New Roman" w:eastAsia="Times New Roman" w:hAnsi="Times New Roman" w:cs="Times New Roman"/>
          <w:sz w:val="16"/>
        </w:rPr>
        <w:t xml:space="preserve"> — доктор медицинских наук, профессор, академик РАН, директор, ФГБУ</w:t>
      </w:r>
      <w:r>
        <w:rPr>
          <w:rFonts w:ascii="Times New Roman" w:eastAsia="Times New Roman" w:hAnsi="Times New Roman" w:cs="Times New Roman"/>
          <w:sz w:val="16"/>
        </w:rPr>
        <w:t xml:space="preserve"> «Национальный медицинский исследовательский центр терапии и профилактической медицины» Министерства здравоохранения Российской Федерации; главный внештатный специалист по терапии и общемедицинской практике Минздрава России.</w:t>
      </w:r>
    </w:p>
    <w:p w:rsidR="006F5A4C" w:rsidRDefault="00730F7D">
      <w:pPr>
        <w:spacing w:after="3" w:line="241" w:lineRule="auto"/>
        <w:ind w:left="10" w:right="55" w:firstLine="1"/>
        <w:jc w:val="both"/>
      </w:pPr>
      <w:r>
        <w:rPr>
          <w:rFonts w:ascii="Times New Roman" w:eastAsia="Times New Roman" w:hAnsi="Times New Roman" w:cs="Times New Roman"/>
          <w:sz w:val="16"/>
        </w:rPr>
        <w:t>Контактная информация: drapkina</w:t>
      </w:r>
      <w:r>
        <w:rPr>
          <w:rFonts w:ascii="Times New Roman" w:eastAsia="Times New Roman" w:hAnsi="Times New Roman" w:cs="Times New Roman"/>
          <w:sz w:val="16"/>
        </w:rPr>
        <w:t>@bk.ru;</w:t>
      </w:r>
    </w:p>
    <w:p w:rsidR="006F5A4C" w:rsidRDefault="00730F7D">
      <w:pPr>
        <w:spacing w:after="3" w:line="241" w:lineRule="auto"/>
        <w:ind w:left="10" w:right="55" w:firstLine="1"/>
        <w:jc w:val="both"/>
      </w:pPr>
      <w:r>
        <w:rPr>
          <w:rFonts w:ascii="Times New Roman" w:eastAsia="Times New Roman" w:hAnsi="Times New Roman" w:cs="Times New Roman"/>
          <w:sz w:val="16"/>
        </w:rPr>
        <w:t>101990, г. Москва, Петроверигский пер., 10, стр. 3.</w:t>
      </w:r>
    </w:p>
    <w:p w:rsidR="006F5A4C" w:rsidRDefault="00730F7D">
      <w:pPr>
        <w:spacing w:after="3" w:line="241" w:lineRule="auto"/>
        <w:ind w:left="10" w:right="55" w:firstLine="1"/>
        <w:jc w:val="both"/>
      </w:pPr>
      <w:r>
        <w:rPr>
          <w:rFonts w:ascii="Times New Roman" w:eastAsia="Times New Roman" w:hAnsi="Times New Roman" w:cs="Times New Roman"/>
          <w:sz w:val="16"/>
        </w:rPr>
        <w:t>ORCID: https://orcid.org/0000-0002-4453-8430</w:t>
      </w:r>
    </w:p>
    <w:p w:rsidR="006F5A4C" w:rsidRDefault="00730F7D">
      <w:pPr>
        <w:spacing w:after="24" w:line="255" w:lineRule="auto"/>
        <w:ind w:left="291" w:right="130"/>
      </w:pPr>
      <w:r>
        <w:rPr>
          <w:rFonts w:ascii="Times New Roman" w:eastAsia="Times New Roman" w:hAnsi="Times New Roman" w:cs="Times New Roman"/>
          <w:b/>
          <w:color w:val="009EE3"/>
          <w:sz w:val="19"/>
        </w:rPr>
        <w:t>Information about the authors</w:t>
      </w:r>
    </w:p>
    <w:p w:rsidR="006F5A4C" w:rsidRDefault="00730F7D">
      <w:pPr>
        <w:spacing w:after="3" w:line="241" w:lineRule="auto"/>
        <w:ind w:left="10" w:right="55" w:firstLine="1"/>
        <w:jc w:val="both"/>
      </w:pPr>
      <w:r>
        <w:rPr>
          <w:rFonts w:ascii="Times New Roman" w:eastAsia="Times New Roman" w:hAnsi="Times New Roman" w:cs="Times New Roman"/>
          <w:b/>
          <w:sz w:val="16"/>
        </w:rPr>
        <w:t>Vladimir T. Ivashkin</w:t>
      </w:r>
      <w:r>
        <w:rPr>
          <w:rFonts w:ascii="Times New Roman" w:eastAsia="Times New Roman" w:hAnsi="Times New Roman" w:cs="Times New Roman"/>
          <w:sz w:val="16"/>
        </w:rPr>
        <w:t xml:space="preserve"> — Dr. Sci. (Med.), Professor, Academician of RAS, Head of the Department of Propaedeutics of Interna</w:t>
      </w:r>
      <w:r>
        <w:rPr>
          <w:rFonts w:ascii="Times New Roman" w:eastAsia="Times New Roman" w:hAnsi="Times New Roman" w:cs="Times New Roman"/>
          <w:sz w:val="16"/>
        </w:rPr>
        <w:t>l Diseases, Gastroenterology and Hepatology, I.M. Sechenov First Moscow State Medical University (Sechenov University); Chief Freelance Gastroenterologist of the Russian Ministry of Health; President of the Russian Society for the Study of the Liver. Conta</w:t>
      </w:r>
      <w:r>
        <w:rPr>
          <w:rFonts w:ascii="Times New Roman" w:eastAsia="Times New Roman" w:hAnsi="Times New Roman" w:cs="Times New Roman"/>
          <w:sz w:val="16"/>
        </w:rPr>
        <w:t>ct information: ivashkin_v_t@staff.sechenov.ru; 19435, Moscow, Pogodinskaya str., 1, build. 1.</w:t>
      </w:r>
    </w:p>
    <w:p w:rsidR="006F5A4C" w:rsidRDefault="00730F7D">
      <w:pPr>
        <w:spacing w:after="785" w:line="241" w:lineRule="auto"/>
        <w:ind w:left="10" w:right="55" w:firstLine="1"/>
        <w:jc w:val="both"/>
      </w:pPr>
      <w:r>
        <w:rPr>
          <w:rFonts w:ascii="Times New Roman" w:eastAsia="Times New Roman" w:hAnsi="Times New Roman" w:cs="Times New Roman"/>
          <w:sz w:val="16"/>
        </w:rPr>
        <w:t>ORCID: https://orcid.org/0000-0002-6815-6015</w:t>
      </w:r>
    </w:p>
    <w:p w:rsidR="006F5A4C" w:rsidRDefault="00730F7D">
      <w:pPr>
        <w:spacing w:after="3" w:line="241" w:lineRule="auto"/>
        <w:ind w:left="10" w:right="55" w:firstLine="1"/>
        <w:jc w:val="both"/>
      </w:pPr>
      <w:r>
        <w:rPr>
          <w:rFonts w:ascii="Times New Roman" w:eastAsia="Times New Roman" w:hAnsi="Times New Roman" w:cs="Times New Roman"/>
          <w:b/>
          <w:sz w:val="16"/>
        </w:rPr>
        <w:t xml:space="preserve">Alexander S. Trukhmanov </w:t>
      </w:r>
      <w:r>
        <w:rPr>
          <w:rFonts w:ascii="Times New Roman" w:eastAsia="Times New Roman" w:hAnsi="Times New Roman" w:cs="Times New Roman"/>
          <w:sz w:val="16"/>
        </w:rPr>
        <w:t>— Dr. Sci. (Med.), Professor at the De- partment of Internal Disease Propaedeutics, Gastroen</w:t>
      </w:r>
      <w:r>
        <w:rPr>
          <w:rFonts w:ascii="Times New Roman" w:eastAsia="Times New Roman" w:hAnsi="Times New Roman" w:cs="Times New Roman"/>
          <w:sz w:val="16"/>
        </w:rPr>
        <w:t>terology and Hepatology, I.M. Sechenov First Moscow State Medical University (Sechenov University).</w:t>
      </w:r>
    </w:p>
    <w:p w:rsidR="006F5A4C" w:rsidRDefault="00730F7D">
      <w:pPr>
        <w:spacing w:after="3" w:line="241" w:lineRule="auto"/>
        <w:ind w:left="10" w:right="55" w:firstLine="1"/>
        <w:jc w:val="both"/>
      </w:pPr>
      <w:r>
        <w:rPr>
          <w:rFonts w:ascii="Times New Roman" w:eastAsia="Times New Roman" w:hAnsi="Times New Roman" w:cs="Times New Roman"/>
          <w:sz w:val="16"/>
        </w:rPr>
        <w:t>Contact information: alexander.trukhmanov@gmail.com; 119435, Moscow, Pogodinskaya str., 1, build. 1.</w:t>
      </w:r>
    </w:p>
    <w:p w:rsidR="006F5A4C" w:rsidRDefault="00730F7D">
      <w:pPr>
        <w:spacing w:after="587" w:line="241" w:lineRule="auto"/>
        <w:ind w:left="10" w:right="55" w:firstLine="1"/>
        <w:jc w:val="both"/>
      </w:pPr>
      <w:r>
        <w:rPr>
          <w:rFonts w:ascii="Times New Roman" w:eastAsia="Times New Roman" w:hAnsi="Times New Roman" w:cs="Times New Roman"/>
          <w:sz w:val="16"/>
        </w:rPr>
        <w:t>ORCID: https://orcid.org/0000-0003-3362-2968</w:t>
      </w:r>
    </w:p>
    <w:p w:rsidR="006F5A4C" w:rsidRDefault="00730F7D">
      <w:pPr>
        <w:spacing w:after="3" w:line="241" w:lineRule="auto"/>
        <w:ind w:left="10" w:right="55" w:firstLine="1"/>
        <w:jc w:val="both"/>
      </w:pPr>
      <w:r>
        <w:rPr>
          <w:rFonts w:ascii="Times New Roman" w:eastAsia="Times New Roman" w:hAnsi="Times New Roman" w:cs="Times New Roman"/>
          <w:b/>
          <w:sz w:val="16"/>
        </w:rPr>
        <w:t xml:space="preserve">Igor V. Maev </w:t>
      </w:r>
      <w:r>
        <w:rPr>
          <w:rFonts w:ascii="Times New Roman" w:eastAsia="Times New Roman" w:hAnsi="Times New Roman" w:cs="Times New Roman"/>
          <w:sz w:val="16"/>
        </w:rPr>
        <w:t>— Dr. Sci. (Med.), Professor, Academician of RAS, Head of the Department of Internal Disease Propaedeutics and Gastroenterology, Russian University of Medicine.</w:t>
      </w:r>
    </w:p>
    <w:p w:rsidR="006F5A4C" w:rsidRDefault="00730F7D">
      <w:pPr>
        <w:spacing w:after="3" w:line="241" w:lineRule="auto"/>
        <w:ind w:left="10" w:right="997" w:firstLine="1"/>
        <w:jc w:val="both"/>
      </w:pPr>
      <w:r>
        <w:rPr>
          <w:rFonts w:ascii="Times New Roman" w:eastAsia="Times New Roman" w:hAnsi="Times New Roman" w:cs="Times New Roman"/>
          <w:sz w:val="16"/>
        </w:rPr>
        <w:t>Contact information: igormaev@rambler.ru; 127473, Moscow, Delegatskaya str., 20, b</w:t>
      </w:r>
      <w:r>
        <w:rPr>
          <w:rFonts w:ascii="Times New Roman" w:eastAsia="Times New Roman" w:hAnsi="Times New Roman" w:cs="Times New Roman"/>
          <w:sz w:val="16"/>
        </w:rPr>
        <w:t>uild. 1.</w:t>
      </w:r>
    </w:p>
    <w:p w:rsidR="006F5A4C" w:rsidRDefault="00730F7D">
      <w:pPr>
        <w:spacing w:after="398" w:line="241" w:lineRule="auto"/>
        <w:ind w:left="10" w:right="55" w:firstLine="1"/>
        <w:jc w:val="both"/>
      </w:pPr>
      <w:r>
        <w:rPr>
          <w:rFonts w:ascii="Times New Roman" w:eastAsia="Times New Roman" w:hAnsi="Times New Roman" w:cs="Times New Roman"/>
          <w:sz w:val="16"/>
        </w:rPr>
        <w:t>ORCID: https://orcid.org/0000-0001-6114-564X</w:t>
      </w:r>
    </w:p>
    <w:p w:rsidR="006F5A4C" w:rsidRDefault="00730F7D">
      <w:pPr>
        <w:spacing w:after="3" w:line="241" w:lineRule="auto"/>
        <w:ind w:left="10" w:right="55" w:firstLine="1"/>
        <w:jc w:val="both"/>
      </w:pPr>
      <w:r>
        <w:rPr>
          <w:rFonts w:ascii="Times New Roman" w:eastAsia="Times New Roman" w:hAnsi="Times New Roman" w:cs="Times New Roman"/>
          <w:b/>
          <w:sz w:val="16"/>
        </w:rPr>
        <w:t>Oksana M. Drapkina</w:t>
      </w:r>
      <w:r>
        <w:rPr>
          <w:rFonts w:ascii="Times New Roman" w:eastAsia="Times New Roman" w:hAnsi="Times New Roman" w:cs="Times New Roman"/>
          <w:sz w:val="16"/>
        </w:rPr>
        <w:t xml:space="preserve"> — Dr. Sci. (Med.), Professor, Academician of RAS, Director, National Medical Research Center for Therapy and Preventive Medicine; Chief Freelance Specialist in Therapy and General Med</w:t>
      </w:r>
      <w:r>
        <w:rPr>
          <w:rFonts w:ascii="Times New Roman" w:eastAsia="Times New Roman" w:hAnsi="Times New Roman" w:cs="Times New Roman"/>
          <w:sz w:val="16"/>
        </w:rPr>
        <w:t>ical Practice of the Ministry of Health of the Russian Federation.</w:t>
      </w:r>
    </w:p>
    <w:p w:rsidR="006F5A4C" w:rsidRDefault="00730F7D">
      <w:pPr>
        <w:spacing w:after="3" w:line="241" w:lineRule="auto"/>
        <w:ind w:left="10" w:right="1092" w:firstLine="1"/>
        <w:jc w:val="both"/>
      </w:pPr>
      <w:r>
        <w:rPr>
          <w:rFonts w:ascii="Times New Roman" w:eastAsia="Times New Roman" w:hAnsi="Times New Roman" w:cs="Times New Roman"/>
          <w:sz w:val="16"/>
        </w:rPr>
        <w:t>Contact information: drapkina@bk.ru; 101990, Moscow, Petroverigsky lane, 10, build. 3.</w:t>
      </w:r>
    </w:p>
    <w:p w:rsidR="006F5A4C" w:rsidRDefault="00730F7D">
      <w:pPr>
        <w:spacing w:after="3" w:line="241" w:lineRule="auto"/>
        <w:ind w:left="10" w:right="55" w:firstLine="1"/>
        <w:jc w:val="both"/>
      </w:pPr>
      <w:r>
        <w:rPr>
          <w:rFonts w:ascii="Times New Roman" w:eastAsia="Times New Roman" w:hAnsi="Times New Roman" w:cs="Times New Roman"/>
          <w:sz w:val="16"/>
        </w:rPr>
        <w:t>ORCID: https://orcid.org/0000-0002-4453-8430</w:t>
      </w:r>
    </w:p>
    <w:p w:rsidR="006F5A4C" w:rsidRDefault="00730F7D">
      <w:pPr>
        <w:spacing w:after="3" w:line="241" w:lineRule="auto"/>
        <w:ind w:left="10" w:right="55" w:firstLine="1"/>
        <w:jc w:val="both"/>
      </w:pPr>
      <w:r>
        <w:rPr>
          <w:rFonts w:ascii="Times New Roman" w:eastAsia="Times New Roman" w:hAnsi="Times New Roman" w:cs="Times New Roman"/>
          <w:b/>
          <w:sz w:val="16"/>
        </w:rPr>
        <w:t>Ливзан Мария Анатольевна</w:t>
      </w:r>
      <w:r>
        <w:rPr>
          <w:rFonts w:ascii="Times New Roman" w:eastAsia="Times New Roman" w:hAnsi="Times New Roman" w:cs="Times New Roman"/>
          <w:sz w:val="16"/>
        </w:rPr>
        <w:t xml:space="preserve"> — доктор медицинских наук, профе</w:t>
      </w:r>
      <w:r>
        <w:rPr>
          <w:rFonts w:ascii="Times New Roman" w:eastAsia="Times New Roman" w:hAnsi="Times New Roman" w:cs="Times New Roman"/>
          <w:sz w:val="16"/>
        </w:rPr>
        <w:t>ссор, член-корреспондент РАН, заведующая кафедрой факультетской терапии и гастроэнтерологии, ректор, ФГБОУ ВО «Омский государственный медицинский университет» Министерства здравоохранения Российской Федерации.</w:t>
      </w:r>
    </w:p>
    <w:p w:rsidR="006F5A4C" w:rsidRDefault="00730F7D">
      <w:pPr>
        <w:spacing w:after="3" w:line="241" w:lineRule="auto"/>
        <w:ind w:left="10" w:right="637" w:firstLine="1"/>
        <w:jc w:val="both"/>
      </w:pPr>
      <w:r>
        <w:rPr>
          <w:rFonts w:ascii="Times New Roman" w:eastAsia="Times New Roman" w:hAnsi="Times New Roman" w:cs="Times New Roman"/>
          <w:sz w:val="16"/>
        </w:rPr>
        <w:t>Контактная информация: mlivzan@yandex.ru; 6440</w:t>
      </w:r>
      <w:r>
        <w:rPr>
          <w:rFonts w:ascii="Times New Roman" w:eastAsia="Times New Roman" w:hAnsi="Times New Roman" w:cs="Times New Roman"/>
          <w:sz w:val="16"/>
        </w:rPr>
        <w:t>99, г. Омск, ул. Ленина, 12.</w:t>
      </w:r>
    </w:p>
    <w:p w:rsidR="006F5A4C" w:rsidRDefault="00730F7D">
      <w:pPr>
        <w:spacing w:after="214" w:line="241" w:lineRule="auto"/>
        <w:ind w:left="10" w:right="55" w:firstLine="1"/>
        <w:jc w:val="both"/>
      </w:pPr>
      <w:r>
        <w:rPr>
          <w:rFonts w:ascii="Times New Roman" w:eastAsia="Times New Roman" w:hAnsi="Times New Roman" w:cs="Times New Roman"/>
          <w:sz w:val="16"/>
        </w:rPr>
        <w:t>ORCID: https://orcid.org/0000-0002-6581-7017</w:t>
      </w:r>
    </w:p>
    <w:p w:rsidR="006F5A4C" w:rsidRDefault="00730F7D">
      <w:pPr>
        <w:spacing w:after="3" w:line="241" w:lineRule="auto"/>
        <w:ind w:left="10" w:right="55" w:firstLine="1"/>
        <w:jc w:val="both"/>
      </w:pPr>
      <w:r>
        <w:rPr>
          <w:rFonts w:ascii="Times New Roman" w:eastAsia="Times New Roman" w:hAnsi="Times New Roman" w:cs="Times New Roman"/>
          <w:b/>
          <w:sz w:val="16"/>
        </w:rPr>
        <w:t>Мартынов Анатолий Иванович</w:t>
      </w:r>
      <w:r>
        <w:rPr>
          <w:rFonts w:ascii="Times New Roman" w:eastAsia="Times New Roman" w:hAnsi="Times New Roman" w:cs="Times New Roman"/>
          <w:sz w:val="16"/>
        </w:rPr>
        <w:t xml:space="preserve"> — доктор медицинских наук, академик РАН, профессор кафедры госпитальной терапии № 1, ФГБОУ ВО «Московский государственный медико-стоматологический универси</w:t>
      </w:r>
      <w:r>
        <w:rPr>
          <w:rFonts w:ascii="Times New Roman" w:eastAsia="Times New Roman" w:hAnsi="Times New Roman" w:cs="Times New Roman"/>
          <w:sz w:val="16"/>
        </w:rPr>
        <w:t>тет им. А.И. Евдокимова» Министерства здравоохранения Российской Федерации.</w:t>
      </w:r>
    </w:p>
    <w:p w:rsidR="006F5A4C" w:rsidRDefault="00730F7D">
      <w:pPr>
        <w:spacing w:after="3" w:line="241" w:lineRule="auto"/>
        <w:ind w:left="10" w:right="392" w:firstLine="1"/>
        <w:jc w:val="both"/>
      </w:pPr>
      <w:r>
        <w:rPr>
          <w:rFonts w:ascii="Times New Roman" w:eastAsia="Times New Roman" w:hAnsi="Times New Roman" w:cs="Times New Roman"/>
          <w:sz w:val="16"/>
        </w:rPr>
        <w:t>Контактная информация: anatmartynov@mail.ru; 127473, г. Москва, ул. Делегатская, 20, стр. 1.</w:t>
      </w:r>
    </w:p>
    <w:p w:rsidR="006F5A4C" w:rsidRDefault="00730F7D">
      <w:pPr>
        <w:spacing w:after="209" w:line="241" w:lineRule="auto"/>
        <w:ind w:left="10" w:right="55" w:firstLine="1"/>
        <w:jc w:val="both"/>
      </w:pPr>
      <w:r>
        <w:rPr>
          <w:rFonts w:ascii="Times New Roman" w:eastAsia="Times New Roman" w:hAnsi="Times New Roman" w:cs="Times New Roman"/>
          <w:sz w:val="16"/>
        </w:rPr>
        <w:t>ORCID: https://orcid.org/0000-0002-0783-488X</w:t>
      </w:r>
    </w:p>
    <w:p w:rsidR="006F5A4C" w:rsidRDefault="00730F7D">
      <w:pPr>
        <w:spacing w:after="3" w:line="241" w:lineRule="auto"/>
        <w:ind w:left="10" w:right="55" w:firstLine="1"/>
        <w:jc w:val="both"/>
      </w:pPr>
      <w:r>
        <w:rPr>
          <w:rFonts w:ascii="Times New Roman" w:eastAsia="Times New Roman" w:hAnsi="Times New Roman" w:cs="Times New Roman"/>
          <w:b/>
          <w:sz w:val="16"/>
        </w:rPr>
        <w:t>Лапина Татьяна Львовна</w:t>
      </w:r>
      <w:r>
        <w:rPr>
          <w:rFonts w:ascii="Times New Roman" w:eastAsia="Times New Roman" w:hAnsi="Times New Roman" w:cs="Times New Roman"/>
          <w:sz w:val="16"/>
        </w:rPr>
        <w:t xml:space="preserve"> — кандидат медицинских наук, доцент кафедры пропедевтики внутренних болезней, гастроэнтерологии и гепатологии, ФГАОУ ВО «Первый Московский государственный медицинский университет им. И.М. Сеченова» Министерства здравоохранения Российской Федерации (Сечено</w:t>
      </w:r>
      <w:r>
        <w:rPr>
          <w:rFonts w:ascii="Times New Roman" w:eastAsia="Times New Roman" w:hAnsi="Times New Roman" w:cs="Times New Roman"/>
          <w:sz w:val="16"/>
        </w:rPr>
        <w:t>вский Университет).</w:t>
      </w:r>
    </w:p>
    <w:p w:rsidR="006F5A4C" w:rsidRDefault="00730F7D">
      <w:pPr>
        <w:spacing w:after="3" w:line="241" w:lineRule="auto"/>
        <w:ind w:left="10" w:right="527" w:firstLine="1"/>
        <w:jc w:val="both"/>
      </w:pPr>
      <w:r>
        <w:rPr>
          <w:rFonts w:ascii="Times New Roman" w:eastAsia="Times New Roman" w:hAnsi="Times New Roman" w:cs="Times New Roman"/>
          <w:sz w:val="16"/>
        </w:rPr>
        <w:t>Контактная информация: tatlapina@gmail.com; 119435, г. Москва, ул. Погодинская, 1, стр. 1.</w:t>
      </w:r>
    </w:p>
    <w:p w:rsidR="006F5A4C" w:rsidRDefault="00730F7D">
      <w:pPr>
        <w:spacing w:after="215" w:line="241" w:lineRule="auto"/>
        <w:ind w:left="10" w:right="55" w:firstLine="1"/>
        <w:jc w:val="both"/>
      </w:pPr>
      <w:r>
        <w:rPr>
          <w:rFonts w:ascii="Times New Roman" w:eastAsia="Times New Roman" w:hAnsi="Times New Roman" w:cs="Times New Roman"/>
          <w:sz w:val="16"/>
        </w:rPr>
        <w:t>ORCID: https://orcid.org/0000-0003-4456-8725</w:t>
      </w:r>
    </w:p>
    <w:p w:rsidR="006F5A4C" w:rsidRDefault="00730F7D">
      <w:pPr>
        <w:spacing w:after="3" w:line="241" w:lineRule="auto"/>
        <w:ind w:left="10" w:right="55" w:firstLine="1"/>
        <w:jc w:val="both"/>
      </w:pPr>
      <w:r>
        <w:rPr>
          <w:rFonts w:ascii="Times New Roman" w:eastAsia="Times New Roman" w:hAnsi="Times New Roman" w:cs="Times New Roman"/>
          <w:b/>
          <w:sz w:val="16"/>
        </w:rPr>
        <w:t>Параскевова Анна Владимировна*</w:t>
      </w:r>
      <w:r>
        <w:rPr>
          <w:rFonts w:ascii="Times New Roman" w:eastAsia="Times New Roman" w:hAnsi="Times New Roman" w:cs="Times New Roman"/>
          <w:sz w:val="16"/>
        </w:rPr>
        <w:t xml:space="preserve"> — </w:t>
      </w:r>
      <w:r>
        <w:rPr>
          <w:rFonts w:ascii="Times New Roman" w:eastAsia="Times New Roman" w:hAnsi="Times New Roman" w:cs="Times New Roman"/>
          <w:sz w:val="16"/>
        </w:rPr>
        <w:t>кандидат медицинских наук, врач отделения функциональной диагностики, Клиника пропедевтики внутренних болезней, гастроэнтерологии и гепатологии им. В.Х. Василенко, ФГАОУ ВО «Первый Московский государственный медицинский университет им. И.М. Сеченова» Минис</w:t>
      </w:r>
      <w:r>
        <w:rPr>
          <w:rFonts w:ascii="Times New Roman" w:eastAsia="Times New Roman" w:hAnsi="Times New Roman" w:cs="Times New Roman"/>
          <w:sz w:val="16"/>
        </w:rPr>
        <w:t>терства здравоохранения Российской Федерации (Сеченовский Университет). Контактная информация: paraskevova_a_v@staff.sechenov.ru; 119435, г. Москва, ул. Погодинская, 1, стр. 1.</w:t>
      </w:r>
    </w:p>
    <w:p w:rsidR="006F5A4C" w:rsidRDefault="00730F7D">
      <w:pPr>
        <w:spacing w:after="211" w:line="241" w:lineRule="auto"/>
        <w:ind w:left="10" w:right="55" w:firstLine="1"/>
        <w:jc w:val="both"/>
      </w:pPr>
      <w:r>
        <w:rPr>
          <w:rFonts w:ascii="Times New Roman" w:eastAsia="Times New Roman" w:hAnsi="Times New Roman" w:cs="Times New Roman"/>
          <w:sz w:val="16"/>
        </w:rPr>
        <w:t>ORCID: https://orcid.org/0000-0002-1662-2352</w:t>
      </w:r>
    </w:p>
    <w:p w:rsidR="006F5A4C" w:rsidRDefault="00730F7D">
      <w:pPr>
        <w:spacing w:after="3" w:line="241" w:lineRule="auto"/>
        <w:ind w:left="10" w:right="55" w:firstLine="1"/>
        <w:jc w:val="both"/>
      </w:pPr>
      <w:r>
        <w:rPr>
          <w:rFonts w:ascii="Times New Roman" w:eastAsia="Times New Roman" w:hAnsi="Times New Roman" w:cs="Times New Roman"/>
          <w:b/>
          <w:sz w:val="16"/>
        </w:rPr>
        <w:t>Андреев Дмитрий Николаевич</w:t>
      </w:r>
      <w:r>
        <w:rPr>
          <w:rFonts w:ascii="Times New Roman" w:eastAsia="Times New Roman" w:hAnsi="Times New Roman" w:cs="Times New Roman"/>
          <w:sz w:val="16"/>
        </w:rPr>
        <w:t xml:space="preserve"> — канди</w:t>
      </w:r>
      <w:r>
        <w:rPr>
          <w:rFonts w:ascii="Times New Roman" w:eastAsia="Times New Roman" w:hAnsi="Times New Roman" w:cs="Times New Roman"/>
          <w:sz w:val="16"/>
        </w:rPr>
        <w:t>дат медицинских наук, доцент кафедры пропедевтики внутренних болезней и гастроэнтерологии, ФГБОУ ВО «Московский государственный медико-стоматологический университет им. А.И. Евдокимова».</w:t>
      </w:r>
    </w:p>
    <w:p w:rsidR="006F5A4C" w:rsidRDefault="00730F7D">
      <w:pPr>
        <w:spacing w:after="3" w:line="241" w:lineRule="auto"/>
        <w:ind w:left="10" w:right="759" w:firstLine="1"/>
        <w:jc w:val="both"/>
      </w:pPr>
      <w:r>
        <w:rPr>
          <w:rFonts w:ascii="Times New Roman" w:eastAsia="Times New Roman" w:hAnsi="Times New Roman" w:cs="Times New Roman"/>
          <w:sz w:val="16"/>
        </w:rPr>
        <w:t>Контактная информация: dna-mit8@mail.ru; 127473, г. Москва, ул. Делег</w:t>
      </w:r>
      <w:r>
        <w:rPr>
          <w:rFonts w:ascii="Times New Roman" w:eastAsia="Times New Roman" w:hAnsi="Times New Roman" w:cs="Times New Roman"/>
          <w:sz w:val="16"/>
        </w:rPr>
        <w:t>атская, 20, стр. 1.</w:t>
      </w:r>
    </w:p>
    <w:p w:rsidR="006F5A4C" w:rsidRDefault="00730F7D">
      <w:pPr>
        <w:spacing w:after="214" w:line="241" w:lineRule="auto"/>
        <w:ind w:left="10" w:right="55" w:firstLine="1"/>
        <w:jc w:val="both"/>
      </w:pPr>
      <w:r>
        <w:rPr>
          <w:rFonts w:ascii="Times New Roman" w:eastAsia="Times New Roman" w:hAnsi="Times New Roman" w:cs="Times New Roman"/>
          <w:sz w:val="16"/>
        </w:rPr>
        <w:t>ORCID: https://orcid.org/0000-0002-4007-7112</w:t>
      </w:r>
    </w:p>
    <w:p w:rsidR="006F5A4C" w:rsidRDefault="00730F7D">
      <w:pPr>
        <w:spacing w:after="3" w:line="241" w:lineRule="auto"/>
        <w:ind w:left="10" w:right="55" w:firstLine="1"/>
        <w:jc w:val="both"/>
      </w:pPr>
      <w:r>
        <w:rPr>
          <w:rFonts w:ascii="Times New Roman" w:eastAsia="Times New Roman" w:hAnsi="Times New Roman" w:cs="Times New Roman"/>
          <w:b/>
          <w:sz w:val="16"/>
        </w:rPr>
        <w:t>Алексеева Ольга Поликарповна</w:t>
      </w:r>
      <w:r>
        <w:rPr>
          <w:rFonts w:ascii="Times New Roman" w:eastAsia="Times New Roman" w:hAnsi="Times New Roman" w:cs="Times New Roman"/>
          <w:sz w:val="16"/>
        </w:rPr>
        <w:t xml:space="preserve"> — доктор медицинских наук, профессор, руководитель гастроэнтерологического центра, ГБУЗ НО «Нижегородская областная клиническая больница им. Н.А. Семашко».</w:t>
      </w:r>
    </w:p>
    <w:p w:rsidR="006F5A4C" w:rsidRDefault="00730F7D">
      <w:pPr>
        <w:spacing w:after="214" w:line="242" w:lineRule="auto"/>
        <w:ind w:left="21" w:right="825" w:hanging="12"/>
      </w:pPr>
      <w:r>
        <w:rPr>
          <w:rFonts w:ascii="Times New Roman" w:eastAsia="Times New Roman" w:hAnsi="Times New Roman" w:cs="Times New Roman"/>
          <w:sz w:val="16"/>
        </w:rPr>
        <w:t>Контактная информация: al_op@mail.ru; 603126, г. Нижний Новгород, ул. Родионова, 190. ORCID: https://orcid.org/0000-0002-1475-6584</w:t>
      </w:r>
    </w:p>
    <w:p w:rsidR="006F5A4C" w:rsidRDefault="00730F7D">
      <w:pPr>
        <w:spacing w:after="3" w:line="241" w:lineRule="auto"/>
        <w:ind w:left="10" w:right="55" w:firstLine="1"/>
        <w:jc w:val="both"/>
      </w:pPr>
      <w:r>
        <w:rPr>
          <w:rFonts w:ascii="Times New Roman" w:eastAsia="Times New Roman" w:hAnsi="Times New Roman" w:cs="Times New Roman"/>
          <w:b/>
          <w:sz w:val="16"/>
        </w:rPr>
        <w:t>Алексеенко Сергей Алексеевич</w:t>
      </w:r>
      <w:r>
        <w:rPr>
          <w:rFonts w:ascii="Times New Roman" w:eastAsia="Times New Roman" w:hAnsi="Times New Roman" w:cs="Times New Roman"/>
          <w:sz w:val="16"/>
        </w:rPr>
        <w:t xml:space="preserve"> — доктор медицинских наук, профессор, заведующий кафедрой госпитальной терапии, ФГБОУ ВО «Дальне</w:t>
      </w:r>
      <w:r>
        <w:rPr>
          <w:rFonts w:ascii="Times New Roman" w:eastAsia="Times New Roman" w:hAnsi="Times New Roman" w:cs="Times New Roman"/>
          <w:sz w:val="16"/>
        </w:rPr>
        <w:t>восточный государственный медицинский университет» Министерства здравоохранения Российской Федерации.</w:t>
      </w:r>
    </w:p>
    <w:p w:rsidR="006F5A4C" w:rsidRDefault="00730F7D">
      <w:pPr>
        <w:spacing w:after="214" w:line="242" w:lineRule="auto"/>
        <w:ind w:left="21" w:right="257" w:hanging="12"/>
      </w:pPr>
      <w:r>
        <w:rPr>
          <w:rFonts w:ascii="Times New Roman" w:eastAsia="Times New Roman" w:hAnsi="Times New Roman" w:cs="Times New Roman"/>
          <w:sz w:val="16"/>
        </w:rPr>
        <w:t>Контактная информация: sa.alexeenko@gmail.com; 680000, г. Хабаровск, ул. Муравьева-Амурского, 35. ORCID: https://orcid.org/0000-0003-1724-9980</w:t>
      </w:r>
    </w:p>
    <w:p w:rsidR="006F5A4C" w:rsidRDefault="00730F7D">
      <w:pPr>
        <w:spacing w:after="3" w:line="314" w:lineRule="auto"/>
        <w:ind w:left="10" w:right="55" w:firstLine="1"/>
        <w:jc w:val="both"/>
      </w:pPr>
      <w:r>
        <w:rPr>
          <w:rFonts w:ascii="Times New Roman" w:eastAsia="Times New Roman" w:hAnsi="Times New Roman" w:cs="Times New Roman"/>
          <w:b/>
          <w:sz w:val="16"/>
        </w:rPr>
        <w:t>Барановский</w:t>
      </w:r>
      <w:r>
        <w:rPr>
          <w:rFonts w:ascii="Times New Roman" w:eastAsia="Times New Roman" w:hAnsi="Times New Roman" w:cs="Times New Roman"/>
          <w:b/>
          <w:sz w:val="16"/>
        </w:rPr>
        <w:t xml:space="preserve"> Андрей Юрьевич </w:t>
      </w:r>
      <w:r>
        <w:rPr>
          <w:rFonts w:ascii="Times New Roman" w:eastAsia="Times New Roman" w:hAnsi="Times New Roman" w:cs="Times New Roman"/>
          <w:sz w:val="16"/>
        </w:rPr>
        <w:t>— доктор медицинских наук, профессор, заведующий кафедрой гастроэнтерологии, гепатологии и диетологии, ФГБОУ ВО «Санкт-Петербургский государственный университет»; главный гастроэнтеролог * Автор, ответственный за переписку / Corresponding a</w:t>
      </w:r>
      <w:r>
        <w:rPr>
          <w:rFonts w:ascii="Times New Roman" w:eastAsia="Times New Roman" w:hAnsi="Times New Roman" w:cs="Times New Roman"/>
          <w:sz w:val="16"/>
        </w:rPr>
        <w:t xml:space="preserve">uthor </w:t>
      </w:r>
      <w:r>
        <w:rPr>
          <w:rFonts w:ascii="Times New Roman" w:eastAsia="Times New Roman" w:hAnsi="Times New Roman" w:cs="Times New Roman"/>
          <w:b/>
          <w:sz w:val="16"/>
        </w:rPr>
        <w:t>Maria A. Livzan</w:t>
      </w:r>
      <w:r>
        <w:rPr>
          <w:rFonts w:ascii="Times New Roman" w:eastAsia="Times New Roman" w:hAnsi="Times New Roman" w:cs="Times New Roman"/>
          <w:sz w:val="16"/>
        </w:rPr>
        <w:t xml:space="preserve"> — Dr. Sci. (Med.), Professor, Corresponding Member of RAS, Head of Faculty Therapy and Gastroenterology Department, Rector, Omsk State Medical University. Contact information: mlivzan@yandex.ru; 644099, Omsk, Lenina str., 12.</w:t>
      </w:r>
    </w:p>
    <w:p w:rsidR="006F5A4C" w:rsidRDefault="00730F7D">
      <w:pPr>
        <w:spacing w:after="783" w:line="241" w:lineRule="auto"/>
        <w:ind w:left="10" w:right="55" w:firstLine="1"/>
        <w:jc w:val="both"/>
      </w:pPr>
      <w:r>
        <w:rPr>
          <w:rFonts w:ascii="Times New Roman" w:eastAsia="Times New Roman" w:hAnsi="Times New Roman" w:cs="Times New Roman"/>
          <w:sz w:val="16"/>
        </w:rPr>
        <w:t>ORCID: h</w:t>
      </w:r>
      <w:r>
        <w:rPr>
          <w:rFonts w:ascii="Times New Roman" w:eastAsia="Times New Roman" w:hAnsi="Times New Roman" w:cs="Times New Roman"/>
          <w:sz w:val="16"/>
        </w:rPr>
        <w:t>ttps://orcid.org/0000-0002-6581-7017</w:t>
      </w:r>
    </w:p>
    <w:p w:rsidR="006F5A4C" w:rsidRDefault="00730F7D">
      <w:pPr>
        <w:spacing w:after="3" w:line="241" w:lineRule="auto"/>
        <w:ind w:left="10" w:right="55" w:firstLine="1"/>
        <w:jc w:val="both"/>
      </w:pPr>
      <w:r>
        <w:rPr>
          <w:rFonts w:ascii="Times New Roman" w:eastAsia="Times New Roman" w:hAnsi="Times New Roman" w:cs="Times New Roman"/>
          <w:b/>
          <w:sz w:val="16"/>
        </w:rPr>
        <w:t xml:space="preserve">Anatoliy I. Martynov </w:t>
      </w:r>
      <w:r>
        <w:rPr>
          <w:rFonts w:ascii="Times New Roman" w:eastAsia="Times New Roman" w:hAnsi="Times New Roman" w:cs="Times New Roman"/>
          <w:sz w:val="16"/>
        </w:rPr>
        <w:t>— Dr. Sci. (Med.), Academician of RAS, Professor of the Department of Hospital Therapy No. 1, A.E. Yevdokimov Moscow State University of Medicine and Dentistry.</w:t>
      </w:r>
    </w:p>
    <w:p w:rsidR="006F5A4C" w:rsidRDefault="00730F7D">
      <w:pPr>
        <w:spacing w:after="3" w:line="241" w:lineRule="auto"/>
        <w:ind w:left="10" w:right="896" w:firstLine="1"/>
        <w:jc w:val="both"/>
      </w:pPr>
      <w:r>
        <w:rPr>
          <w:rFonts w:ascii="Times New Roman" w:eastAsia="Times New Roman" w:hAnsi="Times New Roman" w:cs="Times New Roman"/>
          <w:sz w:val="16"/>
        </w:rPr>
        <w:t>Contact information: anatmartynov@mai</w:t>
      </w:r>
      <w:r>
        <w:rPr>
          <w:rFonts w:ascii="Times New Roman" w:eastAsia="Times New Roman" w:hAnsi="Times New Roman" w:cs="Times New Roman"/>
          <w:sz w:val="16"/>
        </w:rPr>
        <w:t>l.ru; 127473, Moscow, Delegatskaya str., 20, build. 1.</w:t>
      </w:r>
    </w:p>
    <w:p w:rsidR="006F5A4C" w:rsidRDefault="00730F7D">
      <w:pPr>
        <w:spacing w:after="590" w:line="241" w:lineRule="auto"/>
        <w:ind w:left="10" w:right="55" w:firstLine="1"/>
        <w:jc w:val="both"/>
      </w:pPr>
      <w:r>
        <w:rPr>
          <w:rFonts w:ascii="Times New Roman" w:eastAsia="Times New Roman" w:hAnsi="Times New Roman" w:cs="Times New Roman"/>
          <w:sz w:val="16"/>
        </w:rPr>
        <w:t>ORCID: https://orcid.org/0000-0002-0783-488X</w:t>
      </w:r>
    </w:p>
    <w:p w:rsidR="006F5A4C" w:rsidRDefault="00730F7D">
      <w:pPr>
        <w:spacing w:after="3" w:line="241" w:lineRule="auto"/>
        <w:ind w:left="10" w:right="55" w:firstLine="1"/>
        <w:jc w:val="both"/>
      </w:pPr>
      <w:r>
        <w:rPr>
          <w:rFonts w:ascii="Times New Roman" w:eastAsia="Times New Roman" w:hAnsi="Times New Roman" w:cs="Times New Roman"/>
          <w:b/>
          <w:sz w:val="16"/>
        </w:rPr>
        <w:t xml:space="preserve">Tatyana L. Lapina </w:t>
      </w:r>
      <w:r>
        <w:rPr>
          <w:rFonts w:ascii="Times New Roman" w:eastAsia="Times New Roman" w:hAnsi="Times New Roman" w:cs="Times New Roman"/>
          <w:sz w:val="16"/>
        </w:rPr>
        <w:t>— Cand. Sci. (Med.), Associate Professor at the Department of Internal Diseases Propaedeutics, Gastroenterology and Hepatology, I.M. Sechenov First Moscow State Medical University (Sechenov University).</w:t>
      </w:r>
    </w:p>
    <w:p w:rsidR="006F5A4C" w:rsidRDefault="00730F7D">
      <w:pPr>
        <w:spacing w:after="3" w:line="241" w:lineRule="auto"/>
        <w:ind w:left="10" w:right="1027" w:firstLine="1"/>
        <w:jc w:val="both"/>
      </w:pPr>
      <w:r>
        <w:rPr>
          <w:rFonts w:ascii="Times New Roman" w:eastAsia="Times New Roman" w:hAnsi="Times New Roman" w:cs="Times New Roman"/>
          <w:sz w:val="16"/>
        </w:rPr>
        <w:t>Contact information: tatlapina@gmail.com; 119435, Mos</w:t>
      </w:r>
      <w:r>
        <w:rPr>
          <w:rFonts w:ascii="Times New Roman" w:eastAsia="Times New Roman" w:hAnsi="Times New Roman" w:cs="Times New Roman"/>
          <w:sz w:val="16"/>
        </w:rPr>
        <w:t>cow, Pogodinskaya str., 1, build. 1.</w:t>
      </w:r>
    </w:p>
    <w:p w:rsidR="006F5A4C" w:rsidRDefault="00730F7D">
      <w:pPr>
        <w:spacing w:after="591" w:line="241" w:lineRule="auto"/>
        <w:ind w:left="10" w:right="55" w:firstLine="1"/>
        <w:jc w:val="both"/>
      </w:pPr>
      <w:r>
        <w:rPr>
          <w:rFonts w:ascii="Times New Roman" w:eastAsia="Times New Roman" w:hAnsi="Times New Roman" w:cs="Times New Roman"/>
          <w:sz w:val="16"/>
        </w:rPr>
        <w:t>ORCID: https://orcid.org/0000-0003-4456-8725</w:t>
      </w:r>
    </w:p>
    <w:p w:rsidR="006F5A4C" w:rsidRDefault="00730F7D">
      <w:pPr>
        <w:spacing w:after="3" w:line="241" w:lineRule="auto"/>
        <w:ind w:left="10" w:right="55" w:firstLine="1"/>
        <w:jc w:val="both"/>
      </w:pPr>
      <w:r>
        <w:rPr>
          <w:rFonts w:ascii="Times New Roman" w:eastAsia="Times New Roman" w:hAnsi="Times New Roman" w:cs="Times New Roman"/>
          <w:b/>
          <w:sz w:val="16"/>
        </w:rPr>
        <w:t>Anna V. Paraskevova*</w:t>
      </w:r>
      <w:r>
        <w:rPr>
          <w:rFonts w:ascii="Times New Roman" w:eastAsia="Times New Roman" w:hAnsi="Times New Roman" w:cs="Times New Roman"/>
          <w:sz w:val="16"/>
        </w:rPr>
        <w:t xml:space="preserve"> — Cand. Sci. (Med.), Physician at the De- partment of Functional Diagnostics, V.Kh. Vasilenko Clinic of Propaedeutics of Internal Diseases, Gastroenterol</w:t>
      </w:r>
      <w:r>
        <w:rPr>
          <w:rFonts w:ascii="Times New Roman" w:eastAsia="Times New Roman" w:hAnsi="Times New Roman" w:cs="Times New Roman"/>
          <w:sz w:val="16"/>
        </w:rPr>
        <w:t>ogy and Hepatology, I.M. Sechenov First Moscow State Medical University (Sechenov University).</w:t>
      </w:r>
    </w:p>
    <w:p w:rsidR="006F5A4C" w:rsidRDefault="00730F7D">
      <w:pPr>
        <w:spacing w:after="3" w:line="241" w:lineRule="auto"/>
        <w:ind w:left="10" w:right="55" w:firstLine="1"/>
        <w:jc w:val="both"/>
      </w:pPr>
      <w:r>
        <w:rPr>
          <w:rFonts w:ascii="Times New Roman" w:eastAsia="Times New Roman" w:hAnsi="Times New Roman" w:cs="Times New Roman"/>
          <w:sz w:val="16"/>
        </w:rPr>
        <w:t>Contact information: paraskevova_a_v@staff.sechenov.ru; 119435, Moscow, Pogodinskaya str., 1, build. 1.</w:t>
      </w:r>
    </w:p>
    <w:p w:rsidR="006F5A4C" w:rsidRDefault="00730F7D">
      <w:pPr>
        <w:spacing w:after="590" w:line="241" w:lineRule="auto"/>
        <w:ind w:left="10" w:right="55" w:firstLine="1"/>
        <w:jc w:val="both"/>
      </w:pPr>
      <w:r>
        <w:rPr>
          <w:rFonts w:ascii="Times New Roman" w:eastAsia="Times New Roman" w:hAnsi="Times New Roman" w:cs="Times New Roman"/>
          <w:sz w:val="16"/>
        </w:rPr>
        <w:t>ORCID: https://orcid.org/0000-0002-1662-2352</w:t>
      </w:r>
    </w:p>
    <w:p w:rsidR="006F5A4C" w:rsidRDefault="00730F7D">
      <w:pPr>
        <w:spacing w:after="3" w:line="241" w:lineRule="auto"/>
        <w:ind w:left="10" w:right="55" w:firstLine="1"/>
        <w:jc w:val="both"/>
      </w:pPr>
      <w:r>
        <w:rPr>
          <w:rFonts w:ascii="Times New Roman" w:eastAsia="Times New Roman" w:hAnsi="Times New Roman" w:cs="Times New Roman"/>
          <w:b/>
          <w:sz w:val="16"/>
        </w:rPr>
        <w:t>Dmitry N. An</w:t>
      </w:r>
      <w:r>
        <w:rPr>
          <w:rFonts w:ascii="Times New Roman" w:eastAsia="Times New Roman" w:hAnsi="Times New Roman" w:cs="Times New Roman"/>
          <w:b/>
          <w:sz w:val="16"/>
        </w:rPr>
        <w:t>dreev</w:t>
      </w:r>
      <w:r>
        <w:rPr>
          <w:rFonts w:ascii="Times New Roman" w:eastAsia="Times New Roman" w:hAnsi="Times New Roman" w:cs="Times New Roman"/>
          <w:sz w:val="16"/>
        </w:rPr>
        <w:t xml:space="preserve"> — Cand. Sci. (Med.), Associate Professor at the Department of Internal Medicine Propaedeutics and Gastroenterology, Moscow State University of Medicine and  Dentistry.</w:t>
      </w:r>
    </w:p>
    <w:p w:rsidR="006F5A4C" w:rsidRDefault="00730F7D">
      <w:pPr>
        <w:spacing w:after="3" w:line="241" w:lineRule="auto"/>
        <w:ind w:left="10" w:right="1181" w:firstLine="1"/>
        <w:jc w:val="both"/>
      </w:pPr>
      <w:r>
        <w:rPr>
          <w:rFonts w:ascii="Times New Roman" w:eastAsia="Times New Roman" w:hAnsi="Times New Roman" w:cs="Times New Roman"/>
          <w:sz w:val="16"/>
        </w:rPr>
        <w:t>Contact information: dna-mit8(а)mail.ru; 127473, Moscow, Delegatskaya str., 20, bu</w:t>
      </w:r>
      <w:r>
        <w:rPr>
          <w:rFonts w:ascii="Times New Roman" w:eastAsia="Times New Roman" w:hAnsi="Times New Roman" w:cs="Times New Roman"/>
          <w:sz w:val="16"/>
        </w:rPr>
        <w:t>ild. 1.</w:t>
      </w:r>
    </w:p>
    <w:p w:rsidR="006F5A4C" w:rsidRDefault="00730F7D">
      <w:pPr>
        <w:spacing w:after="204" w:line="241" w:lineRule="auto"/>
        <w:ind w:left="10" w:right="55" w:firstLine="1"/>
        <w:jc w:val="both"/>
      </w:pPr>
      <w:r>
        <w:rPr>
          <w:rFonts w:ascii="Times New Roman" w:eastAsia="Times New Roman" w:hAnsi="Times New Roman" w:cs="Times New Roman"/>
          <w:sz w:val="16"/>
        </w:rPr>
        <w:t>ORCID: https://orcid.org/0000-0002-4007-7112</w:t>
      </w:r>
    </w:p>
    <w:p w:rsidR="006F5A4C" w:rsidRDefault="00730F7D">
      <w:pPr>
        <w:spacing w:after="3" w:line="241" w:lineRule="auto"/>
        <w:ind w:left="10" w:right="55" w:firstLine="1"/>
        <w:jc w:val="both"/>
      </w:pPr>
      <w:r>
        <w:rPr>
          <w:rFonts w:ascii="Times New Roman" w:eastAsia="Times New Roman" w:hAnsi="Times New Roman" w:cs="Times New Roman"/>
          <w:b/>
          <w:sz w:val="16"/>
        </w:rPr>
        <w:t>Olga P. Alexeeva</w:t>
      </w:r>
      <w:r>
        <w:rPr>
          <w:rFonts w:ascii="Times New Roman" w:eastAsia="Times New Roman" w:hAnsi="Times New Roman" w:cs="Times New Roman"/>
          <w:sz w:val="16"/>
        </w:rPr>
        <w:t xml:space="preserve"> — Dr. Sci. (Med.), Professor, Head of the Ga- stroenterological Center, Nizhny Novgorod Regional Clinical Hospital named after N.A. Semashko.</w:t>
      </w:r>
    </w:p>
    <w:p w:rsidR="006F5A4C" w:rsidRDefault="00730F7D">
      <w:pPr>
        <w:spacing w:after="3" w:line="241" w:lineRule="auto"/>
        <w:ind w:left="10" w:right="1251" w:firstLine="1"/>
        <w:jc w:val="both"/>
      </w:pPr>
      <w:r>
        <w:rPr>
          <w:rFonts w:ascii="Times New Roman" w:eastAsia="Times New Roman" w:hAnsi="Times New Roman" w:cs="Times New Roman"/>
          <w:sz w:val="16"/>
        </w:rPr>
        <w:t>Contact information: al_op@mail.ru; 603126, Nizhny Novgorod, Rodionova str., 190.</w:t>
      </w:r>
    </w:p>
    <w:p w:rsidR="006F5A4C" w:rsidRDefault="00730F7D">
      <w:pPr>
        <w:spacing w:after="398" w:line="241" w:lineRule="auto"/>
        <w:ind w:left="10" w:right="55" w:firstLine="1"/>
        <w:jc w:val="both"/>
      </w:pPr>
      <w:r>
        <w:rPr>
          <w:rFonts w:ascii="Times New Roman" w:eastAsia="Times New Roman" w:hAnsi="Times New Roman" w:cs="Times New Roman"/>
          <w:sz w:val="16"/>
        </w:rPr>
        <w:t>ORCID: https://orcid.org/0000-0002-1475-6584</w:t>
      </w:r>
    </w:p>
    <w:p w:rsidR="006F5A4C" w:rsidRDefault="00730F7D">
      <w:pPr>
        <w:spacing w:after="3" w:line="241" w:lineRule="auto"/>
        <w:ind w:left="10" w:right="55" w:firstLine="1"/>
        <w:jc w:val="both"/>
      </w:pPr>
      <w:r>
        <w:rPr>
          <w:rFonts w:ascii="Times New Roman" w:eastAsia="Times New Roman" w:hAnsi="Times New Roman" w:cs="Times New Roman"/>
          <w:b/>
          <w:sz w:val="16"/>
        </w:rPr>
        <w:t>Sergei A. Alekseenko</w:t>
      </w:r>
      <w:r>
        <w:rPr>
          <w:rFonts w:ascii="Times New Roman" w:eastAsia="Times New Roman" w:hAnsi="Times New Roman" w:cs="Times New Roman"/>
          <w:sz w:val="16"/>
        </w:rPr>
        <w:t xml:space="preserve"> — Dr. Sci. (Med.), Professor, Head of the De- partment of Hospital Therapy, Far-Eastern State Medical Univer</w:t>
      </w:r>
      <w:r>
        <w:rPr>
          <w:rFonts w:ascii="Times New Roman" w:eastAsia="Times New Roman" w:hAnsi="Times New Roman" w:cs="Times New Roman"/>
          <w:sz w:val="16"/>
        </w:rPr>
        <w:t>sity.</w:t>
      </w:r>
    </w:p>
    <w:p w:rsidR="006F5A4C" w:rsidRDefault="00730F7D">
      <w:pPr>
        <w:spacing w:after="593" w:line="242" w:lineRule="auto"/>
        <w:ind w:left="21" w:right="825" w:hanging="12"/>
      </w:pPr>
      <w:r>
        <w:rPr>
          <w:rFonts w:ascii="Times New Roman" w:eastAsia="Times New Roman" w:hAnsi="Times New Roman" w:cs="Times New Roman"/>
          <w:sz w:val="16"/>
        </w:rPr>
        <w:t>Contact information: sa.alexeenko@gmail.com; 680000, Khabarovsk, Muravyova-Amurskogo str., 35. ORCID: https://orcid.org/0000-0003-1724-9980</w:t>
      </w:r>
    </w:p>
    <w:p w:rsidR="006F5A4C" w:rsidRDefault="00730F7D">
      <w:pPr>
        <w:spacing w:after="3" w:line="241" w:lineRule="auto"/>
        <w:ind w:left="10" w:right="55" w:firstLine="1"/>
        <w:jc w:val="both"/>
      </w:pPr>
      <w:r>
        <w:rPr>
          <w:rFonts w:ascii="Times New Roman" w:eastAsia="Times New Roman" w:hAnsi="Times New Roman" w:cs="Times New Roman"/>
          <w:b/>
          <w:sz w:val="16"/>
        </w:rPr>
        <w:t xml:space="preserve">Andrey Yu. Baranovsky </w:t>
      </w:r>
      <w:r>
        <w:rPr>
          <w:rFonts w:ascii="Times New Roman" w:eastAsia="Times New Roman" w:hAnsi="Times New Roman" w:cs="Times New Roman"/>
          <w:sz w:val="16"/>
        </w:rPr>
        <w:t>— Dr. Sci. (Med.), Professor, Head of the Department of Gastroenterology, Hepatology and</w:t>
      </w:r>
      <w:r>
        <w:rPr>
          <w:rFonts w:ascii="Times New Roman" w:eastAsia="Times New Roman" w:hAnsi="Times New Roman" w:cs="Times New Roman"/>
          <w:sz w:val="16"/>
        </w:rPr>
        <w:t xml:space="preserve"> Dietology, Saint Petersburg University; Chief Gastroenterologist of  the Ministry of Health of Russia of the Northwestern Federal Министерства здравоохранения Российской Федерации по Северо-Западному федеральному округу; Председатель Общества гастроэнтеро</w:t>
      </w:r>
      <w:r>
        <w:rPr>
          <w:rFonts w:ascii="Times New Roman" w:eastAsia="Times New Roman" w:hAnsi="Times New Roman" w:cs="Times New Roman"/>
          <w:sz w:val="16"/>
        </w:rPr>
        <w:t>логов, гепатологов и диетологов Санкт-Петербурга.</w:t>
      </w:r>
    </w:p>
    <w:p w:rsidR="006F5A4C" w:rsidRDefault="00730F7D">
      <w:pPr>
        <w:spacing w:after="3" w:line="241" w:lineRule="auto"/>
        <w:ind w:left="10" w:right="55" w:firstLine="1"/>
        <w:jc w:val="both"/>
      </w:pPr>
      <w:r>
        <w:rPr>
          <w:rFonts w:ascii="Times New Roman" w:eastAsia="Times New Roman" w:hAnsi="Times New Roman" w:cs="Times New Roman"/>
          <w:sz w:val="16"/>
        </w:rPr>
        <w:t>Контактная информация: baranovsky46@mail.ru;</w:t>
      </w:r>
    </w:p>
    <w:p w:rsidR="006F5A4C" w:rsidRDefault="00730F7D">
      <w:pPr>
        <w:spacing w:after="212" w:line="241" w:lineRule="auto"/>
        <w:ind w:left="10" w:right="55" w:firstLine="1"/>
        <w:jc w:val="both"/>
      </w:pPr>
      <w:r>
        <w:rPr>
          <w:rFonts w:ascii="Times New Roman" w:eastAsia="Times New Roman" w:hAnsi="Times New Roman" w:cs="Times New Roman"/>
          <w:sz w:val="16"/>
        </w:rPr>
        <w:t>199226, г. Санкт-Петербург, ул. Кораблестроителей, 20, корп. 1. ORCID: https://orcid.org/0000-0001-9134-931X</w:t>
      </w:r>
    </w:p>
    <w:p w:rsidR="006F5A4C" w:rsidRDefault="00730F7D">
      <w:pPr>
        <w:spacing w:after="3" w:line="241" w:lineRule="auto"/>
        <w:ind w:left="10" w:right="55" w:firstLine="1"/>
        <w:jc w:val="both"/>
      </w:pPr>
      <w:r>
        <w:rPr>
          <w:rFonts w:ascii="Times New Roman" w:eastAsia="Times New Roman" w:hAnsi="Times New Roman" w:cs="Times New Roman"/>
          <w:b/>
          <w:sz w:val="16"/>
        </w:rPr>
        <w:t xml:space="preserve">Зайратьянц Олег Вадимович </w:t>
      </w:r>
      <w:r>
        <w:rPr>
          <w:rFonts w:ascii="Times New Roman" w:eastAsia="Times New Roman" w:hAnsi="Times New Roman" w:cs="Times New Roman"/>
          <w:sz w:val="16"/>
        </w:rPr>
        <w:t>— доктор медицинских наук,</w:t>
      </w:r>
      <w:r>
        <w:rPr>
          <w:rFonts w:ascii="Times New Roman" w:eastAsia="Times New Roman" w:hAnsi="Times New Roman" w:cs="Times New Roman"/>
          <w:sz w:val="16"/>
        </w:rPr>
        <w:t xml:space="preserve"> профессор, заведующий кафедрой патологической анатомии, ФГБОУ ВО «Московский государственный медико-стоматологический университет им. А.И. Евдокимова» Министерства здравоохранения Российской Федерации. Контактная информация: ovzair@mail.ru; 127473, г. Мос</w:t>
      </w:r>
      <w:r>
        <w:rPr>
          <w:rFonts w:ascii="Times New Roman" w:eastAsia="Times New Roman" w:hAnsi="Times New Roman" w:cs="Times New Roman"/>
          <w:sz w:val="16"/>
        </w:rPr>
        <w:t>ква, ул. Делегатская, 20, стр. 1.</w:t>
      </w:r>
    </w:p>
    <w:p w:rsidR="006F5A4C" w:rsidRDefault="00730F7D">
      <w:pPr>
        <w:spacing w:after="211" w:line="241" w:lineRule="auto"/>
        <w:ind w:left="10" w:right="55" w:firstLine="1"/>
        <w:jc w:val="both"/>
      </w:pPr>
      <w:r>
        <w:rPr>
          <w:rFonts w:ascii="Times New Roman" w:eastAsia="Times New Roman" w:hAnsi="Times New Roman" w:cs="Times New Roman"/>
          <w:sz w:val="16"/>
        </w:rPr>
        <w:t>ORCID: https://orcid.org/0000-0003-3606-3823</w:t>
      </w:r>
    </w:p>
    <w:p w:rsidR="006F5A4C" w:rsidRDefault="00730F7D">
      <w:pPr>
        <w:spacing w:after="3" w:line="241" w:lineRule="auto"/>
        <w:ind w:left="10" w:right="55" w:firstLine="1"/>
        <w:jc w:val="both"/>
      </w:pPr>
      <w:r>
        <w:rPr>
          <w:rFonts w:ascii="Times New Roman" w:eastAsia="Times New Roman" w:hAnsi="Times New Roman" w:cs="Times New Roman"/>
          <w:b/>
          <w:sz w:val="16"/>
        </w:rPr>
        <w:t>Зольникова Оксана Юрьевна</w:t>
      </w:r>
      <w:r>
        <w:rPr>
          <w:rFonts w:ascii="Times New Roman" w:eastAsia="Times New Roman" w:hAnsi="Times New Roman" w:cs="Times New Roman"/>
          <w:sz w:val="16"/>
        </w:rPr>
        <w:t xml:space="preserve"> — доктор медицинских наук, профессор кафедры пропедевтики внутренних болезней, гастроэнтерологии и гепатологии, ФГАОУ ВО «Первый Московский государстве</w:t>
      </w:r>
      <w:r>
        <w:rPr>
          <w:rFonts w:ascii="Times New Roman" w:eastAsia="Times New Roman" w:hAnsi="Times New Roman" w:cs="Times New Roman"/>
          <w:sz w:val="16"/>
        </w:rPr>
        <w:t>нный медицинский университет им. И.М. Сеченова» Министерства здравоохранения Российской Федерации (Сеченовский Университет); главный внештатный гастроэнтеролог Центрального федерального округа.</w:t>
      </w:r>
    </w:p>
    <w:p w:rsidR="006F5A4C" w:rsidRDefault="00730F7D">
      <w:pPr>
        <w:spacing w:after="3" w:line="241" w:lineRule="auto"/>
        <w:ind w:left="10" w:right="55" w:firstLine="1"/>
        <w:jc w:val="both"/>
      </w:pPr>
      <w:r>
        <w:rPr>
          <w:rFonts w:ascii="Times New Roman" w:eastAsia="Times New Roman" w:hAnsi="Times New Roman" w:cs="Times New Roman"/>
          <w:sz w:val="16"/>
        </w:rPr>
        <w:t>Контактная информация: zolnikova_o_yu@staff.sechenov.ru; 11943</w:t>
      </w:r>
      <w:r>
        <w:rPr>
          <w:rFonts w:ascii="Times New Roman" w:eastAsia="Times New Roman" w:hAnsi="Times New Roman" w:cs="Times New Roman"/>
          <w:sz w:val="16"/>
        </w:rPr>
        <w:t>5, г. Москва, ул. Погодинская, 1, стр. 1.</w:t>
      </w:r>
    </w:p>
    <w:p w:rsidR="006F5A4C" w:rsidRDefault="00730F7D">
      <w:pPr>
        <w:spacing w:after="211" w:line="241" w:lineRule="auto"/>
        <w:ind w:left="10" w:right="55" w:firstLine="1"/>
        <w:jc w:val="both"/>
      </w:pPr>
      <w:r>
        <w:rPr>
          <w:rFonts w:ascii="Times New Roman" w:eastAsia="Times New Roman" w:hAnsi="Times New Roman" w:cs="Times New Roman"/>
          <w:sz w:val="16"/>
        </w:rPr>
        <w:t>ORCID: https://orcid.org/0000-0002-6701-789X</w:t>
      </w:r>
    </w:p>
    <w:p w:rsidR="006F5A4C" w:rsidRDefault="00730F7D">
      <w:pPr>
        <w:spacing w:after="212" w:line="241" w:lineRule="auto"/>
        <w:ind w:left="10" w:right="55" w:firstLine="1"/>
        <w:jc w:val="both"/>
      </w:pPr>
      <w:r>
        <w:rPr>
          <w:rFonts w:ascii="Times New Roman" w:eastAsia="Times New Roman" w:hAnsi="Times New Roman" w:cs="Times New Roman"/>
          <w:b/>
          <w:sz w:val="16"/>
        </w:rPr>
        <w:t>Дронова Ольга Борисовна</w:t>
      </w:r>
      <w:r>
        <w:rPr>
          <w:rFonts w:ascii="Times New Roman" w:eastAsia="Times New Roman" w:hAnsi="Times New Roman" w:cs="Times New Roman"/>
          <w:sz w:val="16"/>
        </w:rPr>
        <w:t xml:space="preserve"> — </w:t>
      </w:r>
      <w:r>
        <w:rPr>
          <w:rFonts w:ascii="Times New Roman" w:eastAsia="Times New Roman" w:hAnsi="Times New Roman" w:cs="Times New Roman"/>
          <w:sz w:val="16"/>
        </w:rPr>
        <w:t>доктор медицинских наук, профессор кафедры хирургии факультета последипломной подготовки специалистов, ФГБОУ ВО «Оренбургский государственный медицинский университет» Министерства здравоохранения Российской Федерации. Контактная информация: mdc2005@yandex.</w:t>
      </w:r>
      <w:r>
        <w:rPr>
          <w:rFonts w:ascii="Times New Roman" w:eastAsia="Times New Roman" w:hAnsi="Times New Roman" w:cs="Times New Roman"/>
          <w:sz w:val="16"/>
        </w:rPr>
        <w:t>ru; 460000, г. Оренбург, ул. Советская, 6.</w:t>
      </w:r>
    </w:p>
    <w:p w:rsidR="006F5A4C" w:rsidRDefault="00730F7D">
      <w:pPr>
        <w:spacing w:after="3" w:line="241" w:lineRule="auto"/>
        <w:ind w:left="10" w:right="55" w:firstLine="1"/>
        <w:jc w:val="both"/>
      </w:pPr>
      <w:r>
        <w:rPr>
          <w:rFonts w:ascii="Times New Roman" w:eastAsia="Times New Roman" w:hAnsi="Times New Roman" w:cs="Times New Roman"/>
          <w:b/>
          <w:sz w:val="16"/>
        </w:rPr>
        <w:t>Кляритская Ирина Львовна</w:t>
      </w:r>
      <w:r>
        <w:rPr>
          <w:rFonts w:ascii="Times New Roman" w:eastAsia="Times New Roman" w:hAnsi="Times New Roman" w:cs="Times New Roman"/>
          <w:sz w:val="16"/>
        </w:rPr>
        <w:t xml:space="preserve"> — доктор медицинских наук, профессор, заведующая кафедрой терапии, гастроэнтерологии, кардиологии и общей врачебной практики (семейной медицины), Медицинская академия им. С.И. Георгиевског</w:t>
      </w:r>
      <w:r>
        <w:rPr>
          <w:rFonts w:ascii="Times New Roman" w:eastAsia="Times New Roman" w:hAnsi="Times New Roman" w:cs="Times New Roman"/>
          <w:sz w:val="16"/>
        </w:rPr>
        <w:t>о, ФГАОУ ВО «Крымский федеральный университет им. В.И. Вернадского». Контактная информация: klira3@yandex.ru; 295017, г. Симферополь, б-р Ленина, 5/7.</w:t>
      </w:r>
    </w:p>
    <w:p w:rsidR="006F5A4C" w:rsidRDefault="00730F7D">
      <w:pPr>
        <w:spacing w:after="216" w:line="241" w:lineRule="auto"/>
        <w:ind w:left="10" w:right="55" w:firstLine="1"/>
        <w:jc w:val="both"/>
      </w:pPr>
      <w:r>
        <w:rPr>
          <w:rFonts w:ascii="Times New Roman" w:eastAsia="Times New Roman" w:hAnsi="Times New Roman" w:cs="Times New Roman"/>
          <w:sz w:val="16"/>
        </w:rPr>
        <w:t>ORCID: https://orcid.org/0000-0001-9840-7885</w:t>
      </w:r>
    </w:p>
    <w:p w:rsidR="006F5A4C" w:rsidRDefault="00730F7D">
      <w:pPr>
        <w:spacing w:after="3" w:line="241" w:lineRule="auto"/>
        <w:ind w:left="10" w:right="55" w:firstLine="1"/>
        <w:jc w:val="both"/>
      </w:pPr>
      <w:r>
        <w:rPr>
          <w:rFonts w:ascii="Times New Roman" w:eastAsia="Times New Roman" w:hAnsi="Times New Roman" w:cs="Times New Roman"/>
          <w:b/>
          <w:sz w:val="16"/>
        </w:rPr>
        <w:t>Корочанская Наталья Всеволодовна</w:t>
      </w:r>
      <w:r>
        <w:rPr>
          <w:rFonts w:ascii="Times New Roman" w:eastAsia="Times New Roman" w:hAnsi="Times New Roman" w:cs="Times New Roman"/>
          <w:sz w:val="16"/>
        </w:rPr>
        <w:t xml:space="preserve"> — </w:t>
      </w:r>
      <w:r>
        <w:rPr>
          <w:rFonts w:ascii="Times New Roman" w:eastAsia="Times New Roman" w:hAnsi="Times New Roman" w:cs="Times New Roman"/>
          <w:sz w:val="16"/>
        </w:rPr>
        <w:t>доктор медицинских наук, профессор кафедры хирургии № 3, ФГБОУ ВО «Кубанский государственный медицинский университет»; руководитель гастроэнтерологического центра, ГБУЗ «Краевая клиническая больница № 2».</w:t>
      </w:r>
    </w:p>
    <w:p w:rsidR="006F5A4C" w:rsidRDefault="00730F7D">
      <w:pPr>
        <w:spacing w:after="214" w:line="242" w:lineRule="auto"/>
        <w:ind w:left="21" w:right="825" w:hanging="12"/>
      </w:pPr>
      <w:r>
        <w:rPr>
          <w:rFonts w:ascii="Times New Roman" w:eastAsia="Times New Roman" w:hAnsi="Times New Roman" w:cs="Times New Roman"/>
          <w:sz w:val="16"/>
        </w:rPr>
        <w:t xml:space="preserve">Контактная информация: nvk-gastro@mail.ru; 350063, </w:t>
      </w:r>
      <w:r>
        <w:rPr>
          <w:rFonts w:ascii="Times New Roman" w:eastAsia="Times New Roman" w:hAnsi="Times New Roman" w:cs="Times New Roman"/>
          <w:sz w:val="16"/>
        </w:rPr>
        <w:t>г. Краснодар, ул. Митрофана Седина, 4. ORCID: https://orcid.org/0000-0002-5538-9418</w:t>
      </w:r>
    </w:p>
    <w:p w:rsidR="006F5A4C" w:rsidRDefault="00730F7D">
      <w:pPr>
        <w:spacing w:after="3" w:line="241" w:lineRule="auto"/>
        <w:ind w:left="10" w:right="55" w:firstLine="1"/>
        <w:jc w:val="both"/>
      </w:pPr>
      <w:r>
        <w:rPr>
          <w:rFonts w:ascii="Times New Roman" w:eastAsia="Times New Roman" w:hAnsi="Times New Roman" w:cs="Times New Roman"/>
          <w:b/>
          <w:sz w:val="16"/>
        </w:rPr>
        <w:t>Кучерявый Юрий Александрович</w:t>
      </w:r>
      <w:r>
        <w:rPr>
          <w:rFonts w:ascii="Times New Roman" w:eastAsia="Times New Roman" w:hAnsi="Times New Roman" w:cs="Times New Roman"/>
          <w:sz w:val="16"/>
        </w:rPr>
        <w:t xml:space="preserve"> — кандидат медицинских наук, доцент кафедры пропедевтики внутренних болезней и гастроэнтерологии, научный сотрудник лаборатории функциональных </w:t>
      </w:r>
      <w:r>
        <w:rPr>
          <w:rFonts w:ascii="Times New Roman" w:eastAsia="Times New Roman" w:hAnsi="Times New Roman" w:cs="Times New Roman"/>
          <w:sz w:val="16"/>
        </w:rPr>
        <w:t>методов исследования в гастроэнтерологии, ФГБОУ ВО «Московский государственный медико-стоматологический университет им. А.И. Евдокимова» Министерства здравоохранения Российской Федерации. Контактная информация: proped@mail.ru; 127473, г. Москва, ул. Делега</w:t>
      </w:r>
      <w:r>
        <w:rPr>
          <w:rFonts w:ascii="Times New Roman" w:eastAsia="Times New Roman" w:hAnsi="Times New Roman" w:cs="Times New Roman"/>
          <w:sz w:val="16"/>
        </w:rPr>
        <w:t>тская, 20, стр. 1.</w:t>
      </w:r>
    </w:p>
    <w:p w:rsidR="006F5A4C" w:rsidRDefault="00730F7D">
      <w:pPr>
        <w:spacing w:after="214" w:line="241" w:lineRule="auto"/>
        <w:ind w:left="10" w:right="55" w:firstLine="1"/>
        <w:jc w:val="both"/>
      </w:pPr>
      <w:r>
        <w:rPr>
          <w:rFonts w:ascii="Times New Roman" w:eastAsia="Times New Roman" w:hAnsi="Times New Roman" w:cs="Times New Roman"/>
          <w:sz w:val="16"/>
        </w:rPr>
        <w:t>ORCID: https://orcid.org/0000-0001-7760-2091</w:t>
      </w:r>
    </w:p>
    <w:p w:rsidR="006F5A4C" w:rsidRDefault="00730F7D">
      <w:pPr>
        <w:spacing w:after="3" w:line="241" w:lineRule="auto"/>
        <w:ind w:left="10" w:right="55" w:firstLine="1"/>
        <w:jc w:val="both"/>
      </w:pPr>
      <w:r>
        <w:rPr>
          <w:rFonts w:ascii="Times New Roman" w:eastAsia="Times New Roman" w:hAnsi="Times New Roman" w:cs="Times New Roman"/>
          <w:b/>
          <w:sz w:val="16"/>
        </w:rPr>
        <w:t xml:space="preserve">Маммаев Сулейман Нураттинович </w:t>
      </w:r>
      <w:r>
        <w:rPr>
          <w:rFonts w:ascii="Times New Roman" w:eastAsia="Times New Roman" w:hAnsi="Times New Roman" w:cs="Times New Roman"/>
          <w:sz w:val="16"/>
        </w:rPr>
        <w:t>— доктор медицинских наук, профессор, заведующий кафедрой госпитальной терапии № 1, ректор, ФГБОУ ВО «Дагестанский государственный медицинский университет»; главн</w:t>
      </w:r>
      <w:r>
        <w:rPr>
          <w:rFonts w:ascii="Times New Roman" w:eastAsia="Times New Roman" w:hAnsi="Times New Roman" w:cs="Times New Roman"/>
          <w:sz w:val="16"/>
        </w:rPr>
        <w:t>ый внештатный District, Chairman of the Saint Petersburg Scientific Society of  Gastroenterologists, Hepatologists, Nutritionists.</w:t>
      </w:r>
    </w:p>
    <w:p w:rsidR="006F5A4C" w:rsidRDefault="00730F7D">
      <w:pPr>
        <w:spacing w:after="3" w:line="241" w:lineRule="auto"/>
        <w:ind w:left="10" w:right="55" w:firstLine="1"/>
        <w:jc w:val="both"/>
      </w:pPr>
      <w:r>
        <w:rPr>
          <w:rFonts w:ascii="Times New Roman" w:eastAsia="Times New Roman" w:hAnsi="Times New Roman" w:cs="Times New Roman"/>
          <w:sz w:val="16"/>
        </w:rPr>
        <w:t>Contact information: baranovsky46@mail.ru;</w:t>
      </w:r>
    </w:p>
    <w:p w:rsidR="006F5A4C" w:rsidRDefault="00730F7D">
      <w:pPr>
        <w:spacing w:after="591" w:line="241" w:lineRule="auto"/>
        <w:ind w:left="10" w:right="55" w:firstLine="1"/>
        <w:jc w:val="both"/>
      </w:pPr>
      <w:r>
        <w:rPr>
          <w:rFonts w:ascii="Times New Roman" w:eastAsia="Times New Roman" w:hAnsi="Times New Roman" w:cs="Times New Roman"/>
          <w:sz w:val="16"/>
        </w:rPr>
        <w:t>199226, Saint Petersburg, Korablestroitelei str., 20, build. 1. ORCID: https://orc</w:t>
      </w:r>
      <w:r>
        <w:rPr>
          <w:rFonts w:ascii="Times New Roman" w:eastAsia="Times New Roman" w:hAnsi="Times New Roman" w:cs="Times New Roman"/>
          <w:sz w:val="16"/>
        </w:rPr>
        <w:t>id.org/0000-0001-9134-931X</w:t>
      </w:r>
    </w:p>
    <w:p w:rsidR="006F5A4C" w:rsidRDefault="00730F7D">
      <w:pPr>
        <w:spacing w:after="3" w:line="241" w:lineRule="auto"/>
        <w:ind w:left="10" w:right="55" w:firstLine="1"/>
        <w:jc w:val="both"/>
      </w:pPr>
      <w:r>
        <w:rPr>
          <w:rFonts w:ascii="Times New Roman" w:eastAsia="Times New Roman" w:hAnsi="Times New Roman" w:cs="Times New Roman"/>
          <w:b/>
          <w:sz w:val="16"/>
        </w:rPr>
        <w:t xml:space="preserve">Oleg V. Zayratyants </w:t>
      </w:r>
      <w:r>
        <w:rPr>
          <w:rFonts w:ascii="Times New Roman" w:eastAsia="Times New Roman" w:hAnsi="Times New Roman" w:cs="Times New Roman"/>
          <w:sz w:val="16"/>
        </w:rPr>
        <w:t>— Dr. Sci. (Med.), Professor, Head of the De- partment of Pathology, Moscow State University of Medicine and Dentistry.</w:t>
      </w:r>
    </w:p>
    <w:p w:rsidR="006F5A4C" w:rsidRDefault="00730F7D">
      <w:pPr>
        <w:spacing w:after="3" w:line="241" w:lineRule="auto"/>
        <w:ind w:left="10" w:right="1167" w:firstLine="1"/>
        <w:jc w:val="both"/>
      </w:pPr>
      <w:r>
        <w:rPr>
          <w:rFonts w:ascii="Times New Roman" w:eastAsia="Times New Roman" w:hAnsi="Times New Roman" w:cs="Times New Roman"/>
          <w:sz w:val="16"/>
        </w:rPr>
        <w:t>Contact information: ovzair@mail.ru; 127473, Moscow, Delegatskaya str., 20, build. 1.</w:t>
      </w:r>
    </w:p>
    <w:p w:rsidR="006F5A4C" w:rsidRDefault="00730F7D">
      <w:pPr>
        <w:spacing w:after="591" w:line="241" w:lineRule="auto"/>
        <w:ind w:left="10" w:right="55" w:firstLine="1"/>
        <w:jc w:val="both"/>
      </w:pPr>
      <w:r>
        <w:rPr>
          <w:rFonts w:ascii="Times New Roman" w:eastAsia="Times New Roman" w:hAnsi="Times New Roman" w:cs="Times New Roman"/>
          <w:sz w:val="16"/>
        </w:rPr>
        <w:t>ORC</w:t>
      </w:r>
      <w:r>
        <w:rPr>
          <w:rFonts w:ascii="Times New Roman" w:eastAsia="Times New Roman" w:hAnsi="Times New Roman" w:cs="Times New Roman"/>
          <w:sz w:val="16"/>
        </w:rPr>
        <w:t>ID: https://orcid.org/0000-0003-3606-3823</w:t>
      </w:r>
    </w:p>
    <w:p w:rsidR="006F5A4C" w:rsidRDefault="00730F7D">
      <w:pPr>
        <w:spacing w:after="3" w:line="241" w:lineRule="auto"/>
        <w:ind w:left="10" w:right="55" w:firstLine="1"/>
        <w:jc w:val="both"/>
      </w:pPr>
      <w:r>
        <w:rPr>
          <w:rFonts w:ascii="Times New Roman" w:eastAsia="Times New Roman" w:hAnsi="Times New Roman" w:cs="Times New Roman"/>
          <w:b/>
          <w:sz w:val="16"/>
        </w:rPr>
        <w:t>Oxana Yu. Zolnikova</w:t>
      </w:r>
      <w:r>
        <w:rPr>
          <w:rFonts w:ascii="Times New Roman" w:eastAsia="Times New Roman" w:hAnsi="Times New Roman" w:cs="Times New Roman"/>
          <w:sz w:val="16"/>
        </w:rPr>
        <w:t xml:space="preserve"> — Dr. Sci. (Med.), Professor at the Department of Internal Disease Propaedeutics, Gastroenterology and Hepatology, I.M. Sechenov First Moscow State Medical University (Sechenov University); Chie</w:t>
      </w:r>
      <w:r>
        <w:rPr>
          <w:rFonts w:ascii="Times New Roman" w:eastAsia="Times New Roman" w:hAnsi="Times New Roman" w:cs="Times New Roman"/>
          <w:sz w:val="16"/>
        </w:rPr>
        <w:t xml:space="preserve">f External </w:t>
      </w:r>
    </w:p>
    <w:p w:rsidR="006F5A4C" w:rsidRDefault="00730F7D">
      <w:pPr>
        <w:spacing w:after="3" w:line="241" w:lineRule="auto"/>
        <w:ind w:left="10" w:right="55" w:firstLine="1"/>
        <w:jc w:val="both"/>
      </w:pPr>
      <w:r>
        <w:rPr>
          <w:rFonts w:ascii="Times New Roman" w:eastAsia="Times New Roman" w:hAnsi="Times New Roman" w:cs="Times New Roman"/>
          <w:sz w:val="16"/>
        </w:rPr>
        <w:t>Gastroenterologist of the Central Federal District of the Russian Federation.</w:t>
      </w:r>
    </w:p>
    <w:p w:rsidR="006F5A4C" w:rsidRDefault="00730F7D">
      <w:pPr>
        <w:spacing w:after="3" w:line="241" w:lineRule="auto"/>
        <w:ind w:left="10" w:right="55" w:firstLine="1"/>
        <w:jc w:val="both"/>
      </w:pPr>
      <w:r>
        <w:rPr>
          <w:rFonts w:ascii="Times New Roman" w:eastAsia="Times New Roman" w:hAnsi="Times New Roman" w:cs="Times New Roman"/>
          <w:sz w:val="16"/>
        </w:rPr>
        <w:t>Contact information: zolnikova_o_yu@staff.sechenov.ru; 119435, Moscow, Pogodinskaya str., 1, build. 1.</w:t>
      </w:r>
    </w:p>
    <w:p w:rsidR="006F5A4C" w:rsidRDefault="00730F7D">
      <w:pPr>
        <w:spacing w:after="590" w:line="241" w:lineRule="auto"/>
        <w:ind w:left="10" w:right="55" w:firstLine="1"/>
        <w:jc w:val="both"/>
      </w:pPr>
      <w:r>
        <w:rPr>
          <w:rFonts w:ascii="Times New Roman" w:eastAsia="Times New Roman" w:hAnsi="Times New Roman" w:cs="Times New Roman"/>
          <w:sz w:val="16"/>
        </w:rPr>
        <w:t>ORCID: https://orcid.org/0000-0002-6701-789X</w:t>
      </w:r>
    </w:p>
    <w:p w:rsidR="006F5A4C" w:rsidRDefault="00730F7D">
      <w:pPr>
        <w:spacing w:after="3" w:line="241" w:lineRule="auto"/>
        <w:ind w:left="10" w:right="55" w:firstLine="1"/>
        <w:jc w:val="both"/>
      </w:pPr>
      <w:r>
        <w:rPr>
          <w:rFonts w:ascii="Times New Roman" w:eastAsia="Times New Roman" w:hAnsi="Times New Roman" w:cs="Times New Roman"/>
          <w:b/>
          <w:sz w:val="16"/>
        </w:rPr>
        <w:t>Olga B. Dronova</w:t>
      </w:r>
      <w:r>
        <w:rPr>
          <w:rFonts w:ascii="Times New Roman" w:eastAsia="Times New Roman" w:hAnsi="Times New Roman" w:cs="Times New Roman"/>
          <w:sz w:val="16"/>
        </w:rPr>
        <w:t xml:space="preserve"> — </w:t>
      </w:r>
      <w:r>
        <w:rPr>
          <w:rFonts w:ascii="Times New Roman" w:eastAsia="Times New Roman" w:hAnsi="Times New Roman" w:cs="Times New Roman"/>
          <w:sz w:val="16"/>
        </w:rPr>
        <w:t>Dr. Sci. (Med.), Professor of the Department of Surgery, Faculty of Postgraduate Training of Specialists, Orenburg State Medical University.</w:t>
      </w:r>
    </w:p>
    <w:p w:rsidR="006F5A4C" w:rsidRDefault="00730F7D">
      <w:pPr>
        <w:spacing w:after="592" w:line="241" w:lineRule="auto"/>
        <w:ind w:left="10" w:right="1041" w:firstLine="1"/>
        <w:jc w:val="both"/>
      </w:pPr>
      <w:r>
        <w:rPr>
          <w:rFonts w:ascii="Times New Roman" w:eastAsia="Times New Roman" w:hAnsi="Times New Roman" w:cs="Times New Roman"/>
          <w:sz w:val="16"/>
        </w:rPr>
        <w:t>Contact information: mdc2005@yandex.ru; 460000, Orenburg, Sovetskaya str., 6.</w:t>
      </w:r>
    </w:p>
    <w:p w:rsidR="006F5A4C" w:rsidRDefault="00730F7D">
      <w:pPr>
        <w:spacing w:after="3" w:line="241" w:lineRule="auto"/>
        <w:ind w:left="10" w:right="55" w:firstLine="1"/>
        <w:jc w:val="both"/>
      </w:pPr>
      <w:r>
        <w:rPr>
          <w:rFonts w:ascii="Times New Roman" w:eastAsia="Times New Roman" w:hAnsi="Times New Roman" w:cs="Times New Roman"/>
          <w:b/>
          <w:sz w:val="16"/>
        </w:rPr>
        <w:t>Irina L. Kliaritskaia</w:t>
      </w:r>
      <w:r>
        <w:rPr>
          <w:rFonts w:ascii="Times New Roman" w:eastAsia="Times New Roman" w:hAnsi="Times New Roman" w:cs="Times New Roman"/>
          <w:sz w:val="16"/>
        </w:rPr>
        <w:t xml:space="preserve"> — Dr. Sci. (Med</w:t>
      </w:r>
      <w:r>
        <w:rPr>
          <w:rFonts w:ascii="Times New Roman" w:eastAsia="Times New Roman" w:hAnsi="Times New Roman" w:cs="Times New Roman"/>
          <w:sz w:val="16"/>
        </w:rPr>
        <w:t>.), Professor, Head of the Department of Therapy, Gastroenterology, Cardiology and General Practice (Family Medicine), Medical Academy named after S.I. Georgievsky, V.I. Vernadsky Crimean Federal University.</w:t>
      </w:r>
    </w:p>
    <w:p w:rsidR="006F5A4C" w:rsidRDefault="00730F7D">
      <w:pPr>
        <w:spacing w:after="3" w:line="241" w:lineRule="auto"/>
        <w:ind w:left="10" w:right="1257" w:firstLine="1"/>
        <w:jc w:val="both"/>
      </w:pPr>
      <w:r>
        <w:rPr>
          <w:rFonts w:ascii="Times New Roman" w:eastAsia="Times New Roman" w:hAnsi="Times New Roman" w:cs="Times New Roman"/>
          <w:sz w:val="16"/>
        </w:rPr>
        <w:t>Contact information: klira3@yandex.ru; 295017, S</w:t>
      </w:r>
      <w:r>
        <w:rPr>
          <w:rFonts w:ascii="Times New Roman" w:eastAsia="Times New Roman" w:hAnsi="Times New Roman" w:cs="Times New Roman"/>
          <w:sz w:val="16"/>
        </w:rPr>
        <w:t>imferopol, Lenina blvd, 5/7.</w:t>
      </w:r>
    </w:p>
    <w:p w:rsidR="006F5A4C" w:rsidRDefault="00730F7D">
      <w:pPr>
        <w:spacing w:after="400" w:line="241" w:lineRule="auto"/>
        <w:ind w:left="10" w:right="55" w:firstLine="1"/>
        <w:jc w:val="both"/>
      </w:pPr>
      <w:r>
        <w:rPr>
          <w:rFonts w:ascii="Times New Roman" w:eastAsia="Times New Roman" w:hAnsi="Times New Roman" w:cs="Times New Roman"/>
          <w:sz w:val="16"/>
        </w:rPr>
        <w:t>ORCID: https://orcid.org/0000-0001-9840-7885</w:t>
      </w:r>
    </w:p>
    <w:p w:rsidR="006F5A4C" w:rsidRDefault="00730F7D">
      <w:pPr>
        <w:spacing w:after="3" w:line="241" w:lineRule="auto"/>
        <w:ind w:left="10" w:right="55" w:firstLine="1"/>
        <w:jc w:val="both"/>
      </w:pPr>
      <w:r>
        <w:rPr>
          <w:rFonts w:ascii="Times New Roman" w:eastAsia="Times New Roman" w:hAnsi="Times New Roman" w:cs="Times New Roman"/>
          <w:b/>
          <w:sz w:val="16"/>
        </w:rPr>
        <w:t>Natalia V. Korochanskaya</w:t>
      </w:r>
      <w:r>
        <w:rPr>
          <w:rFonts w:ascii="Times New Roman" w:eastAsia="Times New Roman" w:hAnsi="Times New Roman" w:cs="Times New Roman"/>
          <w:sz w:val="16"/>
        </w:rPr>
        <w:t xml:space="preserve"> — Dr. Sci. (Med.), Professor at the De- partment of Surgery No. 3, Kuban State Medical University; Head of the Centre for Gastroenterology, Territorial Clini</w:t>
      </w:r>
      <w:r>
        <w:rPr>
          <w:rFonts w:ascii="Times New Roman" w:eastAsia="Times New Roman" w:hAnsi="Times New Roman" w:cs="Times New Roman"/>
          <w:sz w:val="16"/>
        </w:rPr>
        <w:t>cal Hospital No. 2.</w:t>
      </w:r>
    </w:p>
    <w:p w:rsidR="006F5A4C" w:rsidRDefault="00730F7D">
      <w:pPr>
        <w:spacing w:after="3" w:line="241" w:lineRule="auto"/>
        <w:ind w:left="10" w:right="1118" w:firstLine="1"/>
        <w:jc w:val="both"/>
      </w:pPr>
      <w:r>
        <w:rPr>
          <w:rFonts w:ascii="Times New Roman" w:eastAsia="Times New Roman" w:hAnsi="Times New Roman" w:cs="Times New Roman"/>
          <w:sz w:val="16"/>
        </w:rPr>
        <w:t>Contact information: nvk-gastro@mail.ru; 350063, Krasnodar, Mitrofana Sedina str., 4.</w:t>
      </w:r>
    </w:p>
    <w:p w:rsidR="006F5A4C" w:rsidRDefault="00730F7D">
      <w:pPr>
        <w:spacing w:after="401" w:line="241" w:lineRule="auto"/>
        <w:ind w:left="10" w:right="55" w:firstLine="1"/>
        <w:jc w:val="both"/>
      </w:pPr>
      <w:r>
        <w:rPr>
          <w:rFonts w:ascii="Times New Roman" w:eastAsia="Times New Roman" w:hAnsi="Times New Roman" w:cs="Times New Roman"/>
          <w:sz w:val="16"/>
        </w:rPr>
        <w:t>ORCID: https://orcid.org/0000-0002-5538-9418</w:t>
      </w:r>
    </w:p>
    <w:p w:rsidR="006F5A4C" w:rsidRDefault="00730F7D">
      <w:pPr>
        <w:spacing w:after="3" w:line="241" w:lineRule="auto"/>
        <w:ind w:left="10" w:right="55" w:firstLine="1"/>
        <w:jc w:val="both"/>
      </w:pPr>
      <w:r>
        <w:rPr>
          <w:rFonts w:ascii="Times New Roman" w:eastAsia="Times New Roman" w:hAnsi="Times New Roman" w:cs="Times New Roman"/>
          <w:b/>
          <w:sz w:val="16"/>
        </w:rPr>
        <w:t>Yury A. Kucheryavyy</w:t>
      </w:r>
      <w:r>
        <w:rPr>
          <w:rFonts w:ascii="Times New Roman" w:eastAsia="Times New Roman" w:hAnsi="Times New Roman" w:cs="Times New Roman"/>
          <w:sz w:val="16"/>
        </w:rPr>
        <w:t xml:space="preserve"> — Cand. Sci. (Med.), Associate </w:t>
      </w:r>
    </w:p>
    <w:p w:rsidR="006F5A4C" w:rsidRDefault="00730F7D">
      <w:pPr>
        <w:spacing w:after="3" w:line="241" w:lineRule="auto"/>
        <w:ind w:left="10" w:right="55" w:firstLine="1"/>
        <w:jc w:val="both"/>
      </w:pPr>
      <w:r>
        <w:rPr>
          <w:rFonts w:ascii="Times New Roman" w:eastAsia="Times New Roman" w:hAnsi="Times New Roman" w:cs="Times New Roman"/>
          <w:sz w:val="16"/>
        </w:rPr>
        <w:t>Professor at the Department of Internal Medicine Prop</w:t>
      </w:r>
      <w:r>
        <w:rPr>
          <w:rFonts w:ascii="Times New Roman" w:eastAsia="Times New Roman" w:hAnsi="Times New Roman" w:cs="Times New Roman"/>
          <w:sz w:val="16"/>
        </w:rPr>
        <w:t>aedeutics and Gastroenterology, Researcher at the Laboratory of Functional Research in Gastroenterology, Moscow State University of Medicine and Dentistry.</w:t>
      </w:r>
    </w:p>
    <w:p w:rsidR="006F5A4C" w:rsidRDefault="00730F7D">
      <w:pPr>
        <w:spacing w:after="3" w:line="241" w:lineRule="auto"/>
        <w:ind w:left="10" w:right="1165" w:firstLine="1"/>
        <w:jc w:val="both"/>
      </w:pPr>
      <w:r>
        <w:rPr>
          <w:rFonts w:ascii="Times New Roman" w:eastAsia="Times New Roman" w:hAnsi="Times New Roman" w:cs="Times New Roman"/>
          <w:sz w:val="16"/>
        </w:rPr>
        <w:t>Contact information: proped@mail.ru; 127473, Moscow, Delegatskaya str., 20, build. 1.</w:t>
      </w:r>
    </w:p>
    <w:p w:rsidR="006F5A4C" w:rsidRDefault="00730F7D">
      <w:pPr>
        <w:spacing w:after="592" w:line="241" w:lineRule="auto"/>
        <w:ind w:left="10" w:right="55" w:firstLine="1"/>
        <w:jc w:val="both"/>
      </w:pPr>
      <w:r>
        <w:rPr>
          <w:rFonts w:ascii="Times New Roman" w:eastAsia="Times New Roman" w:hAnsi="Times New Roman" w:cs="Times New Roman"/>
          <w:sz w:val="16"/>
        </w:rPr>
        <w:t>ORCID: https://orcid.org/0000-0001-7760-2091</w:t>
      </w:r>
    </w:p>
    <w:p w:rsidR="006F5A4C" w:rsidRDefault="00730F7D">
      <w:pPr>
        <w:spacing w:after="3" w:line="241" w:lineRule="auto"/>
        <w:ind w:left="10" w:right="55" w:firstLine="1"/>
        <w:jc w:val="both"/>
      </w:pPr>
      <w:r>
        <w:rPr>
          <w:rFonts w:ascii="Times New Roman" w:eastAsia="Times New Roman" w:hAnsi="Times New Roman" w:cs="Times New Roman"/>
          <w:b/>
          <w:sz w:val="16"/>
        </w:rPr>
        <w:t>Suleiman N. Mammayev</w:t>
      </w:r>
      <w:r>
        <w:rPr>
          <w:rFonts w:ascii="Times New Roman" w:eastAsia="Times New Roman" w:hAnsi="Times New Roman" w:cs="Times New Roman"/>
          <w:sz w:val="16"/>
        </w:rPr>
        <w:t xml:space="preserve"> — Dr. Sci. (Med.), Professor, Head of Department of Hospital Therapy No. 1, Rector, Dagestan State Medical University; Chief Freelance Gastroenterologist of the North Caucasus Federal Distri</w:t>
      </w:r>
      <w:r>
        <w:rPr>
          <w:rFonts w:ascii="Times New Roman" w:eastAsia="Times New Roman" w:hAnsi="Times New Roman" w:cs="Times New Roman"/>
          <w:sz w:val="16"/>
        </w:rPr>
        <w:t>ct.</w:t>
      </w:r>
    </w:p>
    <w:p w:rsidR="006F5A4C" w:rsidRDefault="00730F7D">
      <w:pPr>
        <w:spacing w:after="3" w:line="241" w:lineRule="auto"/>
        <w:ind w:left="10" w:right="55" w:firstLine="1"/>
        <w:jc w:val="both"/>
      </w:pPr>
      <w:r>
        <w:rPr>
          <w:rFonts w:ascii="Times New Roman" w:eastAsia="Times New Roman" w:hAnsi="Times New Roman" w:cs="Times New Roman"/>
          <w:sz w:val="16"/>
        </w:rPr>
        <w:t>гастроэнтеролог Северо-Кавказского федерального округа.</w:t>
      </w:r>
    </w:p>
    <w:p w:rsidR="006F5A4C" w:rsidRDefault="00730F7D">
      <w:pPr>
        <w:spacing w:after="3" w:line="241" w:lineRule="auto"/>
        <w:ind w:left="10" w:right="419" w:firstLine="1"/>
        <w:jc w:val="both"/>
      </w:pPr>
      <w:r>
        <w:rPr>
          <w:rFonts w:ascii="Times New Roman" w:eastAsia="Times New Roman" w:hAnsi="Times New Roman" w:cs="Times New Roman"/>
          <w:sz w:val="16"/>
        </w:rPr>
        <w:t>Контактная информация: hepar-sul-dag@mail.ru; 367000, г. Махачкала, пл. Ленина, 1.</w:t>
      </w:r>
    </w:p>
    <w:p w:rsidR="006F5A4C" w:rsidRDefault="00730F7D">
      <w:pPr>
        <w:spacing w:after="211" w:line="241" w:lineRule="auto"/>
        <w:ind w:left="10" w:right="55" w:firstLine="1"/>
        <w:jc w:val="both"/>
      </w:pPr>
      <w:r>
        <w:rPr>
          <w:rFonts w:ascii="Times New Roman" w:eastAsia="Times New Roman" w:hAnsi="Times New Roman" w:cs="Times New Roman"/>
          <w:sz w:val="16"/>
        </w:rPr>
        <w:t>ORCID: https://orcid.org/0000-0001-8898-8831</w:t>
      </w:r>
    </w:p>
    <w:p w:rsidR="006F5A4C" w:rsidRDefault="00730F7D">
      <w:pPr>
        <w:spacing w:after="3" w:line="241" w:lineRule="auto"/>
        <w:ind w:left="10" w:right="55" w:firstLine="1"/>
        <w:jc w:val="both"/>
      </w:pPr>
      <w:r>
        <w:rPr>
          <w:rFonts w:ascii="Times New Roman" w:eastAsia="Times New Roman" w:hAnsi="Times New Roman" w:cs="Times New Roman"/>
          <w:b/>
          <w:sz w:val="16"/>
        </w:rPr>
        <w:t>Осипенко Марина Федоровна</w:t>
      </w:r>
      <w:r>
        <w:rPr>
          <w:rFonts w:ascii="Times New Roman" w:eastAsia="Times New Roman" w:hAnsi="Times New Roman" w:cs="Times New Roman"/>
          <w:sz w:val="16"/>
        </w:rPr>
        <w:t xml:space="preserve"> — доктор медицинских наук, профессор; заве</w:t>
      </w:r>
      <w:r>
        <w:rPr>
          <w:rFonts w:ascii="Times New Roman" w:eastAsia="Times New Roman" w:hAnsi="Times New Roman" w:cs="Times New Roman"/>
          <w:sz w:val="16"/>
        </w:rPr>
        <w:t>дующая кафедрой пропедевтики внутренних болезней, ФГБОУ ВО «Новосибирский государственный медицинский университет» Министерства здравоохранения Российской Федерации.</w:t>
      </w:r>
    </w:p>
    <w:p w:rsidR="006F5A4C" w:rsidRDefault="00730F7D">
      <w:pPr>
        <w:spacing w:after="3" w:line="241" w:lineRule="auto"/>
        <w:ind w:left="10" w:right="1163" w:firstLine="1"/>
        <w:jc w:val="both"/>
      </w:pPr>
      <w:r>
        <w:rPr>
          <w:rFonts w:ascii="Times New Roman" w:eastAsia="Times New Roman" w:hAnsi="Times New Roman" w:cs="Times New Roman"/>
          <w:sz w:val="16"/>
        </w:rPr>
        <w:t>Контактная информация: ngma@bk.ru; 630091, г. Новосибирск, Красный просп., 52.</w:t>
      </w:r>
    </w:p>
    <w:p w:rsidR="006F5A4C" w:rsidRDefault="00730F7D">
      <w:pPr>
        <w:spacing w:after="210" w:line="241" w:lineRule="auto"/>
        <w:ind w:left="10" w:right="55" w:firstLine="1"/>
        <w:jc w:val="both"/>
      </w:pPr>
      <w:r>
        <w:rPr>
          <w:rFonts w:ascii="Times New Roman" w:eastAsia="Times New Roman" w:hAnsi="Times New Roman" w:cs="Times New Roman"/>
          <w:sz w:val="16"/>
        </w:rPr>
        <w:t>ORСID: http</w:t>
      </w:r>
      <w:r>
        <w:rPr>
          <w:rFonts w:ascii="Times New Roman" w:eastAsia="Times New Roman" w:hAnsi="Times New Roman" w:cs="Times New Roman"/>
          <w:sz w:val="16"/>
        </w:rPr>
        <w:t>s://orcid.org/0000-0002-5156-2842</w:t>
      </w:r>
    </w:p>
    <w:p w:rsidR="006F5A4C" w:rsidRDefault="00730F7D">
      <w:pPr>
        <w:spacing w:after="3" w:line="241" w:lineRule="auto"/>
        <w:ind w:left="10" w:right="55" w:firstLine="1"/>
        <w:jc w:val="both"/>
      </w:pPr>
      <w:r>
        <w:rPr>
          <w:rFonts w:ascii="Times New Roman" w:eastAsia="Times New Roman" w:hAnsi="Times New Roman" w:cs="Times New Roman"/>
          <w:b/>
          <w:sz w:val="16"/>
        </w:rPr>
        <w:t>Пирогов Сергей Сергеевич</w:t>
      </w:r>
      <w:r>
        <w:rPr>
          <w:rFonts w:ascii="Times New Roman" w:eastAsia="Times New Roman" w:hAnsi="Times New Roman" w:cs="Times New Roman"/>
          <w:sz w:val="16"/>
        </w:rPr>
        <w:t xml:space="preserve"> — доктор медицинских наук, заведующий отделом эндоскопии, Московский научно-исследовательский онкологический институт им. П.А. Герцена — филиал ФГБУ «Национальный медицинский исследовательский ради</w:t>
      </w:r>
      <w:r>
        <w:rPr>
          <w:rFonts w:ascii="Times New Roman" w:eastAsia="Times New Roman" w:hAnsi="Times New Roman" w:cs="Times New Roman"/>
          <w:sz w:val="16"/>
        </w:rPr>
        <w:t>ологический центр» Министерства здравоохранения Российской Федерации.</w:t>
      </w:r>
    </w:p>
    <w:p w:rsidR="006F5A4C" w:rsidRDefault="00730F7D">
      <w:pPr>
        <w:spacing w:after="3" w:line="241" w:lineRule="auto"/>
        <w:ind w:left="10" w:right="55" w:firstLine="1"/>
        <w:jc w:val="both"/>
      </w:pPr>
      <w:r>
        <w:rPr>
          <w:rFonts w:ascii="Times New Roman" w:eastAsia="Times New Roman" w:hAnsi="Times New Roman" w:cs="Times New Roman"/>
          <w:sz w:val="16"/>
        </w:rPr>
        <w:t>Контактная информация: pirogov@mail.ru;</w:t>
      </w:r>
    </w:p>
    <w:p w:rsidR="006F5A4C" w:rsidRDefault="00730F7D">
      <w:pPr>
        <w:spacing w:after="3" w:line="241" w:lineRule="auto"/>
        <w:ind w:left="10" w:right="55" w:firstLine="1"/>
        <w:jc w:val="both"/>
      </w:pPr>
      <w:r>
        <w:rPr>
          <w:rFonts w:ascii="Times New Roman" w:eastAsia="Times New Roman" w:hAnsi="Times New Roman" w:cs="Times New Roman"/>
          <w:sz w:val="16"/>
        </w:rPr>
        <w:t>125284, г. Москва, 2-й Боткинский проезд, 3.</w:t>
      </w:r>
    </w:p>
    <w:p w:rsidR="006F5A4C" w:rsidRDefault="00730F7D">
      <w:pPr>
        <w:spacing w:after="216" w:line="241" w:lineRule="auto"/>
        <w:ind w:left="10" w:right="55" w:firstLine="1"/>
        <w:jc w:val="both"/>
      </w:pPr>
      <w:r>
        <w:rPr>
          <w:rFonts w:ascii="Times New Roman" w:eastAsia="Times New Roman" w:hAnsi="Times New Roman" w:cs="Times New Roman"/>
          <w:sz w:val="16"/>
        </w:rPr>
        <w:t>ORCID: https://orcid.org/0000-0002-8101-2155</w:t>
      </w:r>
    </w:p>
    <w:p w:rsidR="006F5A4C" w:rsidRDefault="00730F7D">
      <w:pPr>
        <w:spacing w:after="3" w:line="241" w:lineRule="auto"/>
        <w:ind w:left="10" w:right="55" w:firstLine="1"/>
        <w:jc w:val="both"/>
      </w:pPr>
      <w:r>
        <w:rPr>
          <w:rFonts w:ascii="Times New Roman" w:eastAsia="Times New Roman" w:hAnsi="Times New Roman" w:cs="Times New Roman"/>
          <w:b/>
          <w:sz w:val="16"/>
        </w:rPr>
        <w:t>Полуэктова Елена Александровна</w:t>
      </w:r>
      <w:r>
        <w:rPr>
          <w:rFonts w:ascii="Times New Roman" w:eastAsia="Times New Roman" w:hAnsi="Times New Roman" w:cs="Times New Roman"/>
          <w:sz w:val="16"/>
        </w:rPr>
        <w:t xml:space="preserve"> — </w:t>
      </w:r>
      <w:r>
        <w:rPr>
          <w:rFonts w:ascii="Times New Roman" w:eastAsia="Times New Roman" w:hAnsi="Times New Roman" w:cs="Times New Roman"/>
          <w:sz w:val="16"/>
        </w:rPr>
        <w:t>доктор медицинских наук, профессор кафедры пропедевтики внутренних болезней, гастроэнтерологии и гепатологии, ФГАОУ ВО «Первый Московский государственный медицинский университет им. И.М. Сеченова» Министерства здравоохранения Российской Федерации (Сеченовс</w:t>
      </w:r>
      <w:r>
        <w:rPr>
          <w:rFonts w:ascii="Times New Roman" w:eastAsia="Times New Roman" w:hAnsi="Times New Roman" w:cs="Times New Roman"/>
          <w:sz w:val="16"/>
        </w:rPr>
        <w:t>кий Университет). Контактная информация: poluektova_e_a@staff.sechenov.ru; 119435, г. Москва, ул. Погодинская, 1, стр. 1.</w:t>
      </w:r>
    </w:p>
    <w:p w:rsidR="006F5A4C" w:rsidRDefault="00730F7D">
      <w:pPr>
        <w:spacing w:after="212" w:line="241" w:lineRule="auto"/>
        <w:ind w:left="10" w:right="55" w:firstLine="1"/>
        <w:jc w:val="both"/>
      </w:pPr>
      <w:r>
        <w:rPr>
          <w:rFonts w:ascii="Times New Roman" w:eastAsia="Times New Roman" w:hAnsi="Times New Roman" w:cs="Times New Roman"/>
          <w:sz w:val="16"/>
        </w:rPr>
        <w:t>ORCID: https://orcid.org/0000-0003-1312-120X</w:t>
      </w:r>
    </w:p>
    <w:p w:rsidR="006F5A4C" w:rsidRDefault="00730F7D">
      <w:pPr>
        <w:spacing w:after="3" w:line="241" w:lineRule="auto"/>
        <w:ind w:left="10" w:right="55" w:firstLine="1"/>
        <w:jc w:val="both"/>
      </w:pPr>
      <w:r>
        <w:rPr>
          <w:rFonts w:ascii="Times New Roman" w:eastAsia="Times New Roman" w:hAnsi="Times New Roman" w:cs="Times New Roman"/>
          <w:b/>
          <w:sz w:val="16"/>
        </w:rPr>
        <w:t>Румянцева Диана Евгеньевна</w:t>
      </w:r>
      <w:r>
        <w:rPr>
          <w:rFonts w:ascii="Times New Roman" w:eastAsia="Times New Roman" w:hAnsi="Times New Roman" w:cs="Times New Roman"/>
          <w:sz w:val="16"/>
        </w:rPr>
        <w:t xml:space="preserve"> — кандидат медицинских наук, врач отделения гастроэнтерологии,</w:t>
      </w:r>
      <w:r>
        <w:rPr>
          <w:rFonts w:ascii="Times New Roman" w:eastAsia="Times New Roman" w:hAnsi="Times New Roman" w:cs="Times New Roman"/>
          <w:sz w:val="16"/>
        </w:rPr>
        <w:t xml:space="preserve"> Клиника пропедевтики внутренних болезней, гастроэнтерологии и гепатологии им. В.Х. Василенко, ФГАОУ ВО «Первый Московский государственный медицинский университет им. И.М. Сеченова» Министерства здравоохранения Российской Федерации (Сеченовский Университет</w:t>
      </w:r>
      <w:r>
        <w:rPr>
          <w:rFonts w:ascii="Times New Roman" w:eastAsia="Times New Roman" w:hAnsi="Times New Roman" w:cs="Times New Roman"/>
          <w:sz w:val="16"/>
        </w:rPr>
        <w:t>).</w:t>
      </w:r>
    </w:p>
    <w:p w:rsidR="006F5A4C" w:rsidRDefault="00730F7D">
      <w:pPr>
        <w:spacing w:after="3" w:line="241" w:lineRule="auto"/>
        <w:ind w:left="10" w:right="55" w:firstLine="1"/>
        <w:jc w:val="both"/>
      </w:pPr>
      <w:r>
        <w:rPr>
          <w:rFonts w:ascii="Times New Roman" w:eastAsia="Times New Roman" w:hAnsi="Times New Roman" w:cs="Times New Roman"/>
          <w:sz w:val="16"/>
        </w:rPr>
        <w:t>Контактная информация: diana-ryazanceva@yаndеx.ru; 119435, г. Москва, ул. Погодинская, 1, стр. 1.</w:t>
      </w:r>
    </w:p>
    <w:p w:rsidR="006F5A4C" w:rsidRDefault="00730F7D">
      <w:pPr>
        <w:spacing w:after="214" w:line="241" w:lineRule="auto"/>
        <w:ind w:left="10" w:right="55" w:firstLine="1"/>
        <w:jc w:val="both"/>
      </w:pPr>
      <w:r>
        <w:rPr>
          <w:rFonts w:ascii="Times New Roman" w:eastAsia="Times New Roman" w:hAnsi="Times New Roman" w:cs="Times New Roman"/>
          <w:sz w:val="16"/>
        </w:rPr>
        <w:t>ORCID: https://orcid.org/0000-0001-7048-0538</w:t>
      </w:r>
    </w:p>
    <w:p w:rsidR="006F5A4C" w:rsidRDefault="00730F7D">
      <w:pPr>
        <w:spacing w:after="3" w:line="241" w:lineRule="auto"/>
        <w:ind w:left="10" w:right="55" w:firstLine="1"/>
        <w:jc w:val="both"/>
      </w:pPr>
      <w:r>
        <w:rPr>
          <w:rFonts w:ascii="Times New Roman" w:eastAsia="Times New Roman" w:hAnsi="Times New Roman" w:cs="Times New Roman"/>
          <w:b/>
          <w:sz w:val="16"/>
        </w:rPr>
        <w:t>Сайфутдинов Рафик Глимзянович</w:t>
      </w:r>
      <w:r>
        <w:rPr>
          <w:rFonts w:ascii="Times New Roman" w:eastAsia="Times New Roman" w:hAnsi="Times New Roman" w:cs="Times New Roman"/>
          <w:sz w:val="16"/>
        </w:rPr>
        <w:t xml:space="preserve"> — доктор медицинских наук, профессор, заведующий кафедрой госпитальной и поликли</w:t>
      </w:r>
      <w:r>
        <w:rPr>
          <w:rFonts w:ascii="Times New Roman" w:eastAsia="Times New Roman" w:hAnsi="Times New Roman" w:cs="Times New Roman"/>
          <w:sz w:val="16"/>
        </w:rPr>
        <w:t>нической терапии, Казанская государственная медицинская академия — филиал ФГБОУ ДПО «Российская медицинская академия непрерывного профессионального образования» Министерства здравоохранения Российской Федерации.</w:t>
      </w:r>
    </w:p>
    <w:p w:rsidR="006F5A4C" w:rsidRDefault="00730F7D">
      <w:pPr>
        <w:spacing w:after="211" w:line="241" w:lineRule="auto"/>
        <w:ind w:left="10" w:right="611" w:firstLine="1"/>
        <w:jc w:val="both"/>
      </w:pPr>
      <w:r>
        <w:rPr>
          <w:rFonts w:ascii="Times New Roman" w:eastAsia="Times New Roman" w:hAnsi="Times New Roman" w:cs="Times New Roman"/>
          <w:sz w:val="16"/>
        </w:rPr>
        <w:t>Контактная информация: rgsbancorp@mail.ru; 4</w:t>
      </w:r>
      <w:r>
        <w:rPr>
          <w:rFonts w:ascii="Times New Roman" w:eastAsia="Times New Roman" w:hAnsi="Times New Roman" w:cs="Times New Roman"/>
          <w:sz w:val="16"/>
        </w:rPr>
        <w:t>20012, г. Казань, ул. Муштари, 11.</w:t>
      </w:r>
    </w:p>
    <w:p w:rsidR="006F5A4C" w:rsidRDefault="00730F7D">
      <w:pPr>
        <w:spacing w:after="3" w:line="241" w:lineRule="auto"/>
        <w:ind w:left="10" w:right="55" w:firstLine="1"/>
        <w:jc w:val="both"/>
      </w:pPr>
      <w:r>
        <w:rPr>
          <w:rFonts w:ascii="Times New Roman" w:eastAsia="Times New Roman" w:hAnsi="Times New Roman" w:cs="Times New Roman"/>
          <w:b/>
          <w:sz w:val="16"/>
        </w:rPr>
        <w:t>Сторонова Ольга Андреевна</w:t>
      </w:r>
      <w:r>
        <w:rPr>
          <w:rFonts w:ascii="Times New Roman" w:eastAsia="Times New Roman" w:hAnsi="Times New Roman" w:cs="Times New Roman"/>
          <w:sz w:val="16"/>
        </w:rPr>
        <w:t xml:space="preserve"> — кандидат медицинских наук, врач отделения функциональной диагностики, Клиника пропедевтики внутренних болезней, гастроэнтерологии и гепатологии им. В.Х. Василенко, ФГАОУ ВО «Первый Московский г</w:t>
      </w:r>
      <w:r>
        <w:rPr>
          <w:rFonts w:ascii="Times New Roman" w:eastAsia="Times New Roman" w:hAnsi="Times New Roman" w:cs="Times New Roman"/>
          <w:sz w:val="16"/>
        </w:rPr>
        <w:t>осударственный медицинский университет им. И.М. Сеченова» Министерства здравоохранения Российской Федерации (Сеченовский Университет). Контактная информация: storonova_o_a@staff.sechenov.ru; 119435, г. Москва, ул. Погодинская, 1, стр. 1.</w:t>
      </w:r>
    </w:p>
    <w:p w:rsidR="006F5A4C" w:rsidRDefault="00730F7D">
      <w:pPr>
        <w:spacing w:after="210" w:line="241" w:lineRule="auto"/>
        <w:ind w:left="10" w:right="55" w:firstLine="1"/>
        <w:jc w:val="both"/>
      </w:pPr>
      <w:r>
        <w:rPr>
          <w:rFonts w:ascii="Times New Roman" w:eastAsia="Times New Roman" w:hAnsi="Times New Roman" w:cs="Times New Roman"/>
          <w:sz w:val="16"/>
        </w:rPr>
        <w:t>ORCID: https://orc</w:t>
      </w:r>
      <w:r>
        <w:rPr>
          <w:rFonts w:ascii="Times New Roman" w:eastAsia="Times New Roman" w:hAnsi="Times New Roman" w:cs="Times New Roman"/>
          <w:sz w:val="16"/>
        </w:rPr>
        <w:t>id.org/0000-0002-0960-1166</w:t>
      </w:r>
    </w:p>
    <w:p w:rsidR="006F5A4C" w:rsidRDefault="00730F7D">
      <w:pPr>
        <w:spacing w:after="3" w:line="241" w:lineRule="auto"/>
        <w:ind w:left="10" w:right="55" w:firstLine="1"/>
        <w:jc w:val="both"/>
      </w:pPr>
      <w:r>
        <w:rPr>
          <w:rFonts w:ascii="Times New Roman" w:eastAsia="Times New Roman" w:hAnsi="Times New Roman" w:cs="Times New Roman"/>
          <w:b/>
          <w:sz w:val="16"/>
        </w:rPr>
        <w:t>Успенский Юрий Павлович</w:t>
      </w:r>
      <w:r>
        <w:rPr>
          <w:rFonts w:ascii="Times New Roman" w:eastAsia="Times New Roman" w:hAnsi="Times New Roman" w:cs="Times New Roman"/>
          <w:sz w:val="16"/>
        </w:rPr>
        <w:t xml:space="preserve"> — доктор медицинских наук, профессор, заведующий кафедрой факультетской терапии им. профессора В.А. Вальдмана, ФГБОУ ВО «СанктContact information: hepar-sul-dag@mail.ru; 367000, Makhachkala, Lenina sq., 1.</w:t>
      </w:r>
    </w:p>
    <w:p w:rsidR="006F5A4C" w:rsidRDefault="00730F7D">
      <w:pPr>
        <w:spacing w:after="397" w:line="241" w:lineRule="auto"/>
        <w:ind w:left="10" w:right="55" w:firstLine="1"/>
        <w:jc w:val="both"/>
      </w:pPr>
      <w:r>
        <w:rPr>
          <w:rFonts w:ascii="Times New Roman" w:eastAsia="Times New Roman" w:hAnsi="Times New Roman" w:cs="Times New Roman"/>
          <w:sz w:val="16"/>
        </w:rPr>
        <w:t>ORCID: https://orcid.org/0000-0001-8898-8831</w:t>
      </w:r>
    </w:p>
    <w:p w:rsidR="006F5A4C" w:rsidRDefault="00730F7D">
      <w:pPr>
        <w:spacing w:after="3" w:line="241" w:lineRule="auto"/>
        <w:ind w:left="10" w:right="55" w:firstLine="1"/>
        <w:jc w:val="both"/>
      </w:pPr>
      <w:r>
        <w:rPr>
          <w:rFonts w:ascii="Times New Roman" w:eastAsia="Times New Roman" w:hAnsi="Times New Roman" w:cs="Times New Roman"/>
          <w:b/>
          <w:sz w:val="16"/>
        </w:rPr>
        <w:t>Marina F. Osipenko</w:t>
      </w:r>
      <w:r>
        <w:rPr>
          <w:rFonts w:ascii="Times New Roman" w:eastAsia="Times New Roman" w:hAnsi="Times New Roman" w:cs="Times New Roman"/>
          <w:sz w:val="16"/>
        </w:rPr>
        <w:t xml:space="preserve"> — Dr. Sci. (Med.), Professor, Head of the De- partment of Propaedeutics of Internal Diseases, Novosibirsk State Medical University.</w:t>
      </w:r>
    </w:p>
    <w:p w:rsidR="006F5A4C" w:rsidRDefault="00730F7D">
      <w:pPr>
        <w:spacing w:after="3" w:line="241" w:lineRule="auto"/>
        <w:ind w:left="10" w:right="1634" w:firstLine="1"/>
        <w:jc w:val="both"/>
      </w:pPr>
      <w:r>
        <w:rPr>
          <w:rFonts w:ascii="Times New Roman" w:eastAsia="Times New Roman" w:hAnsi="Times New Roman" w:cs="Times New Roman"/>
          <w:sz w:val="16"/>
        </w:rPr>
        <w:t>Contact information: ngma@bk.ru; 630091, Novosibirsk, Krasny ave., 52.</w:t>
      </w:r>
    </w:p>
    <w:p w:rsidR="006F5A4C" w:rsidRDefault="00730F7D">
      <w:pPr>
        <w:spacing w:after="589" w:line="241" w:lineRule="auto"/>
        <w:ind w:left="10" w:right="55" w:firstLine="1"/>
        <w:jc w:val="both"/>
      </w:pPr>
      <w:r>
        <w:rPr>
          <w:rFonts w:ascii="Times New Roman" w:eastAsia="Times New Roman" w:hAnsi="Times New Roman" w:cs="Times New Roman"/>
          <w:sz w:val="16"/>
        </w:rPr>
        <w:t>ORCID: https://orcid.org/0000-0002-5156-2842</w:t>
      </w:r>
    </w:p>
    <w:p w:rsidR="006F5A4C" w:rsidRDefault="00730F7D">
      <w:pPr>
        <w:spacing w:after="3" w:line="241" w:lineRule="auto"/>
        <w:ind w:left="10" w:right="55" w:firstLine="1"/>
        <w:jc w:val="both"/>
      </w:pPr>
      <w:r>
        <w:rPr>
          <w:rFonts w:ascii="Times New Roman" w:eastAsia="Times New Roman" w:hAnsi="Times New Roman" w:cs="Times New Roman"/>
          <w:b/>
          <w:sz w:val="16"/>
        </w:rPr>
        <w:t>Sergey S. Pirogov</w:t>
      </w:r>
      <w:r>
        <w:rPr>
          <w:rFonts w:ascii="Times New Roman" w:eastAsia="Times New Roman" w:hAnsi="Times New Roman" w:cs="Times New Roman"/>
          <w:sz w:val="16"/>
        </w:rPr>
        <w:t xml:space="preserve"> — Dr. Sci. (Med.), Head of the Department of Endoscopy, Moscow Research Oncological Institute named after P.A. Gertsen — B</w:t>
      </w:r>
      <w:r>
        <w:rPr>
          <w:rFonts w:ascii="Times New Roman" w:eastAsia="Times New Roman" w:hAnsi="Times New Roman" w:cs="Times New Roman"/>
          <w:sz w:val="16"/>
        </w:rPr>
        <w:t>ranch of National Medical Research Radiological Center.</w:t>
      </w:r>
    </w:p>
    <w:p w:rsidR="006F5A4C" w:rsidRDefault="00730F7D">
      <w:pPr>
        <w:spacing w:after="3" w:line="241" w:lineRule="auto"/>
        <w:ind w:left="10" w:right="1266" w:firstLine="1"/>
        <w:jc w:val="both"/>
      </w:pPr>
      <w:r>
        <w:rPr>
          <w:rFonts w:ascii="Times New Roman" w:eastAsia="Times New Roman" w:hAnsi="Times New Roman" w:cs="Times New Roman"/>
          <w:sz w:val="16"/>
        </w:rPr>
        <w:t>Contact information: pirogov@mail.ru; 125284, Moscow, Vtoroy Botkinskiy passage, 3.</w:t>
      </w:r>
    </w:p>
    <w:p w:rsidR="006F5A4C" w:rsidRDefault="00730F7D">
      <w:pPr>
        <w:spacing w:after="590" w:line="241" w:lineRule="auto"/>
        <w:ind w:left="10" w:right="55" w:firstLine="1"/>
        <w:jc w:val="both"/>
      </w:pPr>
      <w:r>
        <w:rPr>
          <w:rFonts w:ascii="Times New Roman" w:eastAsia="Times New Roman" w:hAnsi="Times New Roman" w:cs="Times New Roman"/>
          <w:sz w:val="16"/>
        </w:rPr>
        <w:t>ORCID: https://orcid.org/0000-0002-8101-2155</w:t>
      </w:r>
    </w:p>
    <w:p w:rsidR="006F5A4C" w:rsidRDefault="00730F7D">
      <w:pPr>
        <w:spacing w:after="3" w:line="241" w:lineRule="auto"/>
        <w:ind w:left="10" w:right="55" w:firstLine="1"/>
        <w:jc w:val="both"/>
      </w:pPr>
      <w:r>
        <w:rPr>
          <w:rFonts w:ascii="Times New Roman" w:eastAsia="Times New Roman" w:hAnsi="Times New Roman" w:cs="Times New Roman"/>
          <w:b/>
          <w:sz w:val="16"/>
        </w:rPr>
        <w:t>Elena A. Poluektova</w:t>
      </w:r>
      <w:r>
        <w:rPr>
          <w:rFonts w:ascii="Times New Roman" w:eastAsia="Times New Roman" w:hAnsi="Times New Roman" w:cs="Times New Roman"/>
          <w:sz w:val="16"/>
        </w:rPr>
        <w:t xml:space="preserve"> — Dr. Sci. (Med.), Professor of the Department of I</w:t>
      </w:r>
      <w:r>
        <w:rPr>
          <w:rFonts w:ascii="Times New Roman" w:eastAsia="Times New Roman" w:hAnsi="Times New Roman" w:cs="Times New Roman"/>
          <w:sz w:val="16"/>
        </w:rPr>
        <w:t>nternal Disease Propaedeutics, Gastroenterology and Hepatology, I.M. Sechenov First Moscow State Medical University (Sechenov University).</w:t>
      </w:r>
    </w:p>
    <w:p w:rsidR="006F5A4C" w:rsidRDefault="00730F7D">
      <w:pPr>
        <w:spacing w:after="3" w:line="241" w:lineRule="auto"/>
        <w:ind w:left="10" w:right="55" w:firstLine="1"/>
        <w:jc w:val="both"/>
      </w:pPr>
      <w:r>
        <w:rPr>
          <w:rFonts w:ascii="Times New Roman" w:eastAsia="Times New Roman" w:hAnsi="Times New Roman" w:cs="Times New Roman"/>
          <w:sz w:val="16"/>
        </w:rPr>
        <w:t>Contact information: poluektova_e_a@staff.sechenov.ru; 119435, Moscow, Pogodinskaya str., 1, build. 1.</w:t>
      </w:r>
    </w:p>
    <w:p w:rsidR="006F5A4C" w:rsidRDefault="00730F7D">
      <w:pPr>
        <w:spacing w:after="593" w:line="241" w:lineRule="auto"/>
        <w:ind w:left="10" w:right="55" w:firstLine="1"/>
        <w:jc w:val="both"/>
      </w:pPr>
      <w:r>
        <w:rPr>
          <w:rFonts w:ascii="Times New Roman" w:eastAsia="Times New Roman" w:hAnsi="Times New Roman" w:cs="Times New Roman"/>
          <w:sz w:val="16"/>
        </w:rPr>
        <w:t>ORCID: https:/</w:t>
      </w:r>
      <w:r>
        <w:rPr>
          <w:rFonts w:ascii="Times New Roman" w:eastAsia="Times New Roman" w:hAnsi="Times New Roman" w:cs="Times New Roman"/>
          <w:sz w:val="16"/>
        </w:rPr>
        <w:t>/orcid.org/0000-0003-1312-120X</w:t>
      </w:r>
    </w:p>
    <w:p w:rsidR="006F5A4C" w:rsidRDefault="00730F7D">
      <w:pPr>
        <w:spacing w:after="3" w:line="241" w:lineRule="auto"/>
        <w:ind w:left="10" w:right="55" w:firstLine="1"/>
        <w:jc w:val="both"/>
      </w:pPr>
      <w:r>
        <w:rPr>
          <w:rFonts w:ascii="Times New Roman" w:eastAsia="Times New Roman" w:hAnsi="Times New Roman" w:cs="Times New Roman"/>
          <w:b/>
          <w:sz w:val="16"/>
        </w:rPr>
        <w:t>Diana E. Rumyantseva</w:t>
      </w:r>
      <w:r>
        <w:rPr>
          <w:rFonts w:ascii="Times New Roman" w:eastAsia="Times New Roman" w:hAnsi="Times New Roman" w:cs="Times New Roman"/>
          <w:sz w:val="16"/>
        </w:rPr>
        <w:t xml:space="preserve"> — Cand. Sci. (Med.), Physician at the Department of Gastroenterology, V.Kh. Vasilenko Clinic of Internal Diseases Propaedeutics, Gastroenterology and Hepatology, I.M. Sechenov First Moscow State Medical U</w:t>
      </w:r>
      <w:r>
        <w:rPr>
          <w:rFonts w:ascii="Times New Roman" w:eastAsia="Times New Roman" w:hAnsi="Times New Roman" w:cs="Times New Roman"/>
          <w:sz w:val="16"/>
        </w:rPr>
        <w:t>niversity (Sechenov University). Contact information: diana-ryazanceva@yаndеx.ru; 119435, Moscow, Pogodinskaya str., 1, build. 1.</w:t>
      </w:r>
    </w:p>
    <w:p w:rsidR="006F5A4C" w:rsidRDefault="00730F7D">
      <w:pPr>
        <w:spacing w:after="590" w:line="241" w:lineRule="auto"/>
        <w:ind w:left="10" w:right="55" w:firstLine="1"/>
        <w:jc w:val="both"/>
      </w:pPr>
      <w:r>
        <w:rPr>
          <w:rFonts w:ascii="Times New Roman" w:eastAsia="Times New Roman" w:hAnsi="Times New Roman" w:cs="Times New Roman"/>
          <w:sz w:val="16"/>
        </w:rPr>
        <w:t>ORCID: https://orcid.org/0000-0001-7048-0538</w:t>
      </w:r>
    </w:p>
    <w:p w:rsidR="006F5A4C" w:rsidRDefault="00730F7D">
      <w:pPr>
        <w:spacing w:after="782" w:line="241" w:lineRule="auto"/>
        <w:ind w:left="10" w:right="55" w:firstLine="1"/>
        <w:jc w:val="both"/>
      </w:pPr>
      <w:r>
        <w:rPr>
          <w:rFonts w:ascii="Times New Roman" w:eastAsia="Times New Roman" w:hAnsi="Times New Roman" w:cs="Times New Roman"/>
          <w:b/>
          <w:sz w:val="16"/>
        </w:rPr>
        <w:t xml:space="preserve">Rafik G. Sayfutdinov </w:t>
      </w:r>
      <w:r>
        <w:rPr>
          <w:rFonts w:ascii="Times New Roman" w:eastAsia="Times New Roman" w:hAnsi="Times New Roman" w:cs="Times New Roman"/>
          <w:sz w:val="16"/>
        </w:rPr>
        <w:t>— Dr. Sci. (Med.), Professor, Head of the De- partment of Hospital and Outpatient Therapy, Kazan State Medical Academy — Branch Campus of the Russian Medical Academy of Continuous Professional Education. Contact information: rgsbancorp@mail.ru; 420012, Kaz</w:t>
      </w:r>
      <w:r>
        <w:rPr>
          <w:rFonts w:ascii="Times New Roman" w:eastAsia="Times New Roman" w:hAnsi="Times New Roman" w:cs="Times New Roman"/>
          <w:sz w:val="16"/>
        </w:rPr>
        <w:t>an, Mushtari str., 11.</w:t>
      </w:r>
    </w:p>
    <w:p w:rsidR="006F5A4C" w:rsidRDefault="00730F7D">
      <w:pPr>
        <w:spacing w:after="3" w:line="241" w:lineRule="auto"/>
        <w:ind w:left="10" w:right="55" w:firstLine="1"/>
        <w:jc w:val="both"/>
      </w:pPr>
      <w:r>
        <w:rPr>
          <w:rFonts w:ascii="Times New Roman" w:eastAsia="Times New Roman" w:hAnsi="Times New Roman" w:cs="Times New Roman"/>
          <w:b/>
          <w:sz w:val="16"/>
        </w:rPr>
        <w:t>Olga A. Storonova</w:t>
      </w:r>
      <w:r>
        <w:rPr>
          <w:rFonts w:ascii="Times New Roman" w:eastAsia="Times New Roman" w:hAnsi="Times New Roman" w:cs="Times New Roman"/>
          <w:sz w:val="16"/>
        </w:rPr>
        <w:t xml:space="preserve"> — Cand. Sci. (Med.), Physician at the De- partment of Functional Diagnostics, V.Kh. Vasilenko Clinic of Propaedeutics of Internal Diseases, Gastroenterology and Hepatology, I.M. Sechenov First Moscow State Medical U</w:t>
      </w:r>
      <w:r>
        <w:rPr>
          <w:rFonts w:ascii="Times New Roman" w:eastAsia="Times New Roman" w:hAnsi="Times New Roman" w:cs="Times New Roman"/>
          <w:sz w:val="16"/>
        </w:rPr>
        <w:t>niversity (Sechenov University).</w:t>
      </w:r>
    </w:p>
    <w:p w:rsidR="006F5A4C" w:rsidRDefault="00730F7D">
      <w:pPr>
        <w:spacing w:after="3" w:line="241" w:lineRule="auto"/>
        <w:ind w:left="10" w:right="153" w:firstLine="1"/>
        <w:jc w:val="both"/>
      </w:pPr>
      <w:r>
        <w:rPr>
          <w:rFonts w:ascii="Times New Roman" w:eastAsia="Times New Roman" w:hAnsi="Times New Roman" w:cs="Times New Roman"/>
          <w:sz w:val="16"/>
        </w:rPr>
        <w:t>Contact information: storonova_o_a@staff.sechenov.ru; 119435, Moscow, Pogodinskaya str., 1, build. 1.</w:t>
      </w:r>
    </w:p>
    <w:p w:rsidR="006F5A4C" w:rsidRDefault="00730F7D">
      <w:pPr>
        <w:spacing w:after="589" w:line="241" w:lineRule="auto"/>
        <w:ind w:left="10" w:right="55" w:firstLine="1"/>
        <w:jc w:val="both"/>
      </w:pPr>
      <w:r>
        <w:rPr>
          <w:rFonts w:ascii="Times New Roman" w:eastAsia="Times New Roman" w:hAnsi="Times New Roman" w:cs="Times New Roman"/>
          <w:sz w:val="16"/>
        </w:rPr>
        <w:t>ORCID: https://orcid.org/0000-0002-0960-1166</w:t>
      </w:r>
    </w:p>
    <w:p w:rsidR="006F5A4C" w:rsidRDefault="00730F7D">
      <w:pPr>
        <w:spacing w:after="3" w:line="241" w:lineRule="auto"/>
        <w:ind w:left="10" w:right="55" w:firstLine="1"/>
        <w:jc w:val="both"/>
      </w:pPr>
      <w:r>
        <w:rPr>
          <w:rFonts w:ascii="Times New Roman" w:eastAsia="Times New Roman" w:hAnsi="Times New Roman" w:cs="Times New Roman"/>
          <w:b/>
          <w:sz w:val="16"/>
        </w:rPr>
        <w:t>Yury P. Uspenskiy</w:t>
      </w:r>
      <w:r>
        <w:rPr>
          <w:rFonts w:ascii="Times New Roman" w:eastAsia="Times New Roman" w:hAnsi="Times New Roman" w:cs="Times New Roman"/>
          <w:sz w:val="16"/>
        </w:rPr>
        <w:t xml:space="preserve"> — Dr. Sci. (Med.), Professor, Head of the De- partment of </w:t>
      </w:r>
      <w:r>
        <w:rPr>
          <w:rFonts w:ascii="Times New Roman" w:eastAsia="Times New Roman" w:hAnsi="Times New Roman" w:cs="Times New Roman"/>
          <w:sz w:val="16"/>
        </w:rPr>
        <w:t>Faculty Therapy named after V.A. Valdman, Saint Petersburg State Pediatric Medical University.</w:t>
      </w:r>
    </w:p>
    <w:p w:rsidR="006F5A4C" w:rsidRDefault="00730F7D">
      <w:pPr>
        <w:spacing w:after="3" w:line="241" w:lineRule="auto"/>
        <w:ind w:left="10" w:right="55" w:firstLine="1"/>
        <w:jc w:val="both"/>
      </w:pPr>
      <w:r>
        <w:rPr>
          <w:rFonts w:ascii="Times New Roman" w:eastAsia="Times New Roman" w:hAnsi="Times New Roman" w:cs="Times New Roman"/>
          <w:sz w:val="16"/>
        </w:rPr>
        <w:t>Петербургский государственный педиатрический медицинский университет» Министерства здравоохранения Российской Федерации.</w:t>
      </w:r>
    </w:p>
    <w:p w:rsidR="006F5A4C" w:rsidRDefault="00730F7D">
      <w:pPr>
        <w:spacing w:after="3" w:line="241" w:lineRule="auto"/>
        <w:ind w:left="10" w:right="55" w:firstLine="1"/>
        <w:jc w:val="both"/>
      </w:pPr>
      <w:r>
        <w:rPr>
          <w:rFonts w:ascii="Times New Roman" w:eastAsia="Times New Roman" w:hAnsi="Times New Roman" w:cs="Times New Roman"/>
          <w:sz w:val="16"/>
        </w:rPr>
        <w:t>Контактная информация: uspenskiy65@mail.</w:t>
      </w:r>
      <w:r>
        <w:rPr>
          <w:rFonts w:ascii="Times New Roman" w:eastAsia="Times New Roman" w:hAnsi="Times New Roman" w:cs="Times New Roman"/>
          <w:sz w:val="16"/>
        </w:rPr>
        <w:t>ru;</w:t>
      </w:r>
    </w:p>
    <w:p w:rsidR="006F5A4C" w:rsidRDefault="00730F7D">
      <w:pPr>
        <w:spacing w:after="211" w:line="241" w:lineRule="auto"/>
        <w:ind w:left="10" w:right="170" w:firstLine="1"/>
        <w:jc w:val="both"/>
      </w:pPr>
      <w:r>
        <w:rPr>
          <w:rFonts w:ascii="Times New Roman" w:eastAsia="Times New Roman" w:hAnsi="Times New Roman" w:cs="Times New Roman"/>
          <w:sz w:val="16"/>
        </w:rPr>
        <w:t>191014, г. Санкт-Петербург, Литейный просп., 56. ORCID: https://orcid.org/0000-0001-6434-1267</w:t>
      </w:r>
    </w:p>
    <w:p w:rsidR="006F5A4C" w:rsidRDefault="00730F7D">
      <w:pPr>
        <w:spacing w:after="3" w:line="241" w:lineRule="auto"/>
        <w:ind w:left="10" w:right="55" w:firstLine="1"/>
        <w:jc w:val="both"/>
      </w:pPr>
      <w:r>
        <w:rPr>
          <w:rFonts w:ascii="Times New Roman" w:eastAsia="Times New Roman" w:hAnsi="Times New Roman" w:cs="Times New Roman"/>
          <w:b/>
          <w:sz w:val="16"/>
        </w:rPr>
        <w:t>Хлынов Игорь Борисович</w:t>
      </w:r>
      <w:r>
        <w:rPr>
          <w:rFonts w:ascii="Times New Roman" w:eastAsia="Times New Roman" w:hAnsi="Times New Roman" w:cs="Times New Roman"/>
          <w:sz w:val="16"/>
        </w:rPr>
        <w:t xml:space="preserve"> — доктор медицинских наук, доцент кафедры факультетской терапии и гериатрии, ФГБОУ ВО «Уральский государственный медицинский университе</w:t>
      </w:r>
      <w:r>
        <w:rPr>
          <w:rFonts w:ascii="Times New Roman" w:eastAsia="Times New Roman" w:hAnsi="Times New Roman" w:cs="Times New Roman"/>
          <w:sz w:val="16"/>
        </w:rPr>
        <w:t>т»; главный внештатный гастроэнтеролог Уральского федерального округа.</w:t>
      </w:r>
    </w:p>
    <w:p w:rsidR="006F5A4C" w:rsidRDefault="00730F7D">
      <w:pPr>
        <w:spacing w:after="3" w:line="241" w:lineRule="auto"/>
        <w:ind w:left="10" w:right="400" w:firstLine="1"/>
        <w:jc w:val="both"/>
      </w:pPr>
      <w:r>
        <w:rPr>
          <w:rFonts w:ascii="Times New Roman" w:eastAsia="Times New Roman" w:hAnsi="Times New Roman" w:cs="Times New Roman"/>
          <w:sz w:val="16"/>
        </w:rPr>
        <w:t>Контактная информация: hlinov.doc@yandex.ru; 620028, г. Екатеринбург, ул. Репина, 3.</w:t>
      </w:r>
    </w:p>
    <w:p w:rsidR="006F5A4C" w:rsidRDefault="00730F7D">
      <w:pPr>
        <w:spacing w:after="216" w:line="241" w:lineRule="auto"/>
        <w:ind w:left="10" w:right="55" w:firstLine="1"/>
        <w:jc w:val="both"/>
      </w:pPr>
      <w:r>
        <w:rPr>
          <w:rFonts w:ascii="Times New Roman" w:eastAsia="Times New Roman" w:hAnsi="Times New Roman" w:cs="Times New Roman"/>
          <w:sz w:val="16"/>
        </w:rPr>
        <w:t>ORCID: https://orcid.org/0000-0002-0944-9811</w:t>
      </w:r>
    </w:p>
    <w:p w:rsidR="006F5A4C" w:rsidRDefault="00730F7D">
      <w:pPr>
        <w:spacing w:after="3" w:line="241" w:lineRule="auto"/>
        <w:ind w:left="10" w:right="55" w:firstLine="1"/>
        <w:jc w:val="both"/>
      </w:pPr>
      <w:r>
        <w:rPr>
          <w:rFonts w:ascii="Times New Roman" w:eastAsia="Times New Roman" w:hAnsi="Times New Roman" w:cs="Times New Roman"/>
          <w:b/>
          <w:sz w:val="16"/>
        </w:rPr>
        <w:t>Цуканов Владислав Владимирович</w:t>
      </w:r>
      <w:r>
        <w:rPr>
          <w:rFonts w:ascii="Times New Roman" w:eastAsia="Times New Roman" w:hAnsi="Times New Roman" w:cs="Times New Roman"/>
          <w:sz w:val="16"/>
        </w:rPr>
        <w:t xml:space="preserve"> — </w:t>
      </w:r>
      <w:r>
        <w:rPr>
          <w:rFonts w:ascii="Times New Roman" w:eastAsia="Times New Roman" w:hAnsi="Times New Roman" w:cs="Times New Roman"/>
          <w:sz w:val="16"/>
        </w:rPr>
        <w:t xml:space="preserve">доктор медицинских наук, профессор, заведующий клиническим отделением патологии пищеварительной системы у взрослых и детей, ФБГНУ «Федеральный исследовательский центр </w:t>
      </w:r>
    </w:p>
    <w:p w:rsidR="006F5A4C" w:rsidRDefault="00730F7D">
      <w:pPr>
        <w:spacing w:after="3" w:line="241" w:lineRule="auto"/>
        <w:ind w:left="10" w:right="55" w:firstLine="1"/>
        <w:jc w:val="both"/>
      </w:pPr>
      <w:r>
        <w:rPr>
          <w:rFonts w:ascii="Times New Roman" w:eastAsia="Times New Roman" w:hAnsi="Times New Roman" w:cs="Times New Roman"/>
          <w:sz w:val="16"/>
        </w:rPr>
        <w:t>«Красноярский научный центр Сибирского отделения Российской академии наук», обособленное</w:t>
      </w:r>
      <w:r>
        <w:rPr>
          <w:rFonts w:ascii="Times New Roman" w:eastAsia="Times New Roman" w:hAnsi="Times New Roman" w:cs="Times New Roman"/>
          <w:sz w:val="16"/>
        </w:rPr>
        <w:t xml:space="preserve"> подразделение </w:t>
      </w:r>
    </w:p>
    <w:p w:rsidR="006F5A4C" w:rsidRDefault="00730F7D">
      <w:pPr>
        <w:spacing w:after="3" w:line="241" w:lineRule="auto"/>
        <w:ind w:left="10" w:right="55" w:firstLine="1"/>
        <w:jc w:val="both"/>
      </w:pPr>
      <w:r>
        <w:rPr>
          <w:rFonts w:ascii="Times New Roman" w:eastAsia="Times New Roman" w:hAnsi="Times New Roman" w:cs="Times New Roman"/>
          <w:sz w:val="16"/>
        </w:rPr>
        <w:t>«Научно-исследовательский институт медицинских проблем Севера»; главный гастроэнтеролог Сибирского федерального округа.</w:t>
      </w:r>
    </w:p>
    <w:p w:rsidR="006F5A4C" w:rsidRDefault="00730F7D">
      <w:pPr>
        <w:spacing w:after="214" w:line="242" w:lineRule="auto"/>
        <w:ind w:left="21" w:right="537" w:hanging="12"/>
      </w:pPr>
      <w:r>
        <w:rPr>
          <w:rFonts w:ascii="Times New Roman" w:eastAsia="Times New Roman" w:hAnsi="Times New Roman" w:cs="Times New Roman"/>
          <w:sz w:val="16"/>
        </w:rPr>
        <w:t>Контактная информация: gastro@impn.ru; 660022, г. Красноярск, ул. Партизана Железняка, 3г. ORCID: https://orcid.org/0000-0002-9980-2294</w:t>
      </w:r>
    </w:p>
    <w:p w:rsidR="006F5A4C" w:rsidRDefault="00730F7D">
      <w:pPr>
        <w:spacing w:after="3" w:line="241" w:lineRule="auto"/>
        <w:ind w:left="10" w:right="55" w:firstLine="1"/>
        <w:jc w:val="both"/>
      </w:pPr>
      <w:r>
        <w:rPr>
          <w:rFonts w:ascii="Times New Roman" w:eastAsia="Times New Roman" w:hAnsi="Times New Roman" w:cs="Times New Roman"/>
          <w:b/>
          <w:sz w:val="16"/>
        </w:rPr>
        <w:t>Шептулин Аркадий Александрович</w:t>
      </w:r>
      <w:r>
        <w:rPr>
          <w:rFonts w:ascii="Times New Roman" w:eastAsia="Times New Roman" w:hAnsi="Times New Roman" w:cs="Times New Roman"/>
          <w:sz w:val="16"/>
        </w:rPr>
        <w:t xml:space="preserve"> — доктор медицинских наук, профессор кафедры пропедевтики внутренних болезней, гастроэнте</w:t>
      </w:r>
      <w:r>
        <w:rPr>
          <w:rFonts w:ascii="Times New Roman" w:eastAsia="Times New Roman" w:hAnsi="Times New Roman" w:cs="Times New Roman"/>
          <w:sz w:val="16"/>
        </w:rPr>
        <w:t>рологии и гепатологии, ФГАОУ ВО «Первый Московский государственный медицинский университет им. И.М. Сеченова» Министерства здравоохранения Российской Федерации (Сеченовский университет).</w:t>
      </w:r>
    </w:p>
    <w:p w:rsidR="006F5A4C" w:rsidRDefault="00730F7D">
      <w:pPr>
        <w:spacing w:after="3" w:line="241" w:lineRule="auto"/>
        <w:ind w:left="10" w:right="456" w:firstLine="1"/>
        <w:jc w:val="both"/>
      </w:pPr>
      <w:r>
        <w:rPr>
          <w:rFonts w:ascii="Times New Roman" w:eastAsia="Times New Roman" w:hAnsi="Times New Roman" w:cs="Times New Roman"/>
          <w:sz w:val="16"/>
        </w:rPr>
        <w:t>Контактная информация: arkalshep@gmail.com; 119435, г. Москва, ул. По</w:t>
      </w:r>
      <w:r>
        <w:rPr>
          <w:rFonts w:ascii="Times New Roman" w:eastAsia="Times New Roman" w:hAnsi="Times New Roman" w:cs="Times New Roman"/>
          <w:sz w:val="16"/>
        </w:rPr>
        <w:t>годинская, 1, стр. 1.</w:t>
      </w:r>
    </w:p>
    <w:p w:rsidR="006F5A4C" w:rsidRDefault="00730F7D">
      <w:pPr>
        <w:spacing w:after="3" w:line="241" w:lineRule="auto"/>
        <w:ind w:left="10" w:right="55" w:firstLine="1"/>
        <w:jc w:val="both"/>
      </w:pPr>
      <w:r>
        <w:rPr>
          <w:rFonts w:ascii="Times New Roman" w:eastAsia="Times New Roman" w:hAnsi="Times New Roman" w:cs="Times New Roman"/>
          <w:sz w:val="16"/>
        </w:rPr>
        <w:t>ORCID: https://orcid.org/0000-0002-1395-9566</w:t>
      </w:r>
    </w:p>
    <w:p w:rsidR="006F5A4C" w:rsidRDefault="00730F7D">
      <w:pPr>
        <w:spacing w:after="3" w:line="241" w:lineRule="auto"/>
        <w:ind w:left="75" w:right="55" w:firstLine="1"/>
        <w:jc w:val="both"/>
      </w:pPr>
      <w:r>
        <w:rPr>
          <w:rFonts w:ascii="Times New Roman" w:eastAsia="Times New Roman" w:hAnsi="Times New Roman" w:cs="Times New Roman"/>
          <w:sz w:val="16"/>
        </w:rPr>
        <w:t>Contact information: uspenskiy65@mail.ru;</w:t>
      </w:r>
    </w:p>
    <w:p w:rsidR="006F5A4C" w:rsidRDefault="00730F7D">
      <w:pPr>
        <w:spacing w:after="3" w:line="241" w:lineRule="auto"/>
        <w:ind w:left="10" w:right="55" w:firstLine="1"/>
        <w:jc w:val="both"/>
      </w:pPr>
      <w:r>
        <w:rPr>
          <w:rFonts w:ascii="Times New Roman" w:eastAsia="Times New Roman" w:hAnsi="Times New Roman" w:cs="Times New Roman"/>
          <w:sz w:val="16"/>
        </w:rPr>
        <w:t>191014, Saint Petersburg, Liteyniy ave., 56.</w:t>
      </w:r>
    </w:p>
    <w:p w:rsidR="006F5A4C" w:rsidRDefault="00730F7D">
      <w:pPr>
        <w:spacing w:after="782" w:line="241" w:lineRule="auto"/>
        <w:ind w:left="77" w:right="55" w:firstLine="1"/>
        <w:jc w:val="both"/>
      </w:pPr>
      <w:r>
        <w:rPr>
          <w:rFonts w:ascii="Times New Roman" w:eastAsia="Times New Roman" w:hAnsi="Times New Roman" w:cs="Times New Roman"/>
          <w:sz w:val="16"/>
        </w:rPr>
        <w:t>ORCID: https://orcid.org/0000-0001-6434-1267</w:t>
      </w:r>
    </w:p>
    <w:p w:rsidR="006F5A4C" w:rsidRDefault="00730F7D">
      <w:pPr>
        <w:spacing w:after="3" w:line="241" w:lineRule="auto"/>
        <w:ind w:left="75" w:right="55" w:firstLine="1"/>
        <w:jc w:val="both"/>
      </w:pPr>
      <w:r>
        <w:rPr>
          <w:rFonts w:ascii="Times New Roman" w:eastAsia="Times New Roman" w:hAnsi="Times New Roman" w:cs="Times New Roman"/>
          <w:b/>
          <w:sz w:val="16"/>
        </w:rPr>
        <w:t>Igor B. Khlynov</w:t>
      </w:r>
      <w:r>
        <w:rPr>
          <w:rFonts w:ascii="Times New Roman" w:eastAsia="Times New Roman" w:hAnsi="Times New Roman" w:cs="Times New Roman"/>
          <w:sz w:val="16"/>
        </w:rPr>
        <w:t xml:space="preserve"> — Dr. Sci. (Med.), Associate Professor of</w:t>
      </w:r>
      <w:r>
        <w:rPr>
          <w:rFonts w:ascii="Times New Roman" w:eastAsia="Times New Roman" w:hAnsi="Times New Roman" w:cs="Times New Roman"/>
          <w:sz w:val="16"/>
        </w:rPr>
        <w:t xml:space="preserve"> the Department of Faculty Therapy and Geriatrics, Ural State Medical University; Chief Freelance Gastroenterologist of the Ural Federal District. Contact information: hlinov.doc@yandex.ru; 620028, Ekaterinburg, Repina str., 3.</w:t>
      </w:r>
    </w:p>
    <w:p w:rsidR="006F5A4C" w:rsidRDefault="00730F7D">
      <w:pPr>
        <w:spacing w:after="399" w:line="241" w:lineRule="auto"/>
        <w:ind w:left="77" w:right="55" w:firstLine="1"/>
        <w:jc w:val="both"/>
      </w:pPr>
      <w:r>
        <w:rPr>
          <w:rFonts w:ascii="Times New Roman" w:eastAsia="Times New Roman" w:hAnsi="Times New Roman" w:cs="Times New Roman"/>
          <w:sz w:val="16"/>
        </w:rPr>
        <w:t>ORCID: https://orcid.org/0000-0002-0944-9811</w:t>
      </w:r>
    </w:p>
    <w:p w:rsidR="006F5A4C" w:rsidRDefault="00730F7D">
      <w:pPr>
        <w:spacing w:after="3" w:line="241" w:lineRule="auto"/>
        <w:ind w:left="10" w:right="55" w:firstLine="1"/>
        <w:jc w:val="both"/>
      </w:pPr>
      <w:r>
        <w:rPr>
          <w:rFonts w:ascii="Times New Roman" w:eastAsia="Times New Roman" w:hAnsi="Times New Roman" w:cs="Times New Roman"/>
          <w:b/>
          <w:sz w:val="16"/>
        </w:rPr>
        <w:t>Vladislav V. Tsukanov</w:t>
      </w:r>
      <w:r>
        <w:rPr>
          <w:rFonts w:ascii="Times New Roman" w:eastAsia="Times New Roman" w:hAnsi="Times New Roman" w:cs="Times New Roman"/>
          <w:sz w:val="16"/>
        </w:rPr>
        <w:t xml:space="preserve"> — Dr. Sci. (Med.), Professor, Head of the Clinical Department of Adult and Infant Digestive Pathology, </w:t>
      </w:r>
    </w:p>
    <w:p w:rsidR="006F5A4C" w:rsidRDefault="00730F7D">
      <w:pPr>
        <w:spacing w:after="3" w:line="241" w:lineRule="auto"/>
        <w:ind w:left="75" w:right="55" w:firstLine="1"/>
        <w:jc w:val="both"/>
      </w:pPr>
      <w:r>
        <w:rPr>
          <w:rFonts w:ascii="Times New Roman" w:eastAsia="Times New Roman" w:hAnsi="Times New Roman" w:cs="Times New Roman"/>
          <w:sz w:val="16"/>
        </w:rPr>
        <w:t xml:space="preserve">Federal Research Center “Krasnoyarsk Science Center of Siberian </w:t>
      </w:r>
    </w:p>
    <w:p w:rsidR="006F5A4C" w:rsidRDefault="00730F7D">
      <w:pPr>
        <w:spacing w:after="3" w:line="241" w:lineRule="auto"/>
        <w:ind w:left="75" w:right="55" w:firstLine="1"/>
        <w:jc w:val="both"/>
      </w:pPr>
      <w:r>
        <w:rPr>
          <w:rFonts w:ascii="Times New Roman" w:eastAsia="Times New Roman" w:hAnsi="Times New Roman" w:cs="Times New Roman"/>
          <w:sz w:val="16"/>
        </w:rPr>
        <w:t>Branch of the Russia</w:t>
      </w:r>
      <w:r>
        <w:rPr>
          <w:rFonts w:ascii="Times New Roman" w:eastAsia="Times New Roman" w:hAnsi="Times New Roman" w:cs="Times New Roman"/>
          <w:sz w:val="16"/>
        </w:rPr>
        <w:t xml:space="preserve">n Academy of Sciences”, Separate Division </w:t>
      </w:r>
    </w:p>
    <w:p w:rsidR="006F5A4C" w:rsidRDefault="00730F7D">
      <w:pPr>
        <w:spacing w:after="3" w:line="241" w:lineRule="auto"/>
        <w:ind w:left="85" w:right="55" w:hanging="75"/>
        <w:jc w:val="both"/>
      </w:pPr>
      <w:r>
        <w:rPr>
          <w:rFonts w:ascii="Times New Roman" w:eastAsia="Times New Roman" w:hAnsi="Times New Roman" w:cs="Times New Roman"/>
          <w:sz w:val="16"/>
        </w:rPr>
        <w:t>“Scientific Research Institute of Medical Problems of the North”; Chief Gastroenterologist of the Siberian Federal District.</w:t>
      </w:r>
    </w:p>
    <w:p w:rsidR="006F5A4C" w:rsidRDefault="00730F7D">
      <w:pPr>
        <w:spacing w:after="783" w:line="242" w:lineRule="auto"/>
        <w:ind w:left="21" w:right="825" w:hanging="12"/>
      </w:pPr>
      <w:r>
        <w:rPr>
          <w:rFonts w:ascii="Times New Roman" w:eastAsia="Times New Roman" w:hAnsi="Times New Roman" w:cs="Times New Roman"/>
          <w:sz w:val="16"/>
        </w:rPr>
        <w:t>Contact information: gastro@impn.ru; 660022, Krasnoyarsk, Partizana Zheleznyaka str., 3g</w:t>
      </w:r>
      <w:r>
        <w:rPr>
          <w:rFonts w:ascii="Times New Roman" w:eastAsia="Times New Roman" w:hAnsi="Times New Roman" w:cs="Times New Roman"/>
          <w:sz w:val="16"/>
        </w:rPr>
        <w:t>. ORCID: https://orcid.org/0000-0002-9980-2294</w:t>
      </w:r>
    </w:p>
    <w:p w:rsidR="006F5A4C" w:rsidRDefault="00730F7D">
      <w:pPr>
        <w:spacing w:after="3" w:line="241" w:lineRule="auto"/>
        <w:ind w:left="10" w:right="55" w:firstLine="1"/>
        <w:jc w:val="both"/>
      </w:pPr>
      <w:r>
        <w:rPr>
          <w:rFonts w:ascii="Times New Roman" w:eastAsia="Times New Roman" w:hAnsi="Times New Roman" w:cs="Times New Roman"/>
          <w:b/>
          <w:sz w:val="16"/>
        </w:rPr>
        <w:t>Arkadiy A. Sheptulin</w:t>
      </w:r>
      <w:r>
        <w:rPr>
          <w:rFonts w:ascii="Times New Roman" w:eastAsia="Times New Roman" w:hAnsi="Times New Roman" w:cs="Times New Roman"/>
          <w:sz w:val="16"/>
        </w:rPr>
        <w:t xml:space="preserve"> — Dr. Sci. (Med.), Professor of the Department of Internal Diseases Propaedeutics, Gastroenterology and Hepatology, I.M. Sechenov First Moscow State Medical University (Sechenov University</w:t>
      </w:r>
      <w:r>
        <w:rPr>
          <w:rFonts w:ascii="Times New Roman" w:eastAsia="Times New Roman" w:hAnsi="Times New Roman" w:cs="Times New Roman"/>
          <w:sz w:val="16"/>
        </w:rPr>
        <w:t>).</w:t>
      </w:r>
    </w:p>
    <w:p w:rsidR="006F5A4C" w:rsidRDefault="00730F7D">
      <w:pPr>
        <w:spacing w:after="3" w:line="241" w:lineRule="auto"/>
        <w:ind w:left="10" w:right="986" w:firstLine="1"/>
        <w:jc w:val="both"/>
      </w:pPr>
      <w:r>
        <w:rPr>
          <w:rFonts w:ascii="Times New Roman" w:eastAsia="Times New Roman" w:hAnsi="Times New Roman" w:cs="Times New Roman"/>
          <w:sz w:val="16"/>
        </w:rPr>
        <w:t>Contact information: arkalshep@gmail.com; 119435, Moscow, Pogodinskaya str., 1, build. 1.</w:t>
      </w:r>
    </w:p>
    <w:p w:rsidR="006F5A4C" w:rsidRDefault="00730F7D">
      <w:pPr>
        <w:spacing w:after="3" w:line="241" w:lineRule="auto"/>
        <w:ind w:left="76" w:right="55" w:firstLine="1"/>
        <w:jc w:val="both"/>
      </w:pPr>
      <w:r>
        <w:rPr>
          <w:rFonts w:ascii="Times New Roman" w:eastAsia="Times New Roman" w:hAnsi="Times New Roman" w:cs="Times New Roman"/>
          <w:sz w:val="16"/>
        </w:rPr>
        <w:t>ORCID: https://orcid.org/0000-0002-1395-9566</w:t>
      </w:r>
    </w:p>
    <w:p w:rsidR="006F5A4C" w:rsidRDefault="00730F7D">
      <w:pPr>
        <w:spacing w:after="0"/>
        <w:ind w:left="72"/>
      </w:pPr>
      <w:r>
        <w:rPr>
          <w:rFonts w:ascii="Times New Roman" w:eastAsia="Times New Roman" w:hAnsi="Times New Roman" w:cs="Times New Roman"/>
          <w:sz w:val="16"/>
        </w:rPr>
        <w:t xml:space="preserve"> </w:t>
      </w:r>
    </w:p>
    <w:p w:rsidR="006F5A4C" w:rsidRDefault="006F5A4C">
      <w:pPr>
        <w:sectPr w:rsidR="006F5A4C">
          <w:footnotePr>
            <w:numRestart w:val="eachPage"/>
          </w:footnotePr>
          <w:type w:val="continuous"/>
          <w:pgSz w:w="11906" w:h="15874"/>
          <w:pgMar w:top="1044" w:right="1083" w:bottom="1166" w:left="1119" w:header="720" w:footer="720" w:gutter="0"/>
          <w:cols w:num="2" w:space="122"/>
        </w:sectPr>
      </w:pPr>
    </w:p>
    <w:p w:rsidR="006F5A4C" w:rsidRDefault="00730F7D">
      <w:pPr>
        <w:spacing w:after="3" w:line="254" w:lineRule="auto"/>
        <w:ind w:left="501" w:right="13" w:hanging="496"/>
        <w:jc w:val="both"/>
      </w:pPr>
      <w:r>
        <w:rPr>
          <w:rFonts w:ascii="Times New Roman" w:eastAsia="Times New Roman" w:hAnsi="Times New Roman" w:cs="Times New Roman"/>
          <w:sz w:val="19"/>
        </w:rPr>
        <w:t>Поступила: 23.08.2024 Принята: 27.09.2024 Опубликована: 30.10.2024 Submitted: 23.08.2024 Accepted: 27.09.2024 Published: 30.10.2024</w:t>
      </w:r>
    </w:p>
    <w:sectPr w:rsidR="006F5A4C">
      <w:footnotePr>
        <w:numRestart w:val="eachPage"/>
      </w:footnotePr>
      <w:type w:val="continuous"/>
      <w:pgSz w:w="11906" w:h="15874"/>
      <w:pgMar w:top="1044" w:right="1170" w:bottom="6486" w:left="419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30F7D">
      <w:pPr>
        <w:spacing w:after="0" w:line="240" w:lineRule="auto"/>
      </w:pPr>
      <w:r>
        <w:separator/>
      </w:r>
    </w:p>
  </w:endnote>
  <w:endnote w:type="continuationSeparator" w:id="0">
    <w:p w:rsidR="00000000" w:rsidRDefault="00730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A4C" w:rsidRDefault="00730F7D">
    <w:pPr>
      <w:tabs>
        <w:tab w:val="center" w:pos="5280"/>
      </w:tabs>
      <w:spacing w:after="0"/>
      <w:ind w:left="-319"/>
    </w:pPr>
    <w:r>
      <w:rPr>
        <w:noProof/>
      </w:rPr>
      <mc:AlternateContent>
        <mc:Choice Requires="wpg">
          <w:drawing>
            <wp:anchor distT="0" distB="0" distL="114300" distR="114300" simplePos="0" relativeHeight="251664384" behindDoc="0" locked="0" layoutInCell="1" allowOverlap="1">
              <wp:simplePos x="0" y="0"/>
              <wp:positionH relativeFrom="page">
                <wp:posOffset>720000</wp:posOffset>
              </wp:positionH>
              <wp:positionV relativeFrom="page">
                <wp:posOffset>9504003</wp:posOffset>
              </wp:positionV>
              <wp:extent cx="6120003" cy="3810"/>
              <wp:effectExtent l="0" t="0" r="0" b="0"/>
              <wp:wrapSquare wrapText="bothSides"/>
              <wp:docPr id="54283" name="Group 54283"/>
              <wp:cNvGraphicFramePr/>
              <a:graphic xmlns:a="http://schemas.openxmlformats.org/drawingml/2006/main">
                <a:graphicData uri="http://schemas.microsoft.com/office/word/2010/wordprocessingGroup">
                  <wpg:wgp>
                    <wpg:cNvGrpSpPr/>
                    <wpg:grpSpPr>
                      <a:xfrm>
                        <a:off x="0" y="0"/>
                        <a:ext cx="6120003" cy="3810"/>
                        <a:chOff x="0" y="0"/>
                        <a:chExt cx="6120003" cy="3810"/>
                      </a:xfrm>
                    </wpg:grpSpPr>
                    <wps:wsp>
                      <wps:cNvPr id="54284" name="Shape 54284"/>
                      <wps:cNvSpPr/>
                      <wps:spPr>
                        <a:xfrm>
                          <a:off x="0" y="0"/>
                          <a:ext cx="6120003" cy="0"/>
                        </a:xfrm>
                        <a:custGeom>
                          <a:avLst/>
                          <a:gdLst/>
                          <a:ahLst/>
                          <a:cxnLst/>
                          <a:rect l="0" t="0" r="0" b="0"/>
                          <a:pathLst>
                            <a:path w="6120003">
                              <a:moveTo>
                                <a:pt x="0" y="0"/>
                              </a:moveTo>
                              <a:lnTo>
                                <a:pt x="6120003" y="0"/>
                              </a:lnTo>
                            </a:path>
                          </a:pathLst>
                        </a:custGeom>
                        <a:ln w="381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283" style="width:481.89pt;height:0.3pt;position:absolute;mso-position-horizontal-relative:page;mso-position-horizontal:absolute;margin-left:56.6929pt;mso-position-vertical-relative:page;margin-top:748.347pt;" coordsize="61200,38">
              <v:shape id="Shape 54284" style="position:absolute;width:61200;height:0;left:0;top:0;" coordsize="6120003,0" path="m0,0l6120003,0">
                <v:stroke weight="0.3pt" endcap="flat" joinstyle="miter" miterlimit="4" on="true" color="#000000"/>
                <v:fill on="false" color="#000000" opacity="0"/>
              </v:shape>
              <w10:wrap type="square"/>
            </v:group>
          </w:pict>
        </mc:Fallback>
      </mc:AlternateContent>
    </w:r>
    <w:r>
      <w:fldChar w:fldCharType="begin"/>
    </w:r>
    <w:r>
      <w:instrText xml:space="preserve"> PAGE   \* MERGEFORMAT </w:instrText>
    </w:r>
    <w:r>
      <w:fldChar w:fldCharType="separate"/>
    </w:r>
    <w:r>
      <w:rPr>
        <w:sz w:val="24"/>
      </w:rPr>
      <w:t>112</w:t>
    </w:r>
    <w:r>
      <w:rPr>
        <w:sz w:val="24"/>
      </w:rPr>
      <w:fldChar w:fldCharType="end"/>
    </w:r>
    <w:r>
      <w:rPr>
        <w:sz w:val="24"/>
      </w:rPr>
      <w:tab/>
    </w:r>
    <w:r>
      <w:rPr>
        <w:rFonts w:ascii="Times New Roman" w:eastAsia="Times New Roman" w:hAnsi="Times New Roman" w:cs="Times New Roman"/>
        <w:sz w:val="17"/>
      </w:rPr>
      <w:t>Рос журн гастроэнтерол гепатол колопроктол 2024; 34(5) / Rus J Gastroenterol Hepatol Coloproctol 2024; 34(5)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A4C" w:rsidRDefault="00730F7D">
    <w:pPr>
      <w:tabs>
        <w:tab w:val="right" w:pos="9884"/>
      </w:tabs>
      <w:spacing w:after="0"/>
      <w:ind w:right="-122"/>
    </w:pPr>
    <w:r>
      <w:rPr>
        <w:noProof/>
      </w:rPr>
      <mc:AlternateContent>
        <mc:Choice Requires="wpg">
          <w:drawing>
            <wp:anchor distT="0" distB="0" distL="114300" distR="114300" simplePos="0" relativeHeight="251665408" behindDoc="0" locked="0" layoutInCell="1" allowOverlap="1">
              <wp:simplePos x="0" y="0"/>
              <wp:positionH relativeFrom="page">
                <wp:posOffset>720000</wp:posOffset>
              </wp:positionH>
              <wp:positionV relativeFrom="page">
                <wp:posOffset>9504003</wp:posOffset>
              </wp:positionV>
              <wp:extent cx="6120003" cy="3810"/>
              <wp:effectExtent l="0" t="0" r="0" b="0"/>
              <wp:wrapSquare wrapText="bothSides"/>
              <wp:docPr id="54255" name="Group 54255"/>
              <wp:cNvGraphicFramePr/>
              <a:graphic xmlns:a="http://schemas.openxmlformats.org/drawingml/2006/main">
                <a:graphicData uri="http://schemas.microsoft.com/office/word/2010/wordprocessingGroup">
                  <wpg:wgp>
                    <wpg:cNvGrpSpPr/>
                    <wpg:grpSpPr>
                      <a:xfrm>
                        <a:off x="0" y="0"/>
                        <a:ext cx="6120003" cy="3810"/>
                        <a:chOff x="0" y="0"/>
                        <a:chExt cx="6120003" cy="3810"/>
                      </a:xfrm>
                    </wpg:grpSpPr>
                    <wps:wsp>
                      <wps:cNvPr id="54256" name="Shape 54256"/>
                      <wps:cNvSpPr/>
                      <wps:spPr>
                        <a:xfrm>
                          <a:off x="0" y="0"/>
                          <a:ext cx="6120003" cy="0"/>
                        </a:xfrm>
                        <a:custGeom>
                          <a:avLst/>
                          <a:gdLst/>
                          <a:ahLst/>
                          <a:cxnLst/>
                          <a:rect l="0" t="0" r="0" b="0"/>
                          <a:pathLst>
                            <a:path w="6120003">
                              <a:moveTo>
                                <a:pt x="0" y="0"/>
                              </a:moveTo>
                              <a:lnTo>
                                <a:pt x="6120003" y="0"/>
                              </a:lnTo>
                            </a:path>
                          </a:pathLst>
                        </a:custGeom>
                        <a:ln w="381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255" style="width:481.89pt;height:0.3pt;position:absolute;mso-position-horizontal-relative:page;mso-position-horizontal:absolute;margin-left:56.6929pt;mso-position-vertical-relative:page;margin-top:748.347pt;" coordsize="61200,38">
              <v:shape id="Shape 54256" style="position:absolute;width:61200;height:0;left:0;top:0;" coordsize="6120003,0" path="m0,0l6120003,0">
                <v:stroke weight="0.3pt" endcap="flat" joinstyle="miter" miterlimit="4" on="true" color="#000000"/>
                <v:fill on="false" color="#000000" opacity="0"/>
              </v:shape>
              <w10:wrap type="square"/>
            </v:group>
          </w:pict>
        </mc:Fallback>
      </mc:AlternateContent>
    </w:r>
    <w:r>
      <w:rPr>
        <w:rFonts w:ascii="Times New Roman" w:eastAsia="Times New Roman" w:hAnsi="Times New Roman" w:cs="Times New Roman"/>
        <w:sz w:val="17"/>
      </w:rPr>
      <w:t>Рос журн гастроэнтерол гепатол колопроктол 2024; 34(5) / Rus J Gastroenterol Hepatol Coloproctol 2024; 34(5)</w:t>
    </w:r>
    <w:r>
      <w:rPr>
        <w:rFonts w:ascii="Times New Roman" w:eastAsia="Times New Roman" w:hAnsi="Times New Roman" w:cs="Times New Roman"/>
        <w:sz w:val="17"/>
      </w:rPr>
      <w:tab/>
    </w:r>
    <w:r>
      <w:fldChar w:fldCharType="begin"/>
    </w:r>
    <w:r>
      <w:instrText xml:space="preserve"> PAGE   \* MERGEFORMAT </w:instrText>
    </w:r>
    <w:r>
      <w:fldChar w:fldCharType="separate"/>
    </w:r>
    <w:r w:rsidRPr="00730F7D">
      <w:rPr>
        <w:noProof/>
        <w:sz w:val="24"/>
      </w:rPr>
      <w:t>111</w:t>
    </w:r>
    <w:r>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A4C" w:rsidRDefault="00730F7D">
    <w:pPr>
      <w:tabs>
        <w:tab w:val="right" w:pos="9884"/>
      </w:tabs>
      <w:spacing w:after="0"/>
      <w:ind w:right="-122"/>
    </w:pPr>
    <w:r>
      <w:rPr>
        <w:noProof/>
      </w:rPr>
      <mc:AlternateContent>
        <mc:Choice Requires="wpg">
          <w:drawing>
            <wp:anchor distT="0" distB="0" distL="114300" distR="114300" simplePos="0" relativeHeight="251666432" behindDoc="0" locked="0" layoutInCell="1" allowOverlap="1">
              <wp:simplePos x="0" y="0"/>
              <wp:positionH relativeFrom="page">
                <wp:posOffset>720000</wp:posOffset>
              </wp:positionH>
              <wp:positionV relativeFrom="page">
                <wp:posOffset>9504003</wp:posOffset>
              </wp:positionV>
              <wp:extent cx="6120003" cy="3810"/>
              <wp:effectExtent l="0" t="0" r="0" b="0"/>
              <wp:wrapSquare wrapText="bothSides"/>
              <wp:docPr id="54227" name="Group 54227"/>
              <wp:cNvGraphicFramePr/>
              <a:graphic xmlns:a="http://schemas.openxmlformats.org/drawingml/2006/main">
                <a:graphicData uri="http://schemas.microsoft.com/office/word/2010/wordprocessingGroup">
                  <wpg:wgp>
                    <wpg:cNvGrpSpPr/>
                    <wpg:grpSpPr>
                      <a:xfrm>
                        <a:off x="0" y="0"/>
                        <a:ext cx="6120003" cy="3810"/>
                        <a:chOff x="0" y="0"/>
                        <a:chExt cx="6120003" cy="3810"/>
                      </a:xfrm>
                    </wpg:grpSpPr>
                    <wps:wsp>
                      <wps:cNvPr id="54228" name="Shape 54228"/>
                      <wps:cNvSpPr/>
                      <wps:spPr>
                        <a:xfrm>
                          <a:off x="0" y="0"/>
                          <a:ext cx="6120003" cy="0"/>
                        </a:xfrm>
                        <a:custGeom>
                          <a:avLst/>
                          <a:gdLst/>
                          <a:ahLst/>
                          <a:cxnLst/>
                          <a:rect l="0" t="0" r="0" b="0"/>
                          <a:pathLst>
                            <a:path w="6120003">
                              <a:moveTo>
                                <a:pt x="0" y="0"/>
                              </a:moveTo>
                              <a:lnTo>
                                <a:pt x="6120003" y="0"/>
                              </a:lnTo>
                            </a:path>
                          </a:pathLst>
                        </a:custGeom>
                        <a:ln w="381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227" style="width:481.89pt;height:0.3pt;position:absolute;mso-position-horizontal-relative:page;mso-position-horizontal:absolute;margin-left:56.6929pt;mso-position-vertical-relative:page;margin-top:748.347pt;" coordsize="61200,38">
              <v:shape id="Shape 54228" style="position:absolute;width:61200;height:0;left:0;top:0;" coordsize="6120003,0" path="m0,0l6120003,0">
                <v:stroke weight="0.3pt" endcap="flat" joinstyle="miter" miterlimit="4" on="true" color="#000000"/>
                <v:fill on="false" color="#000000" opacity="0"/>
              </v:shape>
              <w10:wrap type="square"/>
            </v:group>
          </w:pict>
        </mc:Fallback>
      </mc:AlternateContent>
    </w:r>
    <w:r>
      <w:rPr>
        <w:rFonts w:ascii="Times New Roman" w:eastAsia="Times New Roman" w:hAnsi="Times New Roman" w:cs="Times New Roman"/>
        <w:sz w:val="17"/>
      </w:rPr>
      <w:t>Рос жу</w:t>
    </w:r>
    <w:r>
      <w:rPr>
        <w:rFonts w:ascii="Times New Roman" w:eastAsia="Times New Roman" w:hAnsi="Times New Roman" w:cs="Times New Roman"/>
        <w:sz w:val="17"/>
      </w:rPr>
      <w:t>рн гастроэнтерол гепатол колопроктол 2024; 34(5) / Rus J Gastroenterol Hepatol Coloproctol 2024; 34(5)</w:t>
    </w:r>
    <w:r>
      <w:rPr>
        <w:rFonts w:ascii="Times New Roman" w:eastAsia="Times New Roman" w:hAnsi="Times New Roman" w:cs="Times New Roman"/>
        <w:sz w:val="17"/>
      </w:rPr>
      <w:tab/>
    </w:r>
    <w:r>
      <w:fldChar w:fldCharType="begin"/>
    </w:r>
    <w:r>
      <w:instrText xml:space="preserve"> PAGE   \* MERGEFORMAT </w:instrText>
    </w:r>
    <w:r>
      <w:fldChar w:fldCharType="separate"/>
    </w:r>
    <w:r>
      <w:rPr>
        <w:sz w:val="24"/>
      </w:rPr>
      <w:t>111</w:t>
    </w:r>
    <w:r>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A4C" w:rsidRDefault="00730F7D">
      <w:pPr>
        <w:spacing w:after="0" w:line="266" w:lineRule="auto"/>
        <w:ind w:left="33" w:right="481" w:hanging="6"/>
      </w:pPr>
      <w:r>
        <w:separator/>
      </w:r>
    </w:p>
  </w:footnote>
  <w:footnote w:type="continuationSeparator" w:id="0">
    <w:p w:rsidR="006F5A4C" w:rsidRDefault="00730F7D">
      <w:pPr>
        <w:spacing w:after="0" w:line="266" w:lineRule="auto"/>
        <w:ind w:left="33" w:right="481" w:hanging="6"/>
      </w:pPr>
      <w:r>
        <w:continuationSeparator/>
      </w:r>
    </w:p>
  </w:footnote>
  <w:footnote w:id="1">
    <w:p w:rsidR="006F5A4C" w:rsidRDefault="00730F7D">
      <w:pPr>
        <w:pStyle w:val="footnotedescription"/>
        <w:spacing w:line="266" w:lineRule="auto"/>
        <w:ind w:left="33" w:right="481" w:hanging="6"/>
      </w:pPr>
      <w:r>
        <w:rPr>
          <w:rStyle w:val="footnotemark"/>
        </w:rPr>
        <w:footnoteRef/>
      </w:r>
      <w:r>
        <w:t xml:space="preserve"> ФГБОУ ВО «Санкт-Петербургский государственный университет», Санкт-Петербург, Российская Федерации </w:t>
      </w:r>
      <w:r>
        <w:rPr>
          <w:sz w:val="14"/>
          <w:vertAlign w:val="superscript"/>
        </w:rPr>
        <w:t>8</w:t>
      </w:r>
      <w:r>
        <w:t xml:space="preserve"> ФГБОУ ВО «Оренбург</w:t>
      </w:r>
      <w:r>
        <w:t>ский государственный медицинский университет» Министерства здравоохранения  Российской Федерации, Оренбург, Российская Федерация</w:t>
      </w:r>
    </w:p>
  </w:footnote>
  <w:footnote w:id="2">
    <w:p w:rsidR="006F5A4C" w:rsidRDefault="00730F7D">
      <w:pPr>
        <w:pStyle w:val="footnotedescription"/>
        <w:ind w:left="29"/>
      </w:pPr>
      <w:r>
        <w:rPr>
          <w:rStyle w:val="footnotemark"/>
        </w:rPr>
        <w:footnoteRef/>
      </w:r>
      <w:r>
        <w:t xml:space="preserve"> ФГАОУ ВО «Крымский федеральный университет им. В.И. Вернадского», Симферополь, Российская Федерация</w:t>
      </w:r>
    </w:p>
  </w:footnote>
  <w:footnote w:id="3">
    <w:p w:rsidR="006F5A4C" w:rsidRDefault="00730F7D">
      <w:pPr>
        <w:pStyle w:val="footnotedescription"/>
        <w:spacing w:line="284" w:lineRule="auto"/>
        <w:ind w:left="182" w:hanging="159"/>
      </w:pPr>
      <w:r>
        <w:rPr>
          <w:rStyle w:val="footnotemark"/>
        </w:rPr>
        <w:footnoteRef/>
      </w:r>
      <w:r>
        <w:t xml:space="preserve"> ФГБОУ ВО «Кубанский гос</w:t>
      </w:r>
      <w:r>
        <w:t>ударственный медицинский университет» Министерства здравоохранения Российской Федерации, Краснодар, Российская Федерация</w:t>
      </w:r>
    </w:p>
  </w:footnote>
  <w:footnote w:id="4">
    <w:p w:rsidR="006F5A4C" w:rsidRDefault="00730F7D">
      <w:pPr>
        <w:pStyle w:val="footnotedescription"/>
      </w:pPr>
      <w:r>
        <w:rPr>
          <w:rStyle w:val="footnotemark"/>
        </w:rPr>
        <w:footnoteRef/>
      </w:r>
      <w:r>
        <w:t xml:space="preserve"> АО «Ильинская больница», Красногорск, Московская область, Российская Федерация</w:t>
      </w:r>
    </w:p>
  </w:footnote>
  <w:footnote w:id="5">
    <w:p w:rsidR="006F5A4C" w:rsidRDefault="00730F7D">
      <w:pPr>
        <w:pStyle w:val="footnotedescription"/>
        <w:spacing w:line="284" w:lineRule="auto"/>
        <w:ind w:left="190" w:right="9" w:hanging="167"/>
      </w:pPr>
      <w:r>
        <w:rPr>
          <w:rStyle w:val="footnotemark"/>
        </w:rPr>
        <w:footnoteRef/>
      </w:r>
      <w:r>
        <w:t xml:space="preserve"> ФГБОУ ВО «Дагестанский государственный медицинский у</w:t>
      </w:r>
      <w:r>
        <w:t>ниверситет» Министерства здравоохранения Российской Федерации, Махачкала, Российская Федерация</w:t>
      </w:r>
    </w:p>
  </w:footnote>
  <w:footnote w:id="6">
    <w:p w:rsidR="006F5A4C" w:rsidRDefault="00730F7D">
      <w:pPr>
        <w:pStyle w:val="footnotedescription"/>
        <w:spacing w:line="284" w:lineRule="auto"/>
        <w:ind w:left="190" w:hanging="167"/>
      </w:pPr>
      <w:r>
        <w:rPr>
          <w:rStyle w:val="footnotemark"/>
        </w:rPr>
        <w:footnoteRef/>
      </w:r>
      <w:r>
        <w:t xml:space="preserve"> ФГБОУ ВО «Новосибирский государственный медицинский университет» Министерства здравоохранения Российской Федерации, Новосибирск, Российская Федерация</w:t>
      </w:r>
    </w:p>
  </w:footnote>
  <w:footnote w:id="7">
    <w:p w:rsidR="006F5A4C" w:rsidRDefault="00730F7D">
      <w:pPr>
        <w:pStyle w:val="footnotedescription"/>
        <w:spacing w:line="266" w:lineRule="auto"/>
        <w:ind w:left="187" w:hanging="164"/>
      </w:pPr>
      <w:r>
        <w:rPr>
          <w:rStyle w:val="footnotemark"/>
        </w:rPr>
        <w:footnoteRef/>
      </w:r>
      <w:r>
        <w:t xml:space="preserve"> Московс</w:t>
      </w:r>
      <w:r>
        <w:t>кий научно-исследовательский онкологический институт им. П.А. Герцена — филиал ФГБУ «Национальный медицинский исследовательский радиологический центр» Министерства здравоохранения Российской Федерации, Москва, Российская Федерация</w:t>
      </w:r>
    </w:p>
  </w:footnote>
  <w:footnote w:id="8">
    <w:p w:rsidR="006F5A4C" w:rsidRDefault="00730F7D">
      <w:pPr>
        <w:pStyle w:val="footnotedescription"/>
        <w:spacing w:line="266" w:lineRule="auto"/>
        <w:ind w:left="190" w:hanging="167"/>
      </w:pPr>
      <w:r>
        <w:rPr>
          <w:rStyle w:val="footnotemark"/>
        </w:rPr>
        <w:footnoteRef/>
      </w:r>
      <w:r>
        <w:t xml:space="preserve"> Казанская государственн</w:t>
      </w:r>
      <w:r>
        <w:t>ая медицинская академия — филиал ФГБОУ ДПО «Российская медицинская академия непрерывного профессионального образования» Министерства здравоохранения Российской Федерации, Казань, Российская Федерация</w:t>
      </w:r>
    </w:p>
  </w:footnote>
  <w:footnote w:id="9">
    <w:p w:rsidR="006F5A4C" w:rsidRDefault="00730F7D">
      <w:pPr>
        <w:pStyle w:val="footnotedescription"/>
        <w:spacing w:after="19"/>
      </w:pPr>
      <w:r>
        <w:rPr>
          <w:rStyle w:val="footnotemark"/>
        </w:rPr>
        <w:footnoteRef/>
      </w:r>
      <w:r>
        <w:t xml:space="preserve"> </w:t>
      </w:r>
      <w:r>
        <w:t xml:space="preserve">ФГБОУ ВО «Первый Санкт-Петербургский государственный медицинский университет им. академика  </w:t>
      </w:r>
    </w:p>
    <w:p w:rsidR="006F5A4C" w:rsidRDefault="00730F7D">
      <w:pPr>
        <w:pStyle w:val="footnotedescription"/>
        <w:ind w:left="190"/>
      </w:pPr>
      <w:r>
        <w:t>И.П. Павлова» Министерства здравоохранения Российской Федерации, Санкт-Петербург, Российская Федерация</w:t>
      </w:r>
    </w:p>
  </w:footnote>
  <w:footnote w:id="10">
    <w:p w:rsidR="006F5A4C" w:rsidRDefault="00730F7D">
      <w:pPr>
        <w:pStyle w:val="footnotedescription"/>
        <w:spacing w:line="284" w:lineRule="auto"/>
        <w:ind w:left="187" w:hanging="164"/>
      </w:pPr>
      <w:r>
        <w:rPr>
          <w:rStyle w:val="footnotemark"/>
        </w:rPr>
        <w:footnoteRef/>
      </w:r>
      <w:r>
        <w:t xml:space="preserve"> ФГБОУ ВО «Санкт-Петербургский государственный педиатрическ</w:t>
      </w:r>
      <w:r>
        <w:t>ий медицинский университет» Министерства здравоохранения Российской Федерации, Санкт-Петербург, Российская Федерация</w:t>
      </w:r>
    </w:p>
  </w:footnote>
  <w:footnote w:id="11">
    <w:p w:rsidR="006F5A4C" w:rsidRDefault="00730F7D">
      <w:pPr>
        <w:pStyle w:val="footnotedescription"/>
        <w:spacing w:line="284" w:lineRule="auto"/>
        <w:ind w:left="182" w:hanging="159"/>
      </w:pPr>
      <w:r>
        <w:rPr>
          <w:rStyle w:val="footnotemark"/>
        </w:rPr>
        <w:footnoteRef/>
      </w:r>
      <w:r>
        <w:t xml:space="preserve"> ФГБОУ ВО «Уральский государственный медицинский универ</w:t>
      </w:r>
      <w:r>
        <w:t>ситет» Министерства здравоохранения Российской Федерации, Екатеринбург, Российская Федерация</w:t>
      </w:r>
    </w:p>
  </w:footnote>
  <w:footnote w:id="12">
    <w:p w:rsidR="006F5A4C" w:rsidRDefault="00730F7D">
      <w:pPr>
        <w:pStyle w:val="footnotedescription"/>
        <w:spacing w:after="38"/>
        <w:ind w:left="20"/>
      </w:pPr>
      <w:r>
        <w:rPr>
          <w:rStyle w:val="footnotemark"/>
        </w:rPr>
        <w:footnoteRef/>
      </w:r>
      <w:r>
        <w:rPr>
          <w:rFonts w:ascii="Calibri" w:eastAsia="Calibri" w:hAnsi="Calibri" w:cs="Calibri"/>
        </w:rPr>
        <w:t xml:space="preserve"> I.M. Sechenov First Moscow State University (Sechenov University), Moscow, Russian Federation</w:t>
      </w:r>
    </w:p>
  </w:footnote>
  <w:footnote w:id="13">
    <w:p w:rsidR="006F5A4C" w:rsidRDefault="00730F7D">
      <w:pPr>
        <w:pStyle w:val="footnotedescription"/>
        <w:spacing w:after="39"/>
        <w:ind w:left="31"/>
      </w:pPr>
      <w:r>
        <w:rPr>
          <w:rStyle w:val="footnotemark"/>
        </w:rPr>
        <w:footnoteRef/>
      </w:r>
      <w:r>
        <w:rPr>
          <w:rFonts w:ascii="Calibri" w:eastAsia="Calibri" w:hAnsi="Calibri" w:cs="Calibri"/>
        </w:rPr>
        <w:t xml:space="preserve"> Russian University of Medicine, Moscow, Russian Federation</w:t>
      </w:r>
    </w:p>
  </w:footnote>
  <w:footnote w:id="14">
    <w:p w:rsidR="006F5A4C" w:rsidRDefault="00730F7D">
      <w:pPr>
        <w:pStyle w:val="footnotedescription"/>
        <w:spacing w:after="38"/>
        <w:ind w:left="32"/>
      </w:pPr>
      <w:r>
        <w:rPr>
          <w:rStyle w:val="footnotemark"/>
        </w:rPr>
        <w:footnoteRef/>
      </w:r>
      <w:r>
        <w:rPr>
          <w:rFonts w:ascii="Calibri" w:eastAsia="Calibri" w:hAnsi="Calibri" w:cs="Calibri"/>
        </w:rPr>
        <w:t xml:space="preserve"> National Research Center for Therapy and Preventive Medicine, Moscow, Russian Federation</w:t>
      </w:r>
    </w:p>
  </w:footnote>
  <w:footnote w:id="15">
    <w:p w:rsidR="006F5A4C" w:rsidRDefault="00730F7D">
      <w:pPr>
        <w:pStyle w:val="footnotedescription"/>
        <w:spacing w:after="39"/>
        <w:ind w:left="25"/>
      </w:pPr>
      <w:r>
        <w:rPr>
          <w:rStyle w:val="footnotemark"/>
        </w:rPr>
        <w:footnoteRef/>
      </w:r>
      <w:r>
        <w:rPr>
          <w:rFonts w:ascii="Calibri" w:eastAsia="Calibri" w:hAnsi="Calibri" w:cs="Calibri"/>
        </w:rPr>
        <w:t xml:space="preserve"> Omsk State Medical University, Omsk, Russian Federation</w:t>
      </w:r>
    </w:p>
  </w:footnote>
  <w:footnote w:id="16">
    <w:p w:rsidR="006F5A4C" w:rsidRDefault="00730F7D">
      <w:pPr>
        <w:pStyle w:val="footnotedescription"/>
        <w:spacing w:line="306" w:lineRule="auto"/>
        <w:ind w:left="33" w:right="1794" w:hanging="1"/>
      </w:pPr>
      <w:r>
        <w:rPr>
          <w:rStyle w:val="footnotemark"/>
        </w:rPr>
        <w:footnoteRef/>
      </w:r>
      <w:r>
        <w:rPr>
          <w:rFonts w:ascii="Calibri" w:eastAsia="Calibri" w:hAnsi="Calibri" w:cs="Calibri"/>
        </w:rPr>
        <w:t xml:space="preserve"> Nizhny Novgorod Regional Clinical Hospital named after N.A. Semashko, Nizhny Novgorod, Russian Federation </w:t>
      </w:r>
      <w:r>
        <w:rPr>
          <w:rFonts w:ascii="Calibri" w:eastAsia="Calibri" w:hAnsi="Calibri" w:cs="Calibri"/>
          <w:sz w:val="14"/>
          <w:vertAlign w:val="superscript"/>
        </w:rPr>
        <w:t>6</w:t>
      </w:r>
      <w:r>
        <w:rPr>
          <w:rFonts w:ascii="Calibri" w:eastAsia="Calibri" w:hAnsi="Calibri" w:cs="Calibri"/>
        </w:rPr>
        <w:t xml:space="preserve"> Far-Eastern State Medical University, Khabarovsk, Russian Federation</w:t>
      </w:r>
    </w:p>
  </w:footnote>
  <w:footnote w:id="17">
    <w:p w:rsidR="006F5A4C" w:rsidRDefault="00730F7D">
      <w:pPr>
        <w:pStyle w:val="footnotedescription"/>
        <w:spacing w:after="39"/>
        <w:ind w:left="25"/>
      </w:pPr>
      <w:r>
        <w:rPr>
          <w:rStyle w:val="footnotemark"/>
        </w:rPr>
        <w:footnoteRef/>
      </w:r>
      <w:r>
        <w:rPr>
          <w:rFonts w:ascii="Calibri" w:eastAsia="Calibri" w:hAnsi="Calibri" w:cs="Calibri"/>
        </w:rPr>
        <w:t xml:space="preserve"> Saint Petersburg U</w:t>
      </w:r>
      <w:r>
        <w:rPr>
          <w:rFonts w:ascii="Calibri" w:eastAsia="Calibri" w:hAnsi="Calibri" w:cs="Calibri"/>
        </w:rPr>
        <w:t>niversity, Saint Petersburg, Russian Federation</w:t>
      </w:r>
    </w:p>
  </w:footnote>
  <w:footnote w:id="18">
    <w:p w:rsidR="006F5A4C" w:rsidRDefault="00730F7D">
      <w:pPr>
        <w:pStyle w:val="footnotedescription"/>
        <w:spacing w:after="39"/>
        <w:ind w:left="32"/>
      </w:pPr>
      <w:r>
        <w:rPr>
          <w:rStyle w:val="footnotemark"/>
        </w:rPr>
        <w:footnoteRef/>
      </w:r>
      <w:r>
        <w:rPr>
          <w:rFonts w:ascii="Calibri" w:eastAsia="Calibri" w:hAnsi="Calibri" w:cs="Calibri"/>
        </w:rPr>
        <w:t xml:space="preserve"> Orenburg State Medical University, Orenburg, Russian Federation</w:t>
      </w:r>
    </w:p>
  </w:footnote>
  <w:footnote w:id="19">
    <w:p w:rsidR="006F5A4C" w:rsidRDefault="00730F7D">
      <w:pPr>
        <w:pStyle w:val="footnotedescription"/>
        <w:spacing w:after="39"/>
        <w:ind w:left="34"/>
      </w:pPr>
      <w:r>
        <w:rPr>
          <w:rStyle w:val="footnotemark"/>
        </w:rPr>
        <w:footnoteRef/>
      </w:r>
      <w:r>
        <w:rPr>
          <w:rFonts w:ascii="Calibri" w:eastAsia="Calibri" w:hAnsi="Calibri" w:cs="Calibri"/>
        </w:rPr>
        <w:t xml:space="preserve"> V.I. Vernadsky Crimean Federal University, Simferopol, Russian Federation</w:t>
      </w:r>
    </w:p>
  </w:footnote>
  <w:footnote w:id="20">
    <w:p w:rsidR="006F5A4C" w:rsidRDefault="00730F7D">
      <w:pPr>
        <w:pStyle w:val="footnotedescription"/>
        <w:ind w:left="20"/>
      </w:pPr>
      <w:r>
        <w:rPr>
          <w:rStyle w:val="footnotemark"/>
        </w:rPr>
        <w:footnoteRef/>
      </w:r>
      <w:r>
        <w:rPr>
          <w:rFonts w:ascii="Calibri" w:eastAsia="Calibri" w:hAnsi="Calibri" w:cs="Calibri"/>
        </w:rPr>
        <w:t xml:space="preserve"> Kuban State Medical University, Krasnodar, Russian Federation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1134" w:tblpY="532"/>
      <w:tblOverlap w:val="never"/>
      <w:tblW w:w="6576" w:type="dxa"/>
      <w:tblInd w:w="0" w:type="dxa"/>
      <w:tblCellMar>
        <w:top w:w="7" w:type="dxa"/>
        <w:left w:w="0" w:type="dxa"/>
        <w:bottom w:w="0" w:type="dxa"/>
        <w:right w:w="115" w:type="dxa"/>
      </w:tblCellMar>
      <w:tblLook w:val="04A0" w:firstRow="1" w:lastRow="0" w:firstColumn="1" w:lastColumn="0" w:noHBand="0" w:noVBand="1"/>
    </w:tblPr>
    <w:tblGrid>
      <w:gridCol w:w="6576"/>
    </w:tblGrid>
    <w:tr w:rsidR="006F5A4C">
      <w:trPr>
        <w:trHeight w:val="240"/>
      </w:trPr>
      <w:tc>
        <w:tcPr>
          <w:tcW w:w="6576" w:type="dxa"/>
          <w:tcBorders>
            <w:top w:val="nil"/>
            <w:left w:val="nil"/>
            <w:bottom w:val="nil"/>
            <w:right w:val="nil"/>
          </w:tcBorders>
          <w:shd w:val="clear" w:color="auto" w:fill="F2F2F2"/>
        </w:tcPr>
        <w:p w:rsidR="006F5A4C" w:rsidRDefault="00730F7D">
          <w:pPr>
            <w:spacing w:after="0"/>
          </w:pPr>
          <w:r>
            <w:rPr>
              <w:rFonts w:ascii="Times New Roman" w:eastAsia="Times New Roman" w:hAnsi="Times New Roman" w:cs="Times New Roman"/>
              <w:sz w:val="20"/>
            </w:rPr>
            <w:t>Клинические рекомендации/Clinical guidelines</w:t>
          </w:r>
        </w:p>
      </w:tc>
    </w:tr>
  </w:tbl>
  <w:p w:rsidR="006F5A4C" w:rsidRDefault="00730F7D">
    <w:pPr>
      <w:spacing w:after="0"/>
      <w:ind w:left="19" w:right="227"/>
      <w:jc w:val="right"/>
    </w:pPr>
    <w:r>
      <w:rPr>
        <w:noProof/>
      </w:rPr>
      <mc:AlternateContent>
        <mc:Choice Requires="wpg">
          <w:drawing>
            <wp:anchor distT="0" distB="0" distL="114300" distR="114300" simplePos="0" relativeHeight="251658240" behindDoc="0" locked="0" layoutInCell="1" allowOverlap="1">
              <wp:simplePos x="0" y="0"/>
              <wp:positionH relativeFrom="page">
                <wp:posOffset>720000</wp:posOffset>
              </wp:positionH>
              <wp:positionV relativeFrom="page">
                <wp:posOffset>288003</wp:posOffset>
              </wp:positionV>
              <wp:extent cx="6120003" cy="3810"/>
              <wp:effectExtent l="0" t="0" r="0" b="0"/>
              <wp:wrapSquare wrapText="bothSides"/>
              <wp:docPr id="54271" name="Group 54271"/>
              <wp:cNvGraphicFramePr/>
              <a:graphic xmlns:a="http://schemas.openxmlformats.org/drawingml/2006/main">
                <a:graphicData uri="http://schemas.microsoft.com/office/word/2010/wordprocessingGroup">
                  <wpg:wgp>
                    <wpg:cNvGrpSpPr/>
                    <wpg:grpSpPr>
                      <a:xfrm>
                        <a:off x="0" y="0"/>
                        <a:ext cx="6120003" cy="3810"/>
                        <a:chOff x="0" y="0"/>
                        <a:chExt cx="6120003" cy="3810"/>
                      </a:xfrm>
                    </wpg:grpSpPr>
                    <wps:wsp>
                      <wps:cNvPr id="54272" name="Shape 54272"/>
                      <wps:cNvSpPr/>
                      <wps:spPr>
                        <a:xfrm>
                          <a:off x="0" y="0"/>
                          <a:ext cx="6120003" cy="0"/>
                        </a:xfrm>
                        <a:custGeom>
                          <a:avLst/>
                          <a:gdLst/>
                          <a:ahLst/>
                          <a:cxnLst/>
                          <a:rect l="0" t="0" r="0" b="0"/>
                          <a:pathLst>
                            <a:path w="6120003">
                              <a:moveTo>
                                <a:pt x="0" y="0"/>
                              </a:moveTo>
                              <a:lnTo>
                                <a:pt x="6120003" y="0"/>
                              </a:lnTo>
                            </a:path>
                          </a:pathLst>
                        </a:custGeom>
                        <a:ln w="3810" cap="flat">
                          <a:miter lim="100000"/>
                        </a:ln>
                      </wps:spPr>
                      <wps:style>
                        <a:lnRef idx="1">
                          <a:srgbClr val="009EE3"/>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271" style="width:481.89pt;height:0.3pt;position:absolute;mso-position-horizontal-relative:page;mso-position-horizontal:absolute;margin-left:56.6929pt;mso-position-vertical-relative:page;margin-top:22.6774pt;" coordsize="61200,38">
              <v:shape id="Shape 54272" style="position:absolute;width:61200;height:0;left:0;top:0;" coordsize="6120003,0" path="m0,0l6120003,0">
                <v:stroke weight="0.3pt" endcap="flat" joinstyle="miter" miterlimit="4" on="true" color="#009ee3"/>
                <v:fill on="false" color="#000000" opacity="0"/>
              </v:shape>
              <w10:wrap type="square"/>
            </v:group>
          </w:pict>
        </mc:Fallback>
      </mc:AlternateContent>
    </w:r>
    <w:r>
      <w:rPr>
        <w:noProof/>
      </w:rPr>
      <mc:AlternateContent>
        <mc:Choice Requires="wpg">
          <w:drawing>
            <wp:anchor distT="0" distB="0" distL="114300" distR="114300" simplePos="0" relativeHeight="251659264" behindDoc="0" locked="0" layoutInCell="1" allowOverlap="1">
              <wp:simplePos x="0" y="0"/>
              <wp:positionH relativeFrom="page">
                <wp:posOffset>720000</wp:posOffset>
              </wp:positionH>
              <wp:positionV relativeFrom="page">
                <wp:posOffset>540003</wp:posOffset>
              </wp:positionV>
              <wp:extent cx="6120003" cy="3810"/>
              <wp:effectExtent l="0" t="0" r="0" b="0"/>
              <wp:wrapSquare wrapText="bothSides"/>
              <wp:docPr id="54273" name="Group 54273"/>
              <wp:cNvGraphicFramePr/>
              <a:graphic xmlns:a="http://schemas.openxmlformats.org/drawingml/2006/main">
                <a:graphicData uri="http://schemas.microsoft.com/office/word/2010/wordprocessingGroup">
                  <wpg:wgp>
                    <wpg:cNvGrpSpPr/>
                    <wpg:grpSpPr>
                      <a:xfrm>
                        <a:off x="0" y="0"/>
                        <a:ext cx="6120003" cy="3810"/>
                        <a:chOff x="0" y="0"/>
                        <a:chExt cx="6120003" cy="3810"/>
                      </a:xfrm>
                    </wpg:grpSpPr>
                    <wps:wsp>
                      <wps:cNvPr id="54274" name="Shape 54274"/>
                      <wps:cNvSpPr/>
                      <wps:spPr>
                        <a:xfrm>
                          <a:off x="0" y="0"/>
                          <a:ext cx="6120003" cy="0"/>
                        </a:xfrm>
                        <a:custGeom>
                          <a:avLst/>
                          <a:gdLst/>
                          <a:ahLst/>
                          <a:cxnLst/>
                          <a:rect l="0" t="0" r="0" b="0"/>
                          <a:pathLst>
                            <a:path w="6120003">
                              <a:moveTo>
                                <a:pt x="0" y="0"/>
                              </a:moveTo>
                              <a:lnTo>
                                <a:pt x="6120003" y="0"/>
                              </a:lnTo>
                            </a:path>
                          </a:pathLst>
                        </a:custGeom>
                        <a:ln w="3810" cap="flat">
                          <a:miter lim="100000"/>
                        </a:ln>
                      </wps:spPr>
                      <wps:style>
                        <a:lnRef idx="1">
                          <a:srgbClr val="009EE3"/>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273" style="width:481.89pt;height:0.3pt;position:absolute;mso-position-horizontal-relative:page;mso-position-horizontal:absolute;margin-left:56.6929pt;mso-position-vertical-relative:page;margin-top:42.5199pt;" coordsize="61200,38">
              <v:shape id="Shape 54274" style="position:absolute;width:61200;height:0;left:0;top:0;" coordsize="6120003,0" path="m0,0l6120003,0">
                <v:stroke weight="0.3pt" endcap="flat" joinstyle="miter" miterlimit="4" on="true" color="#009ee3"/>
                <v:fill on="false" color="#000000" opacity="0"/>
              </v:shape>
              <w10:wrap type="square"/>
            </v:group>
          </w:pict>
        </mc:Fallback>
      </mc:AlternateContent>
    </w:r>
    <w:r>
      <w:rPr>
        <w:rFonts w:ascii="Times New Roman" w:eastAsia="Times New Roman" w:hAnsi="Times New Roman" w:cs="Times New Roman"/>
        <w:sz w:val="18"/>
      </w:rPr>
      <w:t>www.gastro-j.ru</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4195" w:tblpY="532"/>
      <w:tblOverlap w:val="never"/>
      <w:tblW w:w="6576" w:type="dxa"/>
      <w:tblInd w:w="0" w:type="dxa"/>
      <w:tblCellMar>
        <w:top w:w="7" w:type="dxa"/>
        <w:left w:w="115" w:type="dxa"/>
        <w:bottom w:w="0" w:type="dxa"/>
        <w:right w:w="27" w:type="dxa"/>
      </w:tblCellMar>
      <w:tblLook w:val="04A0" w:firstRow="1" w:lastRow="0" w:firstColumn="1" w:lastColumn="0" w:noHBand="0" w:noVBand="1"/>
    </w:tblPr>
    <w:tblGrid>
      <w:gridCol w:w="6576"/>
    </w:tblGrid>
    <w:tr w:rsidR="006F5A4C">
      <w:trPr>
        <w:trHeight w:val="240"/>
      </w:trPr>
      <w:tc>
        <w:tcPr>
          <w:tcW w:w="6576" w:type="dxa"/>
          <w:tcBorders>
            <w:top w:val="nil"/>
            <w:left w:val="nil"/>
            <w:bottom w:val="nil"/>
            <w:right w:val="nil"/>
          </w:tcBorders>
          <w:shd w:val="clear" w:color="auto" w:fill="F2F2F2"/>
        </w:tcPr>
        <w:p w:rsidR="006F5A4C" w:rsidRDefault="00730F7D">
          <w:pPr>
            <w:spacing w:after="0"/>
            <w:jc w:val="right"/>
          </w:pPr>
          <w:r>
            <w:rPr>
              <w:rFonts w:ascii="Times New Roman" w:eastAsia="Times New Roman" w:hAnsi="Times New Roman" w:cs="Times New Roman"/>
              <w:sz w:val="20"/>
            </w:rPr>
            <w:t>Клинические рекомендации/Clinical guidelines</w:t>
          </w:r>
        </w:p>
      </w:tc>
    </w:tr>
  </w:tbl>
  <w:p w:rsidR="006F5A4C" w:rsidRDefault="00730F7D">
    <w:pPr>
      <w:spacing w:after="0"/>
      <w:ind w:left="19" w:right="227"/>
    </w:pPr>
    <w:r>
      <w:rPr>
        <w:noProof/>
      </w:rPr>
      <mc:AlternateContent>
        <mc:Choice Requires="wpg">
          <w:drawing>
            <wp:anchor distT="0" distB="0" distL="114300" distR="114300" simplePos="0" relativeHeight="251660288" behindDoc="0" locked="0" layoutInCell="1" allowOverlap="1">
              <wp:simplePos x="0" y="0"/>
              <wp:positionH relativeFrom="page">
                <wp:posOffset>720000</wp:posOffset>
              </wp:positionH>
              <wp:positionV relativeFrom="page">
                <wp:posOffset>288003</wp:posOffset>
              </wp:positionV>
              <wp:extent cx="6120003" cy="3810"/>
              <wp:effectExtent l="0" t="0" r="0" b="0"/>
              <wp:wrapSquare wrapText="bothSides"/>
              <wp:docPr id="54243" name="Group 54243"/>
              <wp:cNvGraphicFramePr/>
              <a:graphic xmlns:a="http://schemas.openxmlformats.org/drawingml/2006/main">
                <a:graphicData uri="http://schemas.microsoft.com/office/word/2010/wordprocessingGroup">
                  <wpg:wgp>
                    <wpg:cNvGrpSpPr/>
                    <wpg:grpSpPr>
                      <a:xfrm>
                        <a:off x="0" y="0"/>
                        <a:ext cx="6120003" cy="3810"/>
                        <a:chOff x="0" y="0"/>
                        <a:chExt cx="6120003" cy="3810"/>
                      </a:xfrm>
                    </wpg:grpSpPr>
                    <wps:wsp>
                      <wps:cNvPr id="54244" name="Shape 54244"/>
                      <wps:cNvSpPr/>
                      <wps:spPr>
                        <a:xfrm>
                          <a:off x="0" y="0"/>
                          <a:ext cx="6120003" cy="0"/>
                        </a:xfrm>
                        <a:custGeom>
                          <a:avLst/>
                          <a:gdLst/>
                          <a:ahLst/>
                          <a:cxnLst/>
                          <a:rect l="0" t="0" r="0" b="0"/>
                          <a:pathLst>
                            <a:path w="6120003">
                              <a:moveTo>
                                <a:pt x="0" y="0"/>
                              </a:moveTo>
                              <a:lnTo>
                                <a:pt x="6120003" y="0"/>
                              </a:lnTo>
                            </a:path>
                          </a:pathLst>
                        </a:custGeom>
                        <a:ln w="3810" cap="flat">
                          <a:miter lim="100000"/>
                        </a:ln>
                      </wps:spPr>
                      <wps:style>
                        <a:lnRef idx="1">
                          <a:srgbClr val="009EE3"/>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243" style="width:481.89pt;height:0.3pt;position:absolute;mso-position-horizontal-relative:page;mso-position-horizontal:absolute;margin-left:56.6929pt;mso-position-vertical-relative:page;margin-top:22.6774pt;" coordsize="61200,38">
              <v:shape id="Shape 54244" style="position:absolute;width:61200;height:0;left:0;top:0;" coordsize="6120003,0" path="m0,0l6120003,0">
                <v:stroke weight="0.3pt" endcap="flat" joinstyle="miter" miterlimit="4" on="true" color="#009ee3"/>
                <v:fill on="false" color="#000000" opacity="0"/>
              </v:shape>
              <w10:wrap type="square"/>
            </v:group>
          </w:pict>
        </mc:Fallback>
      </mc:AlternateContent>
    </w:r>
    <w:r>
      <w:rPr>
        <w:noProof/>
      </w:rPr>
      <mc:AlternateContent>
        <mc:Choice Requires="wpg">
          <w:drawing>
            <wp:anchor distT="0" distB="0" distL="114300" distR="114300" simplePos="0" relativeHeight="251661312" behindDoc="0" locked="0" layoutInCell="1" allowOverlap="1">
              <wp:simplePos x="0" y="0"/>
              <wp:positionH relativeFrom="page">
                <wp:posOffset>720000</wp:posOffset>
              </wp:positionH>
              <wp:positionV relativeFrom="page">
                <wp:posOffset>540003</wp:posOffset>
              </wp:positionV>
              <wp:extent cx="6120003" cy="3810"/>
              <wp:effectExtent l="0" t="0" r="0" b="0"/>
              <wp:wrapSquare wrapText="bothSides"/>
              <wp:docPr id="54245" name="Group 54245"/>
              <wp:cNvGraphicFramePr/>
              <a:graphic xmlns:a="http://schemas.openxmlformats.org/drawingml/2006/main">
                <a:graphicData uri="http://schemas.microsoft.com/office/word/2010/wordprocessingGroup">
                  <wpg:wgp>
                    <wpg:cNvGrpSpPr/>
                    <wpg:grpSpPr>
                      <a:xfrm>
                        <a:off x="0" y="0"/>
                        <a:ext cx="6120003" cy="3810"/>
                        <a:chOff x="0" y="0"/>
                        <a:chExt cx="6120003" cy="3810"/>
                      </a:xfrm>
                    </wpg:grpSpPr>
                    <wps:wsp>
                      <wps:cNvPr id="54246" name="Shape 54246"/>
                      <wps:cNvSpPr/>
                      <wps:spPr>
                        <a:xfrm>
                          <a:off x="0" y="0"/>
                          <a:ext cx="6120003" cy="0"/>
                        </a:xfrm>
                        <a:custGeom>
                          <a:avLst/>
                          <a:gdLst/>
                          <a:ahLst/>
                          <a:cxnLst/>
                          <a:rect l="0" t="0" r="0" b="0"/>
                          <a:pathLst>
                            <a:path w="6120003">
                              <a:moveTo>
                                <a:pt x="0" y="0"/>
                              </a:moveTo>
                              <a:lnTo>
                                <a:pt x="6120003" y="0"/>
                              </a:lnTo>
                            </a:path>
                          </a:pathLst>
                        </a:custGeom>
                        <a:ln w="3810" cap="flat">
                          <a:miter lim="100000"/>
                        </a:ln>
                      </wps:spPr>
                      <wps:style>
                        <a:lnRef idx="1">
                          <a:srgbClr val="009EE3"/>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245" style="width:481.89pt;height:0.3pt;position:absolute;mso-position-horizontal-relative:page;mso-position-horizontal:absolute;margin-left:56.6929pt;mso-position-vertical-relative:page;margin-top:42.5199pt;" coordsize="61200,38">
              <v:shape id="Shape 54246" style="position:absolute;width:61200;height:0;left:0;top:0;" coordsize="6120003,0" path="m0,0l6120003,0">
                <v:stroke weight="0.3pt" endcap="flat" joinstyle="miter" miterlimit="4" on="true" color="#009ee3"/>
                <v:fill on="false" color="#000000" opacity="0"/>
              </v:shape>
              <w10:wrap type="square"/>
            </v:group>
          </w:pict>
        </mc:Fallback>
      </mc:AlternateContent>
    </w:r>
    <w:r>
      <w:rPr>
        <w:rFonts w:ascii="Times New Roman" w:eastAsia="Times New Roman" w:hAnsi="Times New Roman" w:cs="Times New Roman"/>
        <w:sz w:val="18"/>
      </w:rPr>
      <w:t>www.gastro-j.ru</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4195" w:tblpY="532"/>
      <w:tblOverlap w:val="never"/>
      <w:tblW w:w="6576" w:type="dxa"/>
      <w:tblInd w:w="0" w:type="dxa"/>
      <w:tblCellMar>
        <w:top w:w="7" w:type="dxa"/>
        <w:left w:w="115" w:type="dxa"/>
        <w:bottom w:w="0" w:type="dxa"/>
        <w:right w:w="27" w:type="dxa"/>
      </w:tblCellMar>
      <w:tblLook w:val="04A0" w:firstRow="1" w:lastRow="0" w:firstColumn="1" w:lastColumn="0" w:noHBand="0" w:noVBand="1"/>
    </w:tblPr>
    <w:tblGrid>
      <w:gridCol w:w="6576"/>
    </w:tblGrid>
    <w:tr w:rsidR="006F5A4C">
      <w:trPr>
        <w:trHeight w:val="240"/>
      </w:trPr>
      <w:tc>
        <w:tcPr>
          <w:tcW w:w="6576" w:type="dxa"/>
          <w:tcBorders>
            <w:top w:val="nil"/>
            <w:left w:val="nil"/>
            <w:bottom w:val="nil"/>
            <w:right w:val="nil"/>
          </w:tcBorders>
          <w:shd w:val="clear" w:color="auto" w:fill="F2F2F2"/>
        </w:tcPr>
        <w:p w:rsidR="006F5A4C" w:rsidRDefault="00730F7D">
          <w:pPr>
            <w:spacing w:after="0"/>
            <w:jc w:val="right"/>
          </w:pPr>
          <w:r>
            <w:rPr>
              <w:rFonts w:ascii="Times New Roman" w:eastAsia="Times New Roman" w:hAnsi="Times New Roman" w:cs="Times New Roman"/>
              <w:sz w:val="20"/>
            </w:rPr>
            <w:t>Клинические рекомендации/Clinical guidelines</w:t>
          </w:r>
        </w:p>
      </w:tc>
    </w:tr>
  </w:tbl>
  <w:p w:rsidR="006F5A4C" w:rsidRDefault="00730F7D">
    <w:pPr>
      <w:spacing w:after="0"/>
      <w:ind w:left="19" w:right="227"/>
    </w:pPr>
    <w:r>
      <w:rPr>
        <w:noProof/>
      </w:rPr>
      <mc:AlternateContent>
        <mc:Choice Requires="wpg">
          <w:drawing>
            <wp:anchor distT="0" distB="0" distL="114300" distR="114300" simplePos="0" relativeHeight="251662336" behindDoc="0" locked="0" layoutInCell="1" allowOverlap="1">
              <wp:simplePos x="0" y="0"/>
              <wp:positionH relativeFrom="page">
                <wp:posOffset>720000</wp:posOffset>
              </wp:positionH>
              <wp:positionV relativeFrom="page">
                <wp:posOffset>288003</wp:posOffset>
              </wp:positionV>
              <wp:extent cx="6120003" cy="3810"/>
              <wp:effectExtent l="0" t="0" r="0" b="0"/>
              <wp:wrapSquare wrapText="bothSides"/>
              <wp:docPr id="54215" name="Group 54215"/>
              <wp:cNvGraphicFramePr/>
              <a:graphic xmlns:a="http://schemas.openxmlformats.org/drawingml/2006/main">
                <a:graphicData uri="http://schemas.microsoft.com/office/word/2010/wordprocessingGroup">
                  <wpg:wgp>
                    <wpg:cNvGrpSpPr/>
                    <wpg:grpSpPr>
                      <a:xfrm>
                        <a:off x="0" y="0"/>
                        <a:ext cx="6120003" cy="3810"/>
                        <a:chOff x="0" y="0"/>
                        <a:chExt cx="6120003" cy="3810"/>
                      </a:xfrm>
                    </wpg:grpSpPr>
                    <wps:wsp>
                      <wps:cNvPr id="54216" name="Shape 54216"/>
                      <wps:cNvSpPr/>
                      <wps:spPr>
                        <a:xfrm>
                          <a:off x="0" y="0"/>
                          <a:ext cx="6120003" cy="0"/>
                        </a:xfrm>
                        <a:custGeom>
                          <a:avLst/>
                          <a:gdLst/>
                          <a:ahLst/>
                          <a:cxnLst/>
                          <a:rect l="0" t="0" r="0" b="0"/>
                          <a:pathLst>
                            <a:path w="6120003">
                              <a:moveTo>
                                <a:pt x="0" y="0"/>
                              </a:moveTo>
                              <a:lnTo>
                                <a:pt x="6120003" y="0"/>
                              </a:lnTo>
                            </a:path>
                          </a:pathLst>
                        </a:custGeom>
                        <a:ln w="3810" cap="flat">
                          <a:miter lim="100000"/>
                        </a:ln>
                      </wps:spPr>
                      <wps:style>
                        <a:lnRef idx="1">
                          <a:srgbClr val="009EE3"/>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215" style="width:481.89pt;height:0.3pt;position:absolute;mso-position-horizontal-relative:page;mso-position-horizontal:absolute;margin-left:56.6929pt;mso-position-vertical-relative:page;margin-top:22.6774pt;" coordsize="61200,38">
              <v:shape id="Shape 54216" style="position:absolute;width:61200;height:0;left:0;top:0;" coordsize="6120003,0" path="m0,0l6120003,0">
                <v:stroke weight="0.3pt" endcap="flat" joinstyle="miter" miterlimit="4" on="true" color="#009ee3"/>
                <v:fill on="false" color="#000000" opacity="0"/>
              </v:shape>
              <w10:wrap type="square"/>
            </v:group>
          </w:pict>
        </mc:Fallback>
      </mc:AlternateContent>
    </w:r>
    <w:r>
      <w:rPr>
        <w:noProof/>
      </w:rPr>
      <mc:AlternateContent>
        <mc:Choice Requires="wpg">
          <w:drawing>
            <wp:anchor distT="0" distB="0" distL="114300" distR="114300" simplePos="0" relativeHeight="251663360" behindDoc="0" locked="0" layoutInCell="1" allowOverlap="1">
              <wp:simplePos x="0" y="0"/>
              <wp:positionH relativeFrom="page">
                <wp:posOffset>720000</wp:posOffset>
              </wp:positionH>
              <wp:positionV relativeFrom="page">
                <wp:posOffset>540003</wp:posOffset>
              </wp:positionV>
              <wp:extent cx="6120003" cy="3810"/>
              <wp:effectExtent l="0" t="0" r="0" b="0"/>
              <wp:wrapSquare wrapText="bothSides"/>
              <wp:docPr id="54217" name="Group 54217"/>
              <wp:cNvGraphicFramePr/>
              <a:graphic xmlns:a="http://schemas.openxmlformats.org/drawingml/2006/main">
                <a:graphicData uri="http://schemas.microsoft.com/office/word/2010/wordprocessingGroup">
                  <wpg:wgp>
                    <wpg:cNvGrpSpPr/>
                    <wpg:grpSpPr>
                      <a:xfrm>
                        <a:off x="0" y="0"/>
                        <a:ext cx="6120003" cy="3810"/>
                        <a:chOff x="0" y="0"/>
                        <a:chExt cx="6120003" cy="3810"/>
                      </a:xfrm>
                    </wpg:grpSpPr>
                    <wps:wsp>
                      <wps:cNvPr id="54218" name="Shape 54218"/>
                      <wps:cNvSpPr/>
                      <wps:spPr>
                        <a:xfrm>
                          <a:off x="0" y="0"/>
                          <a:ext cx="6120003" cy="0"/>
                        </a:xfrm>
                        <a:custGeom>
                          <a:avLst/>
                          <a:gdLst/>
                          <a:ahLst/>
                          <a:cxnLst/>
                          <a:rect l="0" t="0" r="0" b="0"/>
                          <a:pathLst>
                            <a:path w="6120003">
                              <a:moveTo>
                                <a:pt x="0" y="0"/>
                              </a:moveTo>
                              <a:lnTo>
                                <a:pt x="6120003" y="0"/>
                              </a:lnTo>
                            </a:path>
                          </a:pathLst>
                        </a:custGeom>
                        <a:ln w="3810" cap="flat">
                          <a:miter lim="100000"/>
                        </a:ln>
                      </wps:spPr>
                      <wps:style>
                        <a:lnRef idx="1">
                          <a:srgbClr val="009EE3"/>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4217" style="width:481.89pt;height:0.3pt;position:absolute;mso-position-horizontal-relative:page;mso-position-horizontal:absolute;margin-left:56.6929pt;mso-position-vertical-relative:page;margin-top:42.5199pt;" coordsize="61200,38">
              <v:shape id="Shape 54218" style="position:absolute;width:61200;height:0;left:0;top:0;" coordsize="6120003,0" path="m0,0l6120003,0">
                <v:stroke weight="0.3pt" endcap="flat" joinstyle="miter" miterlimit="4" on="true" color="#009ee3"/>
                <v:fill on="false" color="#000000" opacity="0"/>
              </v:shape>
              <w10:wrap type="square"/>
            </v:group>
          </w:pict>
        </mc:Fallback>
      </mc:AlternateContent>
    </w:r>
    <w:r>
      <w:rPr>
        <w:rFonts w:ascii="Times New Roman" w:eastAsia="Times New Roman" w:hAnsi="Times New Roman" w:cs="Times New Roman"/>
        <w:sz w:val="18"/>
      </w:rPr>
      <w:t>www.gastro-j.ru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E7BB5"/>
    <w:multiLevelType w:val="hybridMultilevel"/>
    <w:tmpl w:val="323A26AE"/>
    <w:lvl w:ilvl="0" w:tplc="322AD8E6">
      <w:start w:val="1"/>
      <w:numFmt w:val="decimal"/>
      <w:lvlText w:val="%1."/>
      <w:lvlJc w:val="left"/>
      <w:pPr>
        <w:ind w:left="314"/>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lvl w:ilvl="1" w:tplc="830E1ABE">
      <w:start w:val="1"/>
      <w:numFmt w:val="lowerLetter"/>
      <w:lvlText w:val="%2"/>
      <w:lvlJc w:val="left"/>
      <w:pPr>
        <w:ind w:left="1359"/>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lvl w:ilvl="2" w:tplc="5D2016E0">
      <w:start w:val="1"/>
      <w:numFmt w:val="lowerRoman"/>
      <w:lvlText w:val="%3"/>
      <w:lvlJc w:val="left"/>
      <w:pPr>
        <w:ind w:left="2079"/>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lvl w:ilvl="3" w:tplc="E2B0F754">
      <w:start w:val="1"/>
      <w:numFmt w:val="decimal"/>
      <w:lvlText w:val="%4"/>
      <w:lvlJc w:val="left"/>
      <w:pPr>
        <w:ind w:left="2799"/>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lvl w:ilvl="4" w:tplc="F210F9D8">
      <w:start w:val="1"/>
      <w:numFmt w:val="lowerLetter"/>
      <w:lvlText w:val="%5"/>
      <w:lvlJc w:val="left"/>
      <w:pPr>
        <w:ind w:left="3519"/>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lvl w:ilvl="5" w:tplc="951CF6F0">
      <w:start w:val="1"/>
      <w:numFmt w:val="lowerRoman"/>
      <w:lvlText w:val="%6"/>
      <w:lvlJc w:val="left"/>
      <w:pPr>
        <w:ind w:left="4239"/>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lvl w:ilvl="6" w:tplc="0964C298">
      <w:start w:val="1"/>
      <w:numFmt w:val="decimal"/>
      <w:lvlText w:val="%7"/>
      <w:lvlJc w:val="left"/>
      <w:pPr>
        <w:ind w:left="4959"/>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lvl w:ilvl="7" w:tplc="D7C2BB38">
      <w:start w:val="1"/>
      <w:numFmt w:val="lowerLetter"/>
      <w:lvlText w:val="%8"/>
      <w:lvlJc w:val="left"/>
      <w:pPr>
        <w:ind w:left="5679"/>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lvl w:ilvl="8" w:tplc="DC4C0E90">
      <w:start w:val="1"/>
      <w:numFmt w:val="lowerRoman"/>
      <w:lvlText w:val="%9"/>
      <w:lvlJc w:val="left"/>
      <w:pPr>
        <w:ind w:left="6399"/>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abstractNum>
  <w:abstractNum w:abstractNumId="1" w15:restartNumberingAfterBreak="0">
    <w:nsid w:val="0DEB3169"/>
    <w:multiLevelType w:val="hybridMultilevel"/>
    <w:tmpl w:val="7F86A2F4"/>
    <w:lvl w:ilvl="0" w:tplc="DF78A420">
      <w:start w:val="112"/>
      <w:numFmt w:val="decimal"/>
      <w:lvlText w:val="%1."/>
      <w:lvlJc w:val="left"/>
      <w:pPr>
        <w:ind w:left="30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0FB01286">
      <w:start w:val="1"/>
      <w:numFmt w:val="lowerLetter"/>
      <w:lvlText w:val="%2"/>
      <w:lvlJc w:val="left"/>
      <w:pPr>
        <w:ind w:left="108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18CC9B04">
      <w:start w:val="1"/>
      <w:numFmt w:val="lowerRoman"/>
      <w:lvlText w:val="%3"/>
      <w:lvlJc w:val="left"/>
      <w:pPr>
        <w:ind w:left="180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7E0877E4">
      <w:start w:val="1"/>
      <w:numFmt w:val="decimal"/>
      <w:lvlText w:val="%4"/>
      <w:lvlJc w:val="left"/>
      <w:pPr>
        <w:ind w:left="252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EF2025BC">
      <w:start w:val="1"/>
      <w:numFmt w:val="lowerLetter"/>
      <w:lvlText w:val="%5"/>
      <w:lvlJc w:val="left"/>
      <w:pPr>
        <w:ind w:left="324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19B24928">
      <w:start w:val="1"/>
      <w:numFmt w:val="lowerRoman"/>
      <w:lvlText w:val="%6"/>
      <w:lvlJc w:val="left"/>
      <w:pPr>
        <w:ind w:left="396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1B864914">
      <w:start w:val="1"/>
      <w:numFmt w:val="decimal"/>
      <w:lvlText w:val="%7"/>
      <w:lvlJc w:val="left"/>
      <w:pPr>
        <w:ind w:left="468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E6AAC924">
      <w:start w:val="1"/>
      <w:numFmt w:val="lowerLetter"/>
      <w:lvlText w:val="%8"/>
      <w:lvlJc w:val="left"/>
      <w:pPr>
        <w:ind w:left="540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19DC8C6A">
      <w:start w:val="1"/>
      <w:numFmt w:val="lowerRoman"/>
      <w:lvlText w:val="%9"/>
      <w:lvlJc w:val="left"/>
      <w:pPr>
        <w:ind w:left="612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10BD467A"/>
    <w:multiLevelType w:val="hybridMultilevel"/>
    <w:tmpl w:val="CF08DDD4"/>
    <w:lvl w:ilvl="0" w:tplc="8E20C2DE">
      <w:start w:val="1"/>
      <w:numFmt w:val="decimal"/>
      <w:lvlText w:val="%1."/>
      <w:lvlJc w:val="left"/>
      <w:pPr>
        <w:ind w:left="17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6AD01E08">
      <w:start w:val="1"/>
      <w:numFmt w:val="lowerLetter"/>
      <w:lvlText w:val="%2"/>
      <w:lvlJc w:val="left"/>
      <w:pPr>
        <w:ind w:left="109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70468652">
      <w:start w:val="1"/>
      <w:numFmt w:val="lowerRoman"/>
      <w:lvlText w:val="%3"/>
      <w:lvlJc w:val="left"/>
      <w:pPr>
        <w:ind w:left="181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6112672E">
      <w:start w:val="1"/>
      <w:numFmt w:val="decimal"/>
      <w:lvlText w:val="%4"/>
      <w:lvlJc w:val="left"/>
      <w:pPr>
        <w:ind w:left="253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D3EA5FBC">
      <w:start w:val="1"/>
      <w:numFmt w:val="lowerLetter"/>
      <w:lvlText w:val="%5"/>
      <w:lvlJc w:val="left"/>
      <w:pPr>
        <w:ind w:left="325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2AF202C8">
      <w:start w:val="1"/>
      <w:numFmt w:val="lowerRoman"/>
      <w:lvlText w:val="%6"/>
      <w:lvlJc w:val="left"/>
      <w:pPr>
        <w:ind w:left="397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15AE39D8">
      <w:start w:val="1"/>
      <w:numFmt w:val="decimal"/>
      <w:lvlText w:val="%7"/>
      <w:lvlJc w:val="left"/>
      <w:pPr>
        <w:ind w:left="469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6E10B4C8">
      <w:start w:val="1"/>
      <w:numFmt w:val="lowerLetter"/>
      <w:lvlText w:val="%8"/>
      <w:lvlJc w:val="left"/>
      <w:pPr>
        <w:ind w:left="541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D72C3748">
      <w:start w:val="1"/>
      <w:numFmt w:val="lowerRoman"/>
      <w:lvlText w:val="%9"/>
      <w:lvlJc w:val="left"/>
      <w:pPr>
        <w:ind w:left="613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221C54BA"/>
    <w:multiLevelType w:val="hybridMultilevel"/>
    <w:tmpl w:val="3AA4010E"/>
    <w:lvl w:ilvl="0" w:tplc="DFF4360A">
      <w:start w:val="1"/>
      <w:numFmt w:val="bullet"/>
      <w:lvlText w:val="•"/>
      <w:lvlJc w:val="left"/>
      <w:pPr>
        <w:ind w:left="5"/>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1" w:tplc="9F0ACC7C">
      <w:start w:val="1"/>
      <w:numFmt w:val="bullet"/>
      <w:lvlText w:val="o"/>
      <w:lvlJc w:val="left"/>
      <w:pPr>
        <w:ind w:left="1308"/>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2" w:tplc="62A82688">
      <w:start w:val="1"/>
      <w:numFmt w:val="bullet"/>
      <w:lvlText w:val="▪"/>
      <w:lvlJc w:val="left"/>
      <w:pPr>
        <w:ind w:left="2028"/>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3" w:tplc="AC34D13E">
      <w:start w:val="1"/>
      <w:numFmt w:val="bullet"/>
      <w:lvlText w:val="•"/>
      <w:lvlJc w:val="left"/>
      <w:pPr>
        <w:ind w:left="2748"/>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4" w:tplc="DBC800FC">
      <w:start w:val="1"/>
      <w:numFmt w:val="bullet"/>
      <w:lvlText w:val="o"/>
      <w:lvlJc w:val="left"/>
      <w:pPr>
        <w:ind w:left="3468"/>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5" w:tplc="251C2B70">
      <w:start w:val="1"/>
      <w:numFmt w:val="bullet"/>
      <w:lvlText w:val="▪"/>
      <w:lvlJc w:val="left"/>
      <w:pPr>
        <w:ind w:left="4188"/>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6" w:tplc="C82CEBF6">
      <w:start w:val="1"/>
      <w:numFmt w:val="bullet"/>
      <w:lvlText w:val="•"/>
      <w:lvlJc w:val="left"/>
      <w:pPr>
        <w:ind w:left="4908"/>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7" w:tplc="BF1C18AA">
      <w:start w:val="1"/>
      <w:numFmt w:val="bullet"/>
      <w:lvlText w:val="o"/>
      <w:lvlJc w:val="left"/>
      <w:pPr>
        <w:ind w:left="5628"/>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lvl w:ilvl="8" w:tplc="79B80AC6">
      <w:start w:val="1"/>
      <w:numFmt w:val="bullet"/>
      <w:lvlText w:val="▪"/>
      <w:lvlJc w:val="left"/>
      <w:pPr>
        <w:ind w:left="6348"/>
      </w:pPr>
      <w:rPr>
        <w:rFonts w:ascii="Times New Roman" w:eastAsia="Times New Roman" w:hAnsi="Times New Roman" w:cs="Times New Roman"/>
        <w:b/>
        <w:bCs/>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23F22EC8"/>
    <w:multiLevelType w:val="hybridMultilevel"/>
    <w:tmpl w:val="DAD4B3FC"/>
    <w:lvl w:ilvl="0" w:tplc="44364D5E">
      <w:start w:val="13"/>
      <w:numFmt w:val="decimal"/>
      <w:lvlText w:val="%1"/>
      <w:lvlJc w:val="left"/>
      <w:pPr>
        <w:ind w:left="152"/>
      </w:pPr>
      <w:rPr>
        <w:rFonts w:ascii="Calibri" w:eastAsia="Calibri" w:hAnsi="Calibri" w:cs="Calibri"/>
        <w:b w:val="0"/>
        <w:i/>
        <w:iCs/>
        <w:strike w:val="0"/>
        <w:dstrike w:val="0"/>
        <w:color w:val="000000"/>
        <w:sz w:val="14"/>
        <w:szCs w:val="14"/>
        <w:u w:val="none" w:color="000000"/>
        <w:bdr w:val="none" w:sz="0" w:space="0" w:color="auto"/>
        <w:shd w:val="clear" w:color="auto" w:fill="auto"/>
        <w:vertAlign w:val="superscript"/>
      </w:rPr>
    </w:lvl>
    <w:lvl w:ilvl="1" w:tplc="7F0EDBA6">
      <w:start w:val="1"/>
      <w:numFmt w:val="lowerLetter"/>
      <w:lvlText w:val="%2"/>
      <w:lvlJc w:val="left"/>
      <w:pPr>
        <w:ind w:left="1087"/>
      </w:pPr>
      <w:rPr>
        <w:rFonts w:ascii="Calibri" w:eastAsia="Calibri" w:hAnsi="Calibri" w:cs="Calibri"/>
        <w:b w:val="0"/>
        <w:i/>
        <w:iCs/>
        <w:strike w:val="0"/>
        <w:dstrike w:val="0"/>
        <w:color w:val="000000"/>
        <w:sz w:val="14"/>
        <w:szCs w:val="14"/>
        <w:u w:val="none" w:color="000000"/>
        <w:bdr w:val="none" w:sz="0" w:space="0" w:color="auto"/>
        <w:shd w:val="clear" w:color="auto" w:fill="auto"/>
        <w:vertAlign w:val="superscript"/>
      </w:rPr>
    </w:lvl>
    <w:lvl w:ilvl="2" w:tplc="203CE824">
      <w:start w:val="1"/>
      <w:numFmt w:val="lowerRoman"/>
      <w:lvlText w:val="%3"/>
      <w:lvlJc w:val="left"/>
      <w:pPr>
        <w:ind w:left="1807"/>
      </w:pPr>
      <w:rPr>
        <w:rFonts w:ascii="Calibri" w:eastAsia="Calibri" w:hAnsi="Calibri" w:cs="Calibri"/>
        <w:b w:val="0"/>
        <w:i/>
        <w:iCs/>
        <w:strike w:val="0"/>
        <w:dstrike w:val="0"/>
        <w:color w:val="000000"/>
        <w:sz w:val="14"/>
        <w:szCs w:val="14"/>
        <w:u w:val="none" w:color="000000"/>
        <w:bdr w:val="none" w:sz="0" w:space="0" w:color="auto"/>
        <w:shd w:val="clear" w:color="auto" w:fill="auto"/>
        <w:vertAlign w:val="superscript"/>
      </w:rPr>
    </w:lvl>
    <w:lvl w:ilvl="3" w:tplc="6DFCC74E">
      <w:start w:val="1"/>
      <w:numFmt w:val="decimal"/>
      <w:lvlText w:val="%4"/>
      <w:lvlJc w:val="left"/>
      <w:pPr>
        <w:ind w:left="2527"/>
      </w:pPr>
      <w:rPr>
        <w:rFonts w:ascii="Calibri" w:eastAsia="Calibri" w:hAnsi="Calibri" w:cs="Calibri"/>
        <w:b w:val="0"/>
        <w:i/>
        <w:iCs/>
        <w:strike w:val="0"/>
        <w:dstrike w:val="0"/>
        <w:color w:val="000000"/>
        <w:sz w:val="14"/>
        <w:szCs w:val="14"/>
        <w:u w:val="none" w:color="000000"/>
        <w:bdr w:val="none" w:sz="0" w:space="0" w:color="auto"/>
        <w:shd w:val="clear" w:color="auto" w:fill="auto"/>
        <w:vertAlign w:val="superscript"/>
      </w:rPr>
    </w:lvl>
    <w:lvl w:ilvl="4" w:tplc="A7EC7788">
      <w:start w:val="1"/>
      <w:numFmt w:val="lowerLetter"/>
      <w:lvlText w:val="%5"/>
      <w:lvlJc w:val="left"/>
      <w:pPr>
        <w:ind w:left="3247"/>
      </w:pPr>
      <w:rPr>
        <w:rFonts w:ascii="Calibri" w:eastAsia="Calibri" w:hAnsi="Calibri" w:cs="Calibri"/>
        <w:b w:val="0"/>
        <w:i/>
        <w:iCs/>
        <w:strike w:val="0"/>
        <w:dstrike w:val="0"/>
        <w:color w:val="000000"/>
        <w:sz w:val="14"/>
        <w:szCs w:val="14"/>
        <w:u w:val="none" w:color="000000"/>
        <w:bdr w:val="none" w:sz="0" w:space="0" w:color="auto"/>
        <w:shd w:val="clear" w:color="auto" w:fill="auto"/>
        <w:vertAlign w:val="superscript"/>
      </w:rPr>
    </w:lvl>
    <w:lvl w:ilvl="5" w:tplc="FA3219B6">
      <w:start w:val="1"/>
      <w:numFmt w:val="lowerRoman"/>
      <w:lvlText w:val="%6"/>
      <w:lvlJc w:val="left"/>
      <w:pPr>
        <w:ind w:left="3967"/>
      </w:pPr>
      <w:rPr>
        <w:rFonts w:ascii="Calibri" w:eastAsia="Calibri" w:hAnsi="Calibri" w:cs="Calibri"/>
        <w:b w:val="0"/>
        <w:i/>
        <w:iCs/>
        <w:strike w:val="0"/>
        <w:dstrike w:val="0"/>
        <w:color w:val="000000"/>
        <w:sz w:val="14"/>
        <w:szCs w:val="14"/>
        <w:u w:val="none" w:color="000000"/>
        <w:bdr w:val="none" w:sz="0" w:space="0" w:color="auto"/>
        <w:shd w:val="clear" w:color="auto" w:fill="auto"/>
        <w:vertAlign w:val="superscript"/>
      </w:rPr>
    </w:lvl>
    <w:lvl w:ilvl="6" w:tplc="C060BFFA">
      <w:start w:val="1"/>
      <w:numFmt w:val="decimal"/>
      <w:lvlText w:val="%7"/>
      <w:lvlJc w:val="left"/>
      <w:pPr>
        <w:ind w:left="4687"/>
      </w:pPr>
      <w:rPr>
        <w:rFonts w:ascii="Calibri" w:eastAsia="Calibri" w:hAnsi="Calibri" w:cs="Calibri"/>
        <w:b w:val="0"/>
        <w:i/>
        <w:iCs/>
        <w:strike w:val="0"/>
        <w:dstrike w:val="0"/>
        <w:color w:val="000000"/>
        <w:sz w:val="14"/>
        <w:szCs w:val="14"/>
        <w:u w:val="none" w:color="000000"/>
        <w:bdr w:val="none" w:sz="0" w:space="0" w:color="auto"/>
        <w:shd w:val="clear" w:color="auto" w:fill="auto"/>
        <w:vertAlign w:val="superscript"/>
      </w:rPr>
    </w:lvl>
    <w:lvl w:ilvl="7" w:tplc="6B10ADF4">
      <w:start w:val="1"/>
      <w:numFmt w:val="lowerLetter"/>
      <w:lvlText w:val="%8"/>
      <w:lvlJc w:val="left"/>
      <w:pPr>
        <w:ind w:left="5407"/>
      </w:pPr>
      <w:rPr>
        <w:rFonts w:ascii="Calibri" w:eastAsia="Calibri" w:hAnsi="Calibri" w:cs="Calibri"/>
        <w:b w:val="0"/>
        <w:i/>
        <w:iCs/>
        <w:strike w:val="0"/>
        <w:dstrike w:val="0"/>
        <w:color w:val="000000"/>
        <w:sz w:val="14"/>
        <w:szCs w:val="14"/>
        <w:u w:val="none" w:color="000000"/>
        <w:bdr w:val="none" w:sz="0" w:space="0" w:color="auto"/>
        <w:shd w:val="clear" w:color="auto" w:fill="auto"/>
        <w:vertAlign w:val="superscript"/>
      </w:rPr>
    </w:lvl>
    <w:lvl w:ilvl="8" w:tplc="D986A6D6">
      <w:start w:val="1"/>
      <w:numFmt w:val="lowerRoman"/>
      <w:lvlText w:val="%9"/>
      <w:lvlJc w:val="left"/>
      <w:pPr>
        <w:ind w:left="6127"/>
      </w:pPr>
      <w:rPr>
        <w:rFonts w:ascii="Calibri" w:eastAsia="Calibri" w:hAnsi="Calibri" w:cs="Calibri"/>
        <w:b w:val="0"/>
        <w:i/>
        <w:iCs/>
        <w:strike w:val="0"/>
        <w:dstrike w:val="0"/>
        <w:color w:val="000000"/>
        <w:sz w:val="14"/>
        <w:szCs w:val="14"/>
        <w:u w:val="none" w:color="000000"/>
        <w:bdr w:val="none" w:sz="0" w:space="0" w:color="auto"/>
        <w:shd w:val="clear" w:color="auto" w:fill="auto"/>
        <w:vertAlign w:val="superscript"/>
      </w:rPr>
    </w:lvl>
  </w:abstractNum>
  <w:abstractNum w:abstractNumId="5" w15:restartNumberingAfterBreak="0">
    <w:nsid w:val="2B3014C5"/>
    <w:multiLevelType w:val="hybridMultilevel"/>
    <w:tmpl w:val="13D0818E"/>
    <w:lvl w:ilvl="0" w:tplc="B92C82C6">
      <w:start w:val="4"/>
      <w:numFmt w:val="decimal"/>
      <w:pStyle w:val="Heading1"/>
      <w:lvlText w:val="%1"/>
      <w:lvlJc w:val="left"/>
      <w:pPr>
        <w:ind w:left="0"/>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lvl w:ilvl="1" w:tplc="46768236">
      <w:start w:val="1"/>
      <w:numFmt w:val="lowerLetter"/>
      <w:lvlText w:val="%2"/>
      <w:lvlJc w:val="left"/>
      <w:pPr>
        <w:ind w:left="1370"/>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lvl w:ilvl="2" w:tplc="F49CA998">
      <w:start w:val="1"/>
      <w:numFmt w:val="lowerRoman"/>
      <w:lvlText w:val="%3"/>
      <w:lvlJc w:val="left"/>
      <w:pPr>
        <w:ind w:left="2090"/>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lvl w:ilvl="3" w:tplc="97CC0650">
      <w:start w:val="1"/>
      <w:numFmt w:val="decimal"/>
      <w:lvlText w:val="%4"/>
      <w:lvlJc w:val="left"/>
      <w:pPr>
        <w:ind w:left="2810"/>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lvl w:ilvl="4" w:tplc="A9B2AFC2">
      <w:start w:val="1"/>
      <w:numFmt w:val="lowerLetter"/>
      <w:lvlText w:val="%5"/>
      <w:lvlJc w:val="left"/>
      <w:pPr>
        <w:ind w:left="3530"/>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lvl w:ilvl="5" w:tplc="1F50B5DC">
      <w:start w:val="1"/>
      <w:numFmt w:val="lowerRoman"/>
      <w:lvlText w:val="%6"/>
      <w:lvlJc w:val="left"/>
      <w:pPr>
        <w:ind w:left="4250"/>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lvl w:ilvl="6" w:tplc="36081852">
      <w:start w:val="1"/>
      <w:numFmt w:val="decimal"/>
      <w:lvlText w:val="%7"/>
      <w:lvlJc w:val="left"/>
      <w:pPr>
        <w:ind w:left="4970"/>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lvl w:ilvl="7" w:tplc="6050580C">
      <w:start w:val="1"/>
      <w:numFmt w:val="lowerLetter"/>
      <w:lvlText w:val="%8"/>
      <w:lvlJc w:val="left"/>
      <w:pPr>
        <w:ind w:left="5690"/>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lvl w:ilvl="8" w:tplc="18444C30">
      <w:start w:val="1"/>
      <w:numFmt w:val="lowerRoman"/>
      <w:lvlText w:val="%9"/>
      <w:lvlJc w:val="left"/>
      <w:pPr>
        <w:ind w:left="6410"/>
      </w:pPr>
      <w:rPr>
        <w:rFonts w:ascii="Times New Roman" w:eastAsia="Times New Roman" w:hAnsi="Times New Roman" w:cs="Times New Roman"/>
        <w:b/>
        <w:bCs/>
        <w:i w:val="0"/>
        <w:strike w:val="0"/>
        <w:dstrike w:val="0"/>
        <w:color w:val="009EE3"/>
        <w:sz w:val="19"/>
        <w:szCs w:val="19"/>
        <w:u w:val="none" w:color="000000"/>
        <w:bdr w:val="none" w:sz="0" w:space="0" w:color="auto"/>
        <w:shd w:val="clear" w:color="auto" w:fill="auto"/>
        <w:vertAlign w:val="baseline"/>
      </w:rPr>
    </w:lvl>
  </w:abstractNum>
  <w:abstractNum w:abstractNumId="6" w15:restartNumberingAfterBreak="0">
    <w:nsid w:val="50C13462"/>
    <w:multiLevelType w:val="hybridMultilevel"/>
    <w:tmpl w:val="A9780646"/>
    <w:lvl w:ilvl="0" w:tplc="2E3401A2">
      <w:start w:val="1"/>
      <w:numFmt w:val="decimal"/>
      <w:lvlText w:val="%1."/>
      <w:lvlJc w:val="left"/>
      <w:pPr>
        <w:ind w:left="45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F7ECB7E0">
      <w:start w:val="1"/>
      <w:numFmt w:val="lowerLetter"/>
      <w:lvlText w:val="%2"/>
      <w:lvlJc w:val="left"/>
      <w:pPr>
        <w:ind w:left="108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9578AB98">
      <w:start w:val="1"/>
      <w:numFmt w:val="lowerRoman"/>
      <w:lvlText w:val="%3"/>
      <w:lvlJc w:val="left"/>
      <w:pPr>
        <w:ind w:left="180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98321A56">
      <w:start w:val="1"/>
      <w:numFmt w:val="decimal"/>
      <w:lvlText w:val="%4"/>
      <w:lvlJc w:val="left"/>
      <w:pPr>
        <w:ind w:left="252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9A482886">
      <w:start w:val="1"/>
      <w:numFmt w:val="lowerLetter"/>
      <w:lvlText w:val="%5"/>
      <w:lvlJc w:val="left"/>
      <w:pPr>
        <w:ind w:left="324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227E92F4">
      <w:start w:val="1"/>
      <w:numFmt w:val="lowerRoman"/>
      <w:lvlText w:val="%6"/>
      <w:lvlJc w:val="left"/>
      <w:pPr>
        <w:ind w:left="396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2068BEDA">
      <w:start w:val="1"/>
      <w:numFmt w:val="decimal"/>
      <w:lvlText w:val="%7"/>
      <w:lvlJc w:val="left"/>
      <w:pPr>
        <w:ind w:left="468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35B6EF5A">
      <w:start w:val="1"/>
      <w:numFmt w:val="lowerLetter"/>
      <w:lvlText w:val="%8"/>
      <w:lvlJc w:val="left"/>
      <w:pPr>
        <w:ind w:left="540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05EA4980">
      <w:start w:val="1"/>
      <w:numFmt w:val="lowerRoman"/>
      <w:lvlText w:val="%9"/>
      <w:lvlJc w:val="left"/>
      <w:pPr>
        <w:ind w:left="612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5E0E06FC"/>
    <w:multiLevelType w:val="hybridMultilevel"/>
    <w:tmpl w:val="5846DEAA"/>
    <w:lvl w:ilvl="0" w:tplc="CAF25F8C">
      <w:start w:val="1"/>
      <w:numFmt w:val="decimal"/>
      <w:lvlText w:val="%1"/>
      <w:lvlJc w:val="left"/>
      <w:pPr>
        <w:ind w:left="124"/>
      </w:pPr>
      <w:rPr>
        <w:rFonts w:ascii="Times New Roman" w:eastAsia="Times New Roman" w:hAnsi="Times New Roman" w:cs="Times New Roman"/>
        <w:b w:val="0"/>
        <w:i/>
        <w:iCs/>
        <w:strike w:val="0"/>
        <w:dstrike w:val="0"/>
        <w:color w:val="000000"/>
        <w:sz w:val="14"/>
        <w:szCs w:val="14"/>
        <w:u w:val="none" w:color="000000"/>
        <w:bdr w:val="none" w:sz="0" w:space="0" w:color="auto"/>
        <w:shd w:val="clear" w:color="auto" w:fill="auto"/>
        <w:vertAlign w:val="superscript"/>
      </w:rPr>
    </w:lvl>
    <w:lvl w:ilvl="1" w:tplc="E6C6EBBC">
      <w:start w:val="1"/>
      <w:numFmt w:val="lowerLetter"/>
      <w:lvlText w:val="%2"/>
      <w:lvlJc w:val="left"/>
      <w:pPr>
        <w:ind w:left="1105"/>
      </w:pPr>
      <w:rPr>
        <w:rFonts w:ascii="Times New Roman" w:eastAsia="Times New Roman" w:hAnsi="Times New Roman" w:cs="Times New Roman"/>
        <w:b w:val="0"/>
        <w:i/>
        <w:iCs/>
        <w:strike w:val="0"/>
        <w:dstrike w:val="0"/>
        <w:color w:val="000000"/>
        <w:sz w:val="14"/>
        <w:szCs w:val="14"/>
        <w:u w:val="none" w:color="000000"/>
        <w:bdr w:val="none" w:sz="0" w:space="0" w:color="auto"/>
        <w:shd w:val="clear" w:color="auto" w:fill="auto"/>
        <w:vertAlign w:val="superscript"/>
      </w:rPr>
    </w:lvl>
    <w:lvl w:ilvl="2" w:tplc="3AB838DA">
      <w:start w:val="1"/>
      <w:numFmt w:val="lowerRoman"/>
      <w:lvlText w:val="%3"/>
      <w:lvlJc w:val="left"/>
      <w:pPr>
        <w:ind w:left="1825"/>
      </w:pPr>
      <w:rPr>
        <w:rFonts w:ascii="Times New Roman" w:eastAsia="Times New Roman" w:hAnsi="Times New Roman" w:cs="Times New Roman"/>
        <w:b w:val="0"/>
        <w:i/>
        <w:iCs/>
        <w:strike w:val="0"/>
        <w:dstrike w:val="0"/>
        <w:color w:val="000000"/>
        <w:sz w:val="14"/>
        <w:szCs w:val="14"/>
        <w:u w:val="none" w:color="000000"/>
        <w:bdr w:val="none" w:sz="0" w:space="0" w:color="auto"/>
        <w:shd w:val="clear" w:color="auto" w:fill="auto"/>
        <w:vertAlign w:val="superscript"/>
      </w:rPr>
    </w:lvl>
    <w:lvl w:ilvl="3" w:tplc="7452CFB8">
      <w:start w:val="1"/>
      <w:numFmt w:val="decimal"/>
      <w:lvlText w:val="%4"/>
      <w:lvlJc w:val="left"/>
      <w:pPr>
        <w:ind w:left="2545"/>
      </w:pPr>
      <w:rPr>
        <w:rFonts w:ascii="Times New Roman" w:eastAsia="Times New Roman" w:hAnsi="Times New Roman" w:cs="Times New Roman"/>
        <w:b w:val="0"/>
        <w:i/>
        <w:iCs/>
        <w:strike w:val="0"/>
        <w:dstrike w:val="0"/>
        <w:color w:val="000000"/>
        <w:sz w:val="14"/>
        <w:szCs w:val="14"/>
        <w:u w:val="none" w:color="000000"/>
        <w:bdr w:val="none" w:sz="0" w:space="0" w:color="auto"/>
        <w:shd w:val="clear" w:color="auto" w:fill="auto"/>
        <w:vertAlign w:val="superscript"/>
      </w:rPr>
    </w:lvl>
    <w:lvl w:ilvl="4" w:tplc="50E48D2C">
      <w:start w:val="1"/>
      <w:numFmt w:val="lowerLetter"/>
      <w:lvlText w:val="%5"/>
      <w:lvlJc w:val="left"/>
      <w:pPr>
        <w:ind w:left="3265"/>
      </w:pPr>
      <w:rPr>
        <w:rFonts w:ascii="Times New Roman" w:eastAsia="Times New Roman" w:hAnsi="Times New Roman" w:cs="Times New Roman"/>
        <w:b w:val="0"/>
        <w:i/>
        <w:iCs/>
        <w:strike w:val="0"/>
        <w:dstrike w:val="0"/>
        <w:color w:val="000000"/>
        <w:sz w:val="14"/>
        <w:szCs w:val="14"/>
        <w:u w:val="none" w:color="000000"/>
        <w:bdr w:val="none" w:sz="0" w:space="0" w:color="auto"/>
        <w:shd w:val="clear" w:color="auto" w:fill="auto"/>
        <w:vertAlign w:val="superscript"/>
      </w:rPr>
    </w:lvl>
    <w:lvl w:ilvl="5" w:tplc="6F103F86">
      <w:start w:val="1"/>
      <w:numFmt w:val="lowerRoman"/>
      <w:lvlText w:val="%6"/>
      <w:lvlJc w:val="left"/>
      <w:pPr>
        <w:ind w:left="3985"/>
      </w:pPr>
      <w:rPr>
        <w:rFonts w:ascii="Times New Roman" w:eastAsia="Times New Roman" w:hAnsi="Times New Roman" w:cs="Times New Roman"/>
        <w:b w:val="0"/>
        <w:i/>
        <w:iCs/>
        <w:strike w:val="0"/>
        <w:dstrike w:val="0"/>
        <w:color w:val="000000"/>
        <w:sz w:val="14"/>
        <w:szCs w:val="14"/>
        <w:u w:val="none" w:color="000000"/>
        <w:bdr w:val="none" w:sz="0" w:space="0" w:color="auto"/>
        <w:shd w:val="clear" w:color="auto" w:fill="auto"/>
        <w:vertAlign w:val="superscript"/>
      </w:rPr>
    </w:lvl>
    <w:lvl w:ilvl="6" w:tplc="4CAE398C">
      <w:start w:val="1"/>
      <w:numFmt w:val="decimal"/>
      <w:lvlText w:val="%7"/>
      <w:lvlJc w:val="left"/>
      <w:pPr>
        <w:ind w:left="4705"/>
      </w:pPr>
      <w:rPr>
        <w:rFonts w:ascii="Times New Roman" w:eastAsia="Times New Roman" w:hAnsi="Times New Roman" w:cs="Times New Roman"/>
        <w:b w:val="0"/>
        <w:i/>
        <w:iCs/>
        <w:strike w:val="0"/>
        <w:dstrike w:val="0"/>
        <w:color w:val="000000"/>
        <w:sz w:val="14"/>
        <w:szCs w:val="14"/>
        <w:u w:val="none" w:color="000000"/>
        <w:bdr w:val="none" w:sz="0" w:space="0" w:color="auto"/>
        <w:shd w:val="clear" w:color="auto" w:fill="auto"/>
        <w:vertAlign w:val="superscript"/>
      </w:rPr>
    </w:lvl>
    <w:lvl w:ilvl="7" w:tplc="3516083E">
      <w:start w:val="1"/>
      <w:numFmt w:val="lowerLetter"/>
      <w:lvlText w:val="%8"/>
      <w:lvlJc w:val="left"/>
      <w:pPr>
        <w:ind w:left="5425"/>
      </w:pPr>
      <w:rPr>
        <w:rFonts w:ascii="Times New Roman" w:eastAsia="Times New Roman" w:hAnsi="Times New Roman" w:cs="Times New Roman"/>
        <w:b w:val="0"/>
        <w:i/>
        <w:iCs/>
        <w:strike w:val="0"/>
        <w:dstrike w:val="0"/>
        <w:color w:val="000000"/>
        <w:sz w:val="14"/>
        <w:szCs w:val="14"/>
        <w:u w:val="none" w:color="000000"/>
        <w:bdr w:val="none" w:sz="0" w:space="0" w:color="auto"/>
        <w:shd w:val="clear" w:color="auto" w:fill="auto"/>
        <w:vertAlign w:val="superscript"/>
      </w:rPr>
    </w:lvl>
    <w:lvl w:ilvl="8" w:tplc="92F2ED96">
      <w:start w:val="1"/>
      <w:numFmt w:val="lowerRoman"/>
      <w:lvlText w:val="%9"/>
      <w:lvlJc w:val="left"/>
      <w:pPr>
        <w:ind w:left="6145"/>
      </w:pPr>
      <w:rPr>
        <w:rFonts w:ascii="Times New Roman" w:eastAsia="Times New Roman" w:hAnsi="Times New Roman" w:cs="Times New Roman"/>
        <w:b w:val="0"/>
        <w:i/>
        <w:iCs/>
        <w:strike w:val="0"/>
        <w:dstrike w:val="0"/>
        <w:color w:val="000000"/>
        <w:sz w:val="14"/>
        <w:szCs w:val="14"/>
        <w:u w:val="none" w:color="000000"/>
        <w:bdr w:val="none" w:sz="0" w:space="0" w:color="auto"/>
        <w:shd w:val="clear" w:color="auto" w:fill="auto"/>
        <w:vertAlign w:val="superscript"/>
      </w:rPr>
    </w:lvl>
  </w:abstractNum>
  <w:abstractNum w:abstractNumId="8" w15:restartNumberingAfterBreak="0">
    <w:nsid w:val="61B23B2A"/>
    <w:multiLevelType w:val="hybridMultilevel"/>
    <w:tmpl w:val="D3109D60"/>
    <w:lvl w:ilvl="0" w:tplc="098CB7CA">
      <w:start w:val="1"/>
      <w:numFmt w:val="bullet"/>
      <w:lvlText w:val="•"/>
      <w:lvlJc w:val="left"/>
      <w:pPr>
        <w:ind w:left="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7226AF72">
      <w:start w:val="1"/>
      <w:numFmt w:val="bullet"/>
      <w:lvlText w:val="o"/>
      <w:lvlJc w:val="left"/>
      <w:pPr>
        <w:ind w:left="13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FF4CDAA">
      <w:start w:val="1"/>
      <w:numFmt w:val="bullet"/>
      <w:lvlText w:val="▪"/>
      <w:lvlJc w:val="left"/>
      <w:pPr>
        <w:ind w:left="20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B0DEBA44">
      <w:start w:val="1"/>
      <w:numFmt w:val="bullet"/>
      <w:lvlText w:val="•"/>
      <w:lvlJc w:val="left"/>
      <w:pPr>
        <w:ind w:left="27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56849810">
      <w:start w:val="1"/>
      <w:numFmt w:val="bullet"/>
      <w:lvlText w:val="o"/>
      <w:lvlJc w:val="left"/>
      <w:pPr>
        <w:ind w:left="34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3236C9C6">
      <w:start w:val="1"/>
      <w:numFmt w:val="bullet"/>
      <w:lvlText w:val="▪"/>
      <w:lvlJc w:val="left"/>
      <w:pPr>
        <w:ind w:left="41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6D8C09DE">
      <w:start w:val="1"/>
      <w:numFmt w:val="bullet"/>
      <w:lvlText w:val="•"/>
      <w:lvlJc w:val="left"/>
      <w:pPr>
        <w:ind w:left="49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52C5F4E">
      <w:start w:val="1"/>
      <w:numFmt w:val="bullet"/>
      <w:lvlText w:val="o"/>
      <w:lvlJc w:val="left"/>
      <w:pPr>
        <w:ind w:left="56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4045752">
      <w:start w:val="1"/>
      <w:numFmt w:val="bullet"/>
      <w:lvlText w:val="▪"/>
      <w:lvlJc w:val="left"/>
      <w:pPr>
        <w:ind w:left="63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9" w15:restartNumberingAfterBreak="0">
    <w:nsid w:val="74315240"/>
    <w:multiLevelType w:val="hybridMultilevel"/>
    <w:tmpl w:val="3F947944"/>
    <w:lvl w:ilvl="0" w:tplc="9A10FC7E">
      <w:start w:val="1"/>
      <w:numFmt w:val="decimal"/>
      <w:lvlText w:val="%1)"/>
      <w:lvlJc w:val="left"/>
      <w:pPr>
        <w:ind w:left="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10B43D04">
      <w:start w:val="1"/>
      <w:numFmt w:val="lowerLetter"/>
      <w:lvlText w:val="%2"/>
      <w:lvlJc w:val="left"/>
      <w:pPr>
        <w:ind w:left="13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7B0DB12">
      <w:start w:val="1"/>
      <w:numFmt w:val="lowerRoman"/>
      <w:lvlText w:val="%3"/>
      <w:lvlJc w:val="left"/>
      <w:pPr>
        <w:ind w:left="20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C67A70">
      <w:start w:val="1"/>
      <w:numFmt w:val="decimal"/>
      <w:lvlText w:val="%4"/>
      <w:lvlJc w:val="left"/>
      <w:pPr>
        <w:ind w:left="28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92987AB2">
      <w:start w:val="1"/>
      <w:numFmt w:val="lowerLetter"/>
      <w:lvlText w:val="%5"/>
      <w:lvlJc w:val="left"/>
      <w:pPr>
        <w:ind w:left="35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7E529912">
      <w:start w:val="1"/>
      <w:numFmt w:val="lowerRoman"/>
      <w:lvlText w:val="%6"/>
      <w:lvlJc w:val="left"/>
      <w:pPr>
        <w:ind w:left="42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DD34A370">
      <w:start w:val="1"/>
      <w:numFmt w:val="decimal"/>
      <w:lvlText w:val="%7"/>
      <w:lvlJc w:val="left"/>
      <w:pPr>
        <w:ind w:left="49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D7C8F80">
      <w:start w:val="1"/>
      <w:numFmt w:val="lowerLetter"/>
      <w:lvlText w:val="%8"/>
      <w:lvlJc w:val="left"/>
      <w:pPr>
        <w:ind w:left="56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A59E1C36">
      <w:start w:val="1"/>
      <w:numFmt w:val="lowerRoman"/>
      <w:lvlText w:val="%9"/>
      <w:lvlJc w:val="left"/>
      <w:pPr>
        <w:ind w:left="64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num w:numId="1">
    <w:abstractNumId w:val="7"/>
  </w:num>
  <w:num w:numId="2">
    <w:abstractNumId w:val="4"/>
  </w:num>
  <w:num w:numId="3">
    <w:abstractNumId w:val="0"/>
  </w:num>
  <w:num w:numId="4">
    <w:abstractNumId w:val="9"/>
  </w:num>
  <w:num w:numId="5">
    <w:abstractNumId w:val="8"/>
  </w:num>
  <w:num w:numId="6">
    <w:abstractNumId w:val="3"/>
  </w:num>
  <w:num w:numId="7">
    <w:abstractNumId w:val="6"/>
  </w:num>
  <w:num w:numId="8">
    <w:abstractNumId w:val="1"/>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A4C"/>
    <w:rsid w:val="006F5A4C"/>
    <w:rsid w:val="00730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4F31D672-2A96-4793-BB53-F5FE0F765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numPr>
        <w:numId w:val="10"/>
      </w:numPr>
      <w:spacing w:after="53" w:line="254" w:lineRule="auto"/>
      <w:ind w:left="304" w:hanging="10"/>
      <w:jc w:val="both"/>
      <w:outlineLvl w:val="0"/>
    </w:pPr>
    <w:rPr>
      <w:rFonts w:ascii="Times New Roman" w:eastAsia="Times New Roman" w:hAnsi="Times New Roman" w:cs="Times New Roman"/>
      <w:b/>
      <w:color w:val="000000"/>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19"/>
    </w:rPr>
  </w:style>
  <w:style w:type="paragraph" w:customStyle="1" w:styleId="footnotedescription">
    <w:name w:val="footnote description"/>
    <w:next w:val="Normal"/>
    <w:link w:val="footnotedescriptionChar"/>
    <w:hidden/>
    <w:pPr>
      <w:spacing w:after="0"/>
      <w:ind w:left="23"/>
    </w:pPr>
    <w:rPr>
      <w:rFonts w:ascii="Times New Roman" w:eastAsia="Times New Roman" w:hAnsi="Times New Roman" w:cs="Times New Roman"/>
      <w:i/>
      <w:color w:val="000000"/>
      <w:sz w:val="16"/>
    </w:rPr>
  </w:style>
  <w:style w:type="character" w:customStyle="1" w:styleId="footnotedescriptionChar">
    <w:name w:val="footnote description Char"/>
    <w:link w:val="footnotedescription"/>
    <w:rPr>
      <w:rFonts w:ascii="Times New Roman" w:eastAsia="Times New Roman" w:hAnsi="Times New Roman" w:cs="Times New Roman"/>
      <w:i/>
      <w:color w:val="000000"/>
      <w:sz w:val="16"/>
    </w:rPr>
  </w:style>
  <w:style w:type="character" w:customStyle="1" w:styleId="footnotemark">
    <w:name w:val="footnote mark"/>
    <w:hidden/>
    <w:rPr>
      <w:rFonts w:ascii="Times New Roman" w:eastAsia="Times New Roman" w:hAnsi="Times New Roman" w:cs="Times New Roman"/>
      <w:i/>
      <w:color w:val="000000"/>
      <w:sz w:val="1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29" Type="http://schemas.openxmlformats.org/officeDocument/2006/relationships/image" Target="media/image10.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28" Type="http://schemas.openxmlformats.org/officeDocument/2006/relationships/image" Target="media/image2.jpg"/><Relationship Id="rId10"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27" Type="http://schemas.openxmlformats.org/officeDocument/2006/relationships/image" Target="media/image0.jp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19083</Words>
  <Characters>108779</Characters>
  <Application>Microsoft Office Word</Application>
  <DocSecurity>4</DocSecurity>
  <Lines>906</Lines>
  <Paragraphs>255</Paragraphs>
  <ScaleCrop>false</ScaleCrop>
  <Company/>
  <LinksUpToDate>false</LinksUpToDate>
  <CharactersWithSpaces>127607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2025-05-06T12:34:00Z</dcterms:created>
  <dcterms:modified xsi:type="dcterms:W3CDTF">2025-05-06T12:34:00Z</dcterms:modified>
</cp:coreProperties>
</file>